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0E2E" w14:textId="77777777" w:rsidR="00513DF7" w:rsidRPr="00485F85" w:rsidRDefault="00513DF7" w:rsidP="00513DF7">
      <w:pPr>
        <w:tabs>
          <w:tab w:val="clear" w:pos="1615"/>
        </w:tabs>
        <w:spacing w:line="360" w:lineRule="auto"/>
        <w:jc w:val="center"/>
        <w:rPr>
          <w:rFonts w:asciiTheme="majorHAnsi" w:hAnsiTheme="majorHAnsi" w:cstheme="majorHAnsi"/>
          <w:b/>
          <w:sz w:val="32"/>
        </w:rPr>
      </w:pPr>
      <w:bookmarkStart w:id="0" w:name="_Toc22823416"/>
      <w:bookmarkStart w:id="1" w:name="_Hlk80138274"/>
      <w:r w:rsidRPr="00485F85">
        <w:rPr>
          <w:rFonts w:asciiTheme="majorHAnsi" w:hAnsiTheme="majorHAnsi" w:cstheme="majorHAnsi"/>
          <w:b/>
          <w:noProof/>
          <w:sz w:val="32"/>
        </w:rPr>
        <w:drawing>
          <wp:inline distT="0" distB="0" distL="0" distR="0" wp14:anchorId="13FB6091" wp14:editId="2DB4629C">
            <wp:extent cx="3988676" cy="1537856"/>
            <wp:effectExtent l="0" t="0" r="0" b="5715"/>
            <wp:docPr id="12"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58C2A844" w14:textId="77777777" w:rsidR="00513DF7" w:rsidRPr="00485F85" w:rsidRDefault="00513DF7" w:rsidP="00513DF7">
      <w:pPr>
        <w:pStyle w:val="PargrafodaLista"/>
        <w:tabs>
          <w:tab w:val="clear" w:pos="1615"/>
        </w:tabs>
        <w:spacing w:line="360" w:lineRule="auto"/>
        <w:ind w:left="0"/>
        <w:jc w:val="center"/>
        <w:rPr>
          <w:rFonts w:asciiTheme="majorHAnsi" w:hAnsiTheme="majorHAnsi" w:cstheme="majorHAnsi"/>
          <w:b/>
          <w:color w:val="4875BD" w:themeColor="text1"/>
          <w:sz w:val="36"/>
        </w:rPr>
      </w:pPr>
    </w:p>
    <w:p w14:paraId="3EBE2354" w14:textId="77777777" w:rsidR="00513DF7" w:rsidRPr="00485F85" w:rsidRDefault="00513DF7" w:rsidP="00513DF7">
      <w:pPr>
        <w:tabs>
          <w:tab w:val="clear" w:pos="1615"/>
        </w:tabs>
        <w:spacing w:after="0"/>
        <w:jc w:val="center"/>
        <w:rPr>
          <w:rFonts w:asciiTheme="majorHAnsi" w:hAnsiTheme="majorHAnsi" w:cstheme="majorHAnsi"/>
          <w:b/>
          <w:sz w:val="56"/>
        </w:rPr>
      </w:pPr>
      <w:r w:rsidRPr="00485F85">
        <w:rPr>
          <w:rFonts w:asciiTheme="majorHAnsi" w:hAnsiTheme="majorHAnsi" w:cstheme="majorHAnsi"/>
          <w:b/>
          <w:sz w:val="56"/>
        </w:rPr>
        <w:t>Estudo de Viabilidade de uma Universidade Distrital</w:t>
      </w:r>
    </w:p>
    <w:p w14:paraId="1F5E1334" w14:textId="77777777" w:rsidR="00513DF7" w:rsidRPr="00485F85" w:rsidRDefault="00513DF7" w:rsidP="00513DF7">
      <w:pPr>
        <w:tabs>
          <w:tab w:val="clear" w:pos="1615"/>
        </w:tabs>
        <w:spacing w:after="0"/>
        <w:rPr>
          <w:rFonts w:asciiTheme="majorHAnsi" w:hAnsiTheme="majorHAnsi" w:cstheme="majorHAnsi"/>
          <w:b/>
          <w:color w:val="4875BD" w:themeColor="text1"/>
          <w:sz w:val="40"/>
          <w:szCs w:val="14"/>
        </w:rPr>
      </w:pPr>
    </w:p>
    <w:p w14:paraId="77136284" w14:textId="3A42CC07" w:rsidR="00513DF7" w:rsidRPr="00485F85" w:rsidRDefault="00513DF7" w:rsidP="00513DF7">
      <w:pPr>
        <w:tabs>
          <w:tab w:val="clear" w:pos="1615"/>
        </w:tabs>
        <w:jc w:val="center"/>
        <w:rPr>
          <w:rFonts w:asciiTheme="majorHAnsi" w:hAnsiTheme="majorHAnsi" w:cstheme="majorHAnsi"/>
          <w:bCs/>
          <w:sz w:val="40"/>
          <w:szCs w:val="14"/>
        </w:rPr>
      </w:pPr>
      <w:r w:rsidRPr="00485F85">
        <w:rPr>
          <w:rFonts w:asciiTheme="majorHAnsi" w:hAnsiTheme="majorHAnsi" w:cstheme="majorHAnsi"/>
          <w:bCs/>
          <w:sz w:val="40"/>
          <w:szCs w:val="14"/>
        </w:rPr>
        <w:t xml:space="preserve">Relatório de Benchmarking </w:t>
      </w:r>
      <w:r w:rsidR="00495081" w:rsidRPr="00485F85">
        <w:rPr>
          <w:rFonts w:asciiTheme="majorHAnsi" w:hAnsiTheme="majorHAnsi" w:cstheme="majorHAnsi"/>
          <w:bCs/>
          <w:sz w:val="40"/>
          <w:szCs w:val="14"/>
        </w:rPr>
        <w:t>Internacional</w:t>
      </w:r>
    </w:p>
    <w:p w14:paraId="2F9A0BE6" w14:textId="4F8F4DEF" w:rsidR="0052000B" w:rsidRPr="00485F85" w:rsidRDefault="0052000B" w:rsidP="00513DF7">
      <w:pPr>
        <w:tabs>
          <w:tab w:val="clear" w:pos="1615"/>
        </w:tabs>
        <w:jc w:val="center"/>
        <w:rPr>
          <w:rFonts w:asciiTheme="majorHAnsi" w:hAnsiTheme="majorHAnsi" w:cstheme="majorHAnsi"/>
          <w:bCs/>
          <w:sz w:val="40"/>
          <w:szCs w:val="14"/>
        </w:rPr>
      </w:pPr>
      <w:r w:rsidRPr="00485F85">
        <w:rPr>
          <w:rFonts w:asciiTheme="majorHAnsi" w:hAnsiTheme="majorHAnsi" w:cstheme="majorHAnsi"/>
          <w:bCs/>
          <w:sz w:val="40"/>
          <w:szCs w:val="14"/>
        </w:rPr>
        <w:t>Universidade de Oxford</w:t>
      </w:r>
    </w:p>
    <w:p w14:paraId="3DB75DBC" w14:textId="77777777" w:rsidR="00513DF7" w:rsidRPr="00485F85" w:rsidRDefault="00513DF7" w:rsidP="00513DF7">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27"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513DF7" w:rsidRPr="00485F85" w14:paraId="47E5BEBB" w14:textId="77777777" w:rsidTr="006A55D6">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E93D1D5" w14:textId="77777777" w:rsidR="00513DF7" w:rsidRPr="00485F85" w:rsidRDefault="00513DF7" w:rsidP="006A55D6">
            <w:pPr>
              <w:tabs>
                <w:tab w:val="clear" w:pos="1615"/>
              </w:tabs>
              <w:spacing w:line="276" w:lineRule="auto"/>
              <w:jc w:val="center"/>
              <w:rPr>
                <w:rFonts w:asciiTheme="majorHAnsi" w:hAnsiTheme="majorHAnsi" w:cstheme="majorHAnsi"/>
                <w:b/>
                <w:bCs/>
                <w:sz w:val="28"/>
                <w:szCs w:val="28"/>
              </w:rPr>
            </w:pPr>
            <w:r w:rsidRPr="00485F85">
              <w:rPr>
                <w:rFonts w:asciiTheme="majorHAnsi" w:hAnsiTheme="majorHAnsi" w:cstheme="majorHAnsi"/>
                <w:b/>
                <w:bCs/>
                <w:sz w:val="28"/>
                <w:szCs w:val="28"/>
              </w:rPr>
              <w:t>Identificação do Projeto</w:t>
            </w:r>
          </w:p>
        </w:tc>
      </w:tr>
      <w:tr w:rsidR="00513DF7" w:rsidRPr="00485F85" w14:paraId="5BD5C88E" w14:textId="77777777" w:rsidTr="006A55D6">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2EA6B" w14:textId="77777777" w:rsidR="00513DF7" w:rsidRPr="00485F85" w:rsidRDefault="00513DF7" w:rsidP="006A55D6">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77E695" w14:textId="77777777" w:rsidR="00513DF7" w:rsidRPr="00485F85" w:rsidRDefault="00513DF7" w:rsidP="006A55D6">
            <w:pPr>
              <w:tabs>
                <w:tab w:val="clear" w:pos="1615"/>
              </w:tabs>
              <w:spacing w:line="276" w:lineRule="auto"/>
              <w:rPr>
                <w:rFonts w:asciiTheme="majorHAnsi" w:eastAsia="Calibri" w:hAnsiTheme="majorHAnsi" w:cstheme="majorHAnsi"/>
              </w:rPr>
            </w:pPr>
          </w:p>
        </w:tc>
      </w:tr>
      <w:tr w:rsidR="00513DF7" w:rsidRPr="00485F85" w14:paraId="53B04982"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37BD50A"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0A8B83A" w14:textId="77777777" w:rsidR="00513DF7" w:rsidRPr="00485F85" w:rsidRDefault="00513DF7" w:rsidP="006A55D6">
            <w:pPr>
              <w:tabs>
                <w:tab w:val="clear" w:pos="1615"/>
              </w:tabs>
              <w:spacing w:line="276" w:lineRule="auto"/>
              <w:rPr>
                <w:rFonts w:asciiTheme="majorHAnsi" w:eastAsia="Calibri" w:hAnsiTheme="majorHAnsi" w:cstheme="majorHAnsi"/>
              </w:rPr>
            </w:pPr>
            <w:r w:rsidRPr="00485F85">
              <w:rPr>
                <w:rFonts w:asciiTheme="majorHAnsi" w:hAnsiTheme="majorHAnsi" w:cstheme="majorHAnsi"/>
              </w:rPr>
              <w:t>Desenvolvimento de projeto de pesquisa de uma Universidade do Distrito Federal - Relatório de Benchmarking</w:t>
            </w:r>
          </w:p>
        </w:tc>
      </w:tr>
      <w:tr w:rsidR="00513DF7" w:rsidRPr="00485F85" w14:paraId="59E1FD69"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D00E229"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F101E2"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Realização de benchmarking na UNAM com destaque na gestão inovadora, com ênfase nas áreas relativas à inovação, às tecnologias e às engenharias.</w:t>
            </w:r>
          </w:p>
        </w:tc>
      </w:tr>
      <w:tr w:rsidR="00513DF7" w:rsidRPr="00485F85" w14:paraId="3AFC8CA4"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C39BD5"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3E096D"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Executiva</w:t>
            </w:r>
          </w:p>
        </w:tc>
      </w:tr>
      <w:tr w:rsidR="00495081" w:rsidRPr="00485F85" w14:paraId="19AC3349"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AC3497" w14:textId="77777777" w:rsidR="00495081" w:rsidRPr="00485F85" w:rsidRDefault="00495081" w:rsidP="00495081">
            <w:pPr>
              <w:tabs>
                <w:tab w:val="clear" w:pos="1615"/>
              </w:tabs>
              <w:spacing w:line="276" w:lineRule="auto"/>
              <w:rPr>
                <w:rFonts w:asciiTheme="majorHAnsi" w:hAnsiTheme="majorHAnsi" w:cstheme="majorHAnsi"/>
              </w:rPr>
            </w:pPr>
            <w:r w:rsidRPr="00485F85">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6A437F" w14:textId="4FADB188" w:rsidR="00495081" w:rsidRPr="00485F85" w:rsidRDefault="00495081" w:rsidP="00495081">
            <w:pPr>
              <w:tabs>
                <w:tab w:val="clear" w:pos="1615"/>
              </w:tabs>
              <w:spacing w:line="276" w:lineRule="auto"/>
              <w:rPr>
                <w:rFonts w:asciiTheme="majorHAnsi" w:eastAsia="Calibri" w:hAnsiTheme="majorHAnsi" w:cstheme="majorHAnsi"/>
              </w:rPr>
            </w:pPr>
            <w:r w:rsidRPr="00485F85">
              <w:rPr>
                <w:rFonts w:asciiTheme="majorHAnsi" w:eastAsia="Calibri" w:hAnsiTheme="majorHAnsi" w:cstheme="majorHAnsi"/>
              </w:rPr>
              <w:t>Claudia Maffini Griboski</w:t>
            </w:r>
          </w:p>
        </w:tc>
      </w:tr>
      <w:tr w:rsidR="00495081" w:rsidRPr="00485F85" w14:paraId="1673D927"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382A51" w14:textId="77777777" w:rsidR="00495081" w:rsidRPr="00485F85" w:rsidRDefault="00495081" w:rsidP="00495081">
            <w:pPr>
              <w:tabs>
                <w:tab w:val="clear" w:pos="1615"/>
              </w:tabs>
              <w:spacing w:line="276" w:lineRule="auto"/>
              <w:jc w:val="both"/>
              <w:rPr>
                <w:rFonts w:asciiTheme="majorHAnsi" w:hAnsiTheme="majorHAnsi" w:cstheme="majorHAnsi"/>
              </w:rPr>
            </w:pPr>
            <w:r w:rsidRPr="00485F85">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BC6B79" w14:textId="3F95C372" w:rsidR="00495081" w:rsidRPr="00485F85" w:rsidRDefault="00495081" w:rsidP="00495081">
            <w:pPr>
              <w:rPr>
                <w:rFonts w:asciiTheme="majorHAnsi" w:hAnsiTheme="majorHAnsi" w:cstheme="majorHAnsi"/>
              </w:rPr>
            </w:pPr>
            <w:r w:rsidRPr="00485F85">
              <w:rPr>
                <w:rFonts w:asciiTheme="majorHAnsi" w:hAnsiTheme="majorHAnsi" w:cstheme="majorHAnsi"/>
              </w:rPr>
              <w:t>Maíra Rocha Santos</w:t>
            </w:r>
          </w:p>
        </w:tc>
      </w:tr>
      <w:tr w:rsidR="00513DF7" w:rsidRPr="00485F85" w14:paraId="66F4FD32" w14:textId="77777777" w:rsidTr="006A55D6">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755E58A0" w14:textId="77777777" w:rsidR="00513DF7" w:rsidRPr="00485F85" w:rsidRDefault="00513DF7" w:rsidP="006A55D6">
            <w:pPr>
              <w:tabs>
                <w:tab w:val="clear" w:pos="1615"/>
              </w:tabs>
              <w:spacing w:line="276" w:lineRule="auto"/>
              <w:rPr>
                <w:rFonts w:asciiTheme="majorHAnsi" w:hAnsiTheme="majorHAnsi" w:cstheme="majorHAnsi"/>
              </w:rPr>
            </w:pPr>
            <w:r w:rsidRPr="00485F85">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F7AD974" w14:textId="423F13BF" w:rsidR="00513DF7" w:rsidRPr="00485F85" w:rsidRDefault="00C54403" w:rsidP="006A55D6">
            <w:pPr>
              <w:tabs>
                <w:tab w:val="clear" w:pos="1615"/>
              </w:tabs>
              <w:spacing w:line="276" w:lineRule="auto"/>
              <w:rPr>
                <w:rFonts w:asciiTheme="majorHAnsi" w:eastAsia="Calibri" w:hAnsiTheme="majorHAnsi" w:cstheme="majorHAnsi"/>
              </w:rPr>
            </w:pPr>
            <w:r>
              <w:rPr>
                <w:rFonts w:asciiTheme="majorHAnsi" w:eastAsia="Calibri" w:hAnsiTheme="majorHAnsi" w:cstheme="majorHAnsi"/>
              </w:rPr>
              <w:t>03/09/2021</w:t>
            </w:r>
          </w:p>
        </w:tc>
      </w:tr>
    </w:tbl>
    <w:p w14:paraId="5FA260FF" w14:textId="77777777" w:rsidR="00513DF7" w:rsidRPr="00485F85" w:rsidRDefault="00513DF7" w:rsidP="00513DF7">
      <w:pPr>
        <w:tabs>
          <w:tab w:val="clear" w:pos="1615"/>
        </w:tabs>
        <w:spacing w:line="276" w:lineRule="auto"/>
        <w:jc w:val="center"/>
        <w:rPr>
          <w:rFonts w:asciiTheme="majorHAnsi" w:hAnsiTheme="majorHAnsi" w:cstheme="majorHAnsi"/>
          <w:bCs/>
          <w:noProof/>
          <w:lang w:eastAsia="pt-BR"/>
        </w:rPr>
      </w:pPr>
    </w:p>
    <w:p w14:paraId="736FFDCF" w14:textId="77777777" w:rsidR="00513DF7" w:rsidRPr="00485F85" w:rsidRDefault="00513DF7" w:rsidP="00513DF7">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485F85">
        <w:rPr>
          <w:rFonts w:asciiTheme="majorHAnsi" w:hAnsiTheme="majorHAnsi" w:cstheme="majorHAnsi"/>
          <w:bCs/>
          <w:noProof/>
          <w:lang w:eastAsia="pt-BR"/>
        </w:rPr>
        <w:br w:type="column"/>
      </w:r>
      <w:bookmarkStart w:id="2" w:name="_Toc82099826"/>
      <w:r w:rsidRPr="00485F85">
        <w:rPr>
          <w:rFonts w:asciiTheme="majorHAnsi" w:hAnsiTheme="majorHAnsi" w:cstheme="majorHAnsi"/>
          <w:b/>
          <w:color w:val="4875BD" w:themeColor="accent1"/>
          <w:sz w:val="44"/>
          <w:szCs w:val="36"/>
        </w:rPr>
        <w:lastRenderedPageBreak/>
        <w:t>SUMÁRIO</w:t>
      </w:r>
    </w:p>
    <w:p w14:paraId="2A68F2F9" w14:textId="77777777" w:rsidR="00513DF7" w:rsidRPr="00485F85" w:rsidRDefault="00513DF7" w:rsidP="00513DF7">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C71F33" w:rsidRPr="00485F85" w14:paraId="36F49DF8" w14:textId="77777777" w:rsidTr="006A55D6">
        <w:trPr>
          <w:trHeight w:val="391"/>
        </w:trPr>
        <w:tc>
          <w:tcPr>
            <w:tcW w:w="7650" w:type="dxa"/>
          </w:tcPr>
          <w:p w14:paraId="4B59B92A" w14:textId="27E39E84" w:rsidR="00C71F33" w:rsidRPr="00485F85" w:rsidRDefault="00C71F33" w:rsidP="00C71F33">
            <w:pPr>
              <w:tabs>
                <w:tab w:val="clear" w:pos="1615"/>
              </w:tabs>
              <w:spacing w:line="276" w:lineRule="auto"/>
              <w:rPr>
                <w:rFonts w:asciiTheme="majorHAnsi" w:hAnsiTheme="majorHAnsi" w:cstheme="majorHAnsi"/>
                <w:bCs/>
              </w:rPr>
            </w:pPr>
            <w:bookmarkStart w:id="3" w:name="_Hlk89063693"/>
            <w:r w:rsidRPr="00485F85">
              <w:rPr>
                <w:rFonts w:asciiTheme="majorHAnsi" w:hAnsiTheme="majorHAnsi" w:cstheme="majorHAnsi"/>
              </w:rPr>
              <w:t>1. APRESENTAÇÃO</w:t>
            </w:r>
          </w:p>
        </w:tc>
        <w:tc>
          <w:tcPr>
            <w:tcW w:w="1417" w:type="dxa"/>
            <w:vAlign w:val="center"/>
          </w:tcPr>
          <w:p w14:paraId="4C215CDE" w14:textId="6244F236" w:rsidR="00C71F33" w:rsidRPr="00485F85" w:rsidRDefault="00C71F33" w:rsidP="00C71F33">
            <w:pPr>
              <w:pStyle w:val="PargrafodaLista"/>
              <w:tabs>
                <w:tab w:val="clear" w:pos="1615"/>
              </w:tabs>
              <w:spacing w:line="276" w:lineRule="auto"/>
              <w:ind w:left="0"/>
              <w:rPr>
                <w:rFonts w:asciiTheme="majorHAnsi" w:hAnsiTheme="majorHAnsi" w:cstheme="majorHAnsi"/>
                <w:bCs/>
              </w:rPr>
            </w:pPr>
            <w:r>
              <w:rPr>
                <w:rFonts w:asciiTheme="majorHAnsi" w:hAnsiTheme="majorHAnsi" w:cstheme="majorHAnsi"/>
                <w:bCs/>
              </w:rPr>
              <w:t>05</w:t>
            </w:r>
          </w:p>
        </w:tc>
      </w:tr>
      <w:tr w:rsidR="00C71F33" w:rsidRPr="00485F85" w14:paraId="4FAE0CC3" w14:textId="77777777" w:rsidTr="006A55D6">
        <w:trPr>
          <w:trHeight w:val="391"/>
        </w:trPr>
        <w:tc>
          <w:tcPr>
            <w:tcW w:w="7650" w:type="dxa"/>
          </w:tcPr>
          <w:p w14:paraId="615D0D75"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9DA1D97"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4A3E469C" w14:textId="77777777" w:rsidTr="006A55D6">
        <w:trPr>
          <w:trHeight w:val="391"/>
        </w:trPr>
        <w:tc>
          <w:tcPr>
            <w:tcW w:w="7650" w:type="dxa"/>
          </w:tcPr>
          <w:p w14:paraId="632C65B0" w14:textId="2D0669C0"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1.1 APRESENTAÇÃO DO OBJETO DE PESQUISA</w:t>
            </w:r>
          </w:p>
        </w:tc>
        <w:tc>
          <w:tcPr>
            <w:tcW w:w="1417" w:type="dxa"/>
            <w:vAlign w:val="center"/>
          </w:tcPr>
          <w:p w14:paraId="3945EA67" w14:textId="6A13C02A"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06</w:t>
            </w:r>
          </w:p>
        </w:tc>
      </w:tr>
      <w:tr w:rsidR="00C71F33" w:rsidRPr="00485F85" w14:paraId="471AD751" w14:textId="77777777" w:rsidTr="006A55D6">
        <w:trPr>
          <w:trHeight w:val="391"/>
        </w:trPr>
        <w:tc>
          <w:tcPr>
            <w:tcW w:w="7650" w:type="dxa"/>
          </w:tcPr>
          <w:p w14:paraId="5227BCAA"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597DB87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6B51781D" w14:textId="77777777" w:rsidTr="006A55D6">
        <w:trPr>
          <w:trHeight w:val="391"/>
        </w:trPr>
        <w:tc>
          <w:tcPr>
            <w:tcW w:w="7650" w:type="dxa"/>
          </w:tcPr>
          <w:p w14:paraId="6BC324B3" w14:textId="6CEBFAE2"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1.1.1 UNIVERSIDADE DE OXFORD</w:t>
            </w:r>
          </w:p>
        </w:tc>
        <w:tc>
          <w:tcPr>
            <w:tcW w:w="1417" w:type="dxa"/>
            <w:vAlign w:val="center"/>
          </w:tcPr>
          <w:p w14:paraId="3863E4E8" w14:textId="34048E96"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06</w:t>
            </w:r>
          </w:p>
        </w:tc>
      </w:tr>
      <w:tr w:rsidR="00C71F33" w:rsidRPr="00485F85" w14:paraId="1B587E2C" w14:textId="77777777" w:rsidTr="006A55D6">
        <w:trPr>
          <w:trHeight w:val="391"/>
        </w:trPr>
        <w:tc>
          <w:tcPr>
            <w:tcW w:w="7650" w:type="dxa"/>
          </w:tcPr>
          <w:p w14:paraId="2F79D697" w14:textId="77777777" w:rsidR="00C71F33" w:rsidRPr="00485F85" w:rsidRDefault="00C71F33" w:rsidP="00C71F33">
            <w:pPr>
              <w:tabs>
                <w:tab w:val="clear" w:pos="1615"/>
              </w:tabs>
              <w:spacing w:line="276" w:lineRule="auto"/>
              <w:outlineLvl w:val="0"/>
              <w:rPr>
                <w:rFonts w:asciiTheme="majorHAnsi" w:hAnsiTheme="majorHAnsi" w:cstheme="majorHAnsi"/>
                <w:bCs/>
              </w:rPr>
            </w:pPr>
          </w:p>
        </w:tc>
        <w:tc>
          <w:tcPr>
            <w:tcW w:w="1417" w:type="dxa"/>
            <w:vAlign w:val="center"/>
          </w:tcPr>
          <w:p w14:paraId="702A219D" w14:textId="77777777" w:rsidR="00C71F33" w:rsidRPr="00485F85" w:rsidRDefault="00C71F33" w:rsidP="00C71F33">
            <w:pPr>
              <w:tabs>
                <w:tab w:val="clear" w:pos="1615"/>
              </w:tabs>
              <w:spacing w:line="276" w:lineRule="auto"/>
              <w:outlineLvl w:val="0"/>
              <w:rPr>
                <w:rFonts w:asciiTheme="majorHAnsi" w:hAnsiTheme="majorHAnsi" w:cstheme="majorHAnsi"/>
                <w:bCs/>
              </w:rPr>
            </w:pPr>
          </w:p>
        </w:tc>
      </w:tr>
      <w:tr w:rsidR="00C71F33" w:rsidRPr="00485F85" w14:paraId="31E5EC26" w14:textId="77777777" w:rsidTr="006A55D6">
        <w:trPr>
          <w:trHeight w:val="391"/>
        </w:trPr>
        <w:tc>
          <w:tcPr>
            <w:tcW w:w="7650" w:type="dxa"/>
          </w:tcPr>
          <w:p w14:paraId="2CED1475" w14:textId="5C1B4D30"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1.1.2 IMPACTO ECONÔMICO DA UNIVERSIDADE NO ENTORNO</w:t>
            </w:r>
          </w:p>
        </w:tc>
        <w:tc>
          <w:tcPr>
            <w:tcW w:w="1417" w:type="dxa"/>
            <w:vAlign w:val="center"/>
          </w:tcPr>
          <w:p w14:paraId="1E36A85E" w14:textId="1E6D0BC6"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08</w:t>
            </w:r>
          </w:p>
        </w:tc>
      </w:tr>
      <w:tr w:rsidR="00C71F33" w:rsidRPr="00485F85" w14:paraId="31D63B81" w14:textId="77777777" w:rsidTr="006A55D6">
        <w:trPr>
          <w:trHeight w:val="391"/>
        </w:trPr>
        <w:tc>
          <w:tcPr>
            <w:tcW w:w="7650" w:type="dxa"/>
          </w:tcPr>
          <w:p w14:paraId="5CA14B04" w14:textId="77777777" w:rsidR="00C71F33" w:rsidRPr="00485F85" w:rsidRDefault="00C71F33" w:rsidP="00C71F33">
            <w:pPr>
              <w:tabs>
                <w:tab w:val="clear" w:pos="1615"/>
              </w:tabs>
              <w:spacing w:line="276" w:lineRule="auto"/>
              <w:outlineLvl w:val="0"/>
              <w:rPr>
                <w:rFonts w:asciiTheme="majorHAnsi" w:hAnsiTheme="majorHAnsi" w:cstheme="majorHAnsi"/>
                <w:bCs/>
              </w:rPr>
            </w:pPr>
          </w:p>
        </w:tc>
        <w:tc>
          <w:tcPr>
            <w:tcW w:w="1417" w:type="dxa"/>
            <w:vAlign w:val="center"/>
          </w:tcPr>
          <w:p w14:paraId="32C7B0CB" w14:textId="77777777" w:rsidR="00C71F33" w:rsidRPr="00485F85" w:rsidRDefault="00C71F33" w:rsidP="00C71F33">
            <w:pPr>
              <w:tabs>
                <w:tab w:val="clear" w:pos="1615"/>
              </w:tabs>
              <w:spacing w:line="276" w:lineRule="auto"/>
              <w:outlineLvl w:val="0"/>
              <w:rPr>
                <w:rFonts w:asciiTheme="majorHAnsi" w:hAnsiTheme="majorHAnsi" w:cstheme="majorHAnsi"/>
                <w:bCs/>
              </w:rPr>
            </w:pPr>
          </w:p>
        </w:tc>
      </w:tr>
      <w:tr w:rsidR="00C71F33" w:rsidRPr="00485F85" w14:paraId="6068378D" w14:textId="77777777" w:rsidTr="006A55D6">
        <w:trPr>
          <w:trHeight w:val="391"/>
        </w:trPr>
        <w:tc>
          <w:tcPr>
            <w:tcW w:w="7650" w:type="dxa"/>
          </w:tcPr>
          <w:p w14:paraId="02B5A2F4" w14:textId="5D0FB0AF"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1.1.3 CONTEXTO DA COVID-19 NA UNIVERSIDADE</w:t>
            </w:r>
          </w:p>
        </w:tc>
        <w:tc>
          <w:tcPr>
            <w:tcW w:w="1417" w:type="dxa"/>
            <w:vAlign w:val="center"/>
          </w:tcPr>
          <w:p w14:paraId="0D390B03" w14:textId="3DFA1D44"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13</w:t>
            </w:r>
          </w:p>
        </w:tc>
      </w:tr>
      <w:tr w:rsidR="00C71F33" w:rsidRPr="00485F85" w14:paraId="20448B58" w14:textId="77777777" w:rsidTr="006A55D6">
        <w:trPr>
          <w:trHeight w:val="391"/>
        </w:trPr>
        <w:tc>
          <w:tcPr>
            <w:tcW w:w="7650" w:type="dxa"/>
          </w:tcPr>
          <w:p w14:paraId="1927F54E" w14:textId="77777777" w:rsidR="00C71F33" w:rsidRPr="00485F85" w:rsidRDefault="00C71F33" w:rsidP="00C71F33">
            <w:pPr>
              <w:tabs>
                <w:tab w:val="clear" w:pos="1615"/>
              </w:tabs>
              <w:spacing w:line="276" w:lineRule="auto"/>
              <w:outlineLvl w:val="0"/>
              <w:rPr>
                <w:rFonts w:asciiTheme="majorHAnsi" w:hAnsiTheme="majorHAnsi" w:cstheme="majorHAnsi"/>
                <w:bCs/>
              </w:rPr>
            </w:pPr>
          </w:p>
        </w:tc>
        <w:tc>
          <w:tcPr>
            <w:tcW w:w="1417" w:type="dxa"/>
            <w:vAlign w:val="center"/>
          </w:tcPr>
          <w:p w14:paraId="2CFA7AC4" w14:textId="77777777" w:rsidR="00C71F33" w:rsidRPr="00485F85" w:rsidRDefault="00C71F33" w:rsidP="00C71F33">
            <w:pPr>
              <w:tabs>
                <w:tab w:val="clear" w:pos="1615"/>
              </w:tabs>
              <w:spacing w:line="276" w:lineRule="auto"/>
              <w:outlineLvl w:val="0"/>
              <w:rPr>
                <w:rFonts w:asciiTheme="majorHAnsi" w:hAnsiTheme="majorHAnsi" w:cstheme="majorHAnsi"/>
                <w:bCs/>
              </w:rPr>
            </w:pPr>
          </w:p>
        </w:tc>
      </w:tr>
      <w:tr w:rsidR="00C71F33" w:rsidRPr="00485F85" w14:paraId="2F66CBA1" w14:textId="77777777" w:rsidTr="006A55D6">
        <w:trPr>
          <w:trHeight w:val="391"/>
        </w:trPr>
        <w:tc>
          <w:tcPr>
            <w:tcW w:w="7650" w:type="dxa"/>
          </w:tcPr>
          <w:p w14:paraId="00A27628" w14:textId="4EA13161"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2. METODOLOGIA</w:t>
            </w:r>
          </w:p>
        </w:tc>
        <w:tc>
          <w:tcPr>
            <w:tcW w:w="1417" w:type="dxa"/>
            <w:vAlign w:val="center"/>
          </w:tcPr>
          <w:p w14:paraId="739B7F12" w14:textId="18F032A1"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C71F33" w:rsidRPr="00485F85" w14:paraId="46E3401A" w14:textId="77777777" w:rsidTr="006A55D6">
        <w:trPr>
          <w:trHeight w:val="391"/>
        </w:trPr>
        <w:tc>
          <w:tcPr>
            <w:tcW w:w="7650" w:type="dxa"/>
          </w:tcPr>
          <w:p w14:paraId="159EA8B2" w14:textId="77777777" w:rsidR="00C71F33" w:rsidRPr="00485F85" w:rsidRDefault="00C71F33" w:rsidP="00C71F33">
            <w:pPr>
              <w:tabs>
                <w:tab w:val="clear" w:pos="1615"/>
              </w:tabs>
              <w:spacing w:line="276" w:lineRule="auto"/>
              <w:outlineLvl w:val="0"/>
              <w:rPr>
                <w:rFonts w:asciiTheme="majorHAnsi" w:hAnsiTheme="majorHAnsi" w:cstheme="majorHAnsi"/>
                <w:bCs/>
              </w:rPr>
            </w:pPr>
          </w:p>
        </w:tc>
        <w:tc>
          <w:tcPr>
            <w:tcW w:w="1417" w:type="dxa"/>
            <w:vAlign w:val="center"/>
          </w:tcPr>
          <w:p w14:paraId="02BA79E7" w14:textId="77777777" w:rsidR="00C71F33" w:rsidRPr="00485F85" w:rsidRDefault="00C71F33" w:rsidP="00C71F33">
            <w:pPr>
              <w:tabs>
                <w:tab w:val="clear" w:pos="1615"/>
              </w:tabs>
              <w:spacing w:line="276" w:lineRule="auto"/>
              <w:outlineLvl w:val="0"/>
              <w:rPr>
                <w:rFonts w:asciiTheme="majorHAnsi" w:hAnsiTheme="majorHAnsi" w:cstheme="majorHAnsi"/>
                <w:bCs/>
              </w:rPr>
            </w:pPr>
          </w:p>
        </w:tc>
      </w:tr>
      <w:tr w:rsidR="00C71F33" w:rsidRPr="00485F85" w14:paraId="7743AAD6" w14:textId="77777777" w:rsidTr="006A55D6">
        <w:trPr>
          <w:trHeight w:val="391"/>
        </w:trPr>
        <w:tc>
          <w:tcPr>
            <w:tcW w:w="7650" w:type="dxa"/>
          </w:tcPr>
          <w:p w14:paraId="171EED3B" w14:textId="262F20DD"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 RESULTADOS ENCONTRADOS</w:t>
            </w:r>
          </w:p>
        </w:tc>
        <w:tc>
          <w:tcPr>
            <w:tcW w:w="1417" w:type="dxa"/>
            <w:vAlign w:val="center"/>
          </w:tcPr>
          <w:p w14:paraId="187FBB5D" w14:textId="790C72E2"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C71F33" w:rsidRPr="00485F85" w14:paraId="5FC8F13B" w14:textId="77777777" w:rsidTr="006A55D6">
        <w:trPr>
          <w:trHeight w:val="391"/>
        </w:trPr>
        <w:tc>
          <w:tcPr>
            <w:tcW w:w="7650" w:type="dxa"/>
          </w:tcPr>
          <w:p w14:paraId="79FDBB97"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161286C5"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5C35F264" w14:textId="77777777" w:rsidTr="006A55D6">
        <w:trPr>
          <w:trHeight w:val="391"/>
        </w:trPr>
        <w:tc>
          <w:tcPr>
            <w:tcW w:w="7650" w:type="dxa"/>
          </w:tcPr>
          <w:p w14:paraId="3ADB5115" w14:textId="36340A6A"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 RESULTADOS DO BENCKMARKING DA UNIVERSIDADE DE OXFORD</w:t>
            </w:r>
          </w:p>
        </w:tc>
        <w:tc>
          <w:tcPr>
            <w:tcW w:w="1417" w:type="dxa"/>
            <w:vAlign w:val="center"/>
          </w:tcPr>
          <w:p w14:paraId="0AC254A5" w14:textId="05805F66"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C71F33" w:rsidRPr="00485F85" w14:paraId="71E79D53" w14:textId="77777777" w:rsidTr="006A55D6">
        <w:trPr>
          <w:trHeight w:val="391"/>
        </w:trPr>
        <w:tc>
          <w:tcPr>
            <w:tcW w:w="7650" w:type="dxa"/>
          </w:tcPr>
          <w:p w14:paraId="1CA0C5DD"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5ED37976"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1E34DB3" w14:textId="77777777" w:rsidTr="006A55D6">
        <w:trPr>
          <w:trHeight w:val="391"/>
        </w:trPr>
        <w:tc>
          <w:tcPr>
            <w:tcW w:w="7650" w:type="dxa"/>
          </w:tcPr>
          <w:p w14:paraId="5D8B63D9" w14:textId="1687203A"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3.1.1 DIMENSÃO 1. ESTRUTURA ACADÊMICA E ADMINISTRATIVA</w:t>
            </w:r>
          </w:p>
        </w:tc>
        <w:tc>
          <w:tcPr>
            <w:tcW w:w="1417" w:type="dxa"/>
            <w:vAlign w:val="center"/>
          </w:tcPr>
          <w:p w14:paraId="47826ED9" w14:textId="58EBFE2D"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20</w:t>
            </w:r>
          </w:p>
        </w:tc>
      </w:tr>
      <w:tr w:rsidR="00C71F33" w:rsidRPr="00485F85" w14:paraId="50D1FFF9" w14:textId="77777777" w:rsidTr="006A55D6">
        <w:trPr>
          <w:trHeight w:val="391"/>
        </w:trPr>
        <w:tc>
          <w:tcPr>
            <w:tcW w:w="7650" w:type="dxa"/>
          </w:tcPr>
          <w:p w14:paraId="3828C82F"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0F948C2B"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5D45160C" w14:textId="77777777" w:rsidTr="006A55D6">
        <w:trPr>
          <w:trHeight w:val="391"/>
        </w:trPr>
        <w:tc>
          <w:tcPr>
            <w:tcW w:w="7650" w:type="dxa"/>
          </w:tcPr>
          <w:p w14:paraId="2355CFB2" w14:textId="69925216"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3.1.2 DIMENSÃO 2. INFRAESTRUTURA FÍSICA</w:t>
            </w:r>
          </w:p>
        </w:tc>
        <w:tc>
          <w:tcPr>
            <w:tcW w:w="1417" w:type="dxa"/>
            <w:vAlign w:val="center"/>
          </w:tcPr>
          <w:p w14:paraId="2E0DAA25" w14:textId="2D64111A"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C71F33" w:rsidRPr="00485F85" w14:paraId="78FF315E" w14:textId="77777777" w:rsidTr="006A55D6">
        <w:trPr>
          <w:trHeight w:val="391"/>
        </w:trPr>
        <w:tc>
          <w:tcPr>
            <w:tcW w:w="7650" w:type="dxa"/>
          </w:tcPr>
          <w:p w14:paraId="3E6BA493"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295698D"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2B449AB3" w14:textId="77777777" w:rsidTr="006A55D6">
        <w:trPr>
          <w:trHeight w:val="391"/>
        </w:trPr>
        <w:tc>
          <w:tcPr>
            <w:tcW w:w="7650" w:type="dxa"/>
          </w:tcPr>
          <w:p w14:paraId="7115D99B" w14:textId="1C66C392"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3.1.3 DIMENSÃO 3. COMUNIDADE UNIVERSITÁRIA/ ACADÊMICA</w:t>
            </w:r>
          </w:p>
        </w:tc>
        <w:tc>
          <w:tcPr>
            <w:tcW w:w="1417" w:type="dxa"/>
            <w:vAlign w:val="center"/>
          </w:tcPr>
          <w:p w14:paraId="6E4A1640" w14:textId="2D696CDD"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C71F33" w:rsidRPr="00485F85" w14:paraId="37071EF4" w14:textId="77777777" w:rsidTr="006A55D6">
        <w:trPr>
          <w:trHeight w:val="391"/>
        </w:trPr>
        <w:tc>
          <w:tcPr>
            <w:tcW w:w="7650" w:type="dxa"/>
          </w:tcPr>
          <w:p w14:paraId="01EF8BD7"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5DD45D2B"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62BBAAB9" w14:textId="77777777" w:rsidTr="006A55D6">
        <w:trPr>
          <w:trHeight w:val="391"/>
        </w:trPr>
        <w:tc>
          <w:tcPr>
            <w:tcW w:w="7650" w:type="dxa"/>
          </w:tcPr>
          <w:p w14:paraId="273B4970" w14:textId="5E69DD8B"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3.1.4 DIMENSÃO 4. ENSINO</w:t>
            </w:r>
          </w:p>
        </w:tc>
        <w:tc>
          <w:tcPr>
            <w:tcW w:w="1417" w:type="dxa"/>
            <w:vAlign w:val="center"/>
          </w:tcPr>
          <w:p w14:paraId="287D1C84" w14:textId="1E6518D5"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23</w:t>
            </w:r>
          </w:p>
        </w:tc>
      </w:tr>
      <w:tr w:rsidR="00C71F33" w:rsidRPr="00485F85" w14:paraId="176D39AC" w14:textId="77777777" w:rsidTr="006A55D6">
        <w:trPr>
          <w:trHeight w:val="391"/>
        </w:trPr>
        <w:tc>
          <w:tcPr>
            <w:tcW w:w="7650" w:type="dxa"/>
          </w:tcPr>
          <w:p w14:paraId="549172F1"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6AF36B6E"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13E6C8C9" w14:textId="77777777" w:rsidTr="006A55D6">
        <w:trPr>
          <w:trHeight w:val="391"/>
        </w:trPr>
        <w:tc>
          <w:tcPr>
            <w:tcW w:w="7650" w:type="dxa"/>
          </w:tcPr>
          <w:p w14:paraId="544A45BD" w14:textId="01D22287"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3.1.5 DIMENSÃO 5. PESQUISA E DESENVOLVIMENTO</w:t>
            </w:r>
          </w:p>
        </w:tc>
        <w:tc>
          <w:tcPr>
            <w:tcW w:w="1417" w:type="dxa"/>
            <w:vAlign w:val="center"/>
          </w:tcPr>
          <w:p w14:paraId="40623DB9" w14:textId="75834AEA"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25</w:t>
            </w:r>
          </w:p>
        </w:tc>
      </w:tr>
      <w:tr w:rsidR="00C71F33" w:rsidRPr="00485F85" w14:paraId="3B298A4E" w14:textId="77777777" w:rsidTr="006A55D6">
        <w:trPr>
          <w:trHeight w:val="391"/>
        </w:trPr>
        <w:tc>
          <w:tcPr>
            <w:tcW w:w="7650" w:type="dxa"/>
          </w:tcPr>
          <w:p w14:paraId="17B1940C"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12895FB6"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1428BFAE" w14:textId="77777777" w:rsidTr="006A55D6">
        <w:trPr>
          <w:trHeight w:val="391"/>
        </w:trPr>
        <w:tc>
          <w:tcPr>
            <w:tcW w:w="7650" w:type="dxa"/>
          </w:tcPr>
          <w:p w14:paraId="43ABAD39" w14:textId="037B01E2"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3.1.6 DIMENSÃO 6. POLÍTICAS DE EXTENSÃO</w:t>
            </w:r>
          </w:p>
        </w:tc>
        <w:tc>
          <w:tcPr>
            <w:tcW w:w="1417" w:type="dxa"/>
            <w:vAlign w:val="center"/>
          </w:tcPr>
          <w:p w14:paraId="2C214A36" w14:textId="2103ECDB"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C71F33" w:rsidRPr="00485F85" w14:paraId="7EE90F6D" w14:textId="77777777" w:rsidTr="006A55D6">
        <w:trPr>
          <w:trHeight w:val="391"/>
        </w:trPr>
        <w:tc>
          <w:tcPr>
            <w:tcW w:w="7650" w:type="dxa"/>
          </w:tcPr>
          <w:p w14:paraId="7A4E2351"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22ADC19B"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D4DE618" w14:textId="77777777" w:rsidTr="006A55D6">
        <w:trPr>
          <w:trHeight w:val="391"/>
        </w:trPr>
        <w:tc>
          <w:tcPr>
            <w:tcW w:w="7650" w:type="dxa"/>
          </w:tcPr>
          <w:p w14:paraId="4E01CAAC" w14:textId="25269F98"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3.1.7 DIMENSÃO 7. FINANCIAMENTO</w:t>
            </w:r>
          </w:p>
        </w:tc>
        <w:tc>
          <w:tcPr>
            <w:tcW w:w="1417" w:type="dxa"/>
            <w:vAlign w:val="center"/>
          </w:tcPr>
          <w:p w14:paraId="35C90EEA" w14:textId="55C54FD3"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C71F33" w:rsidRPr="00485F85" w14:paraId="7ECECF51" w14:textId="77777777" w:rsidTr="006A55D6">
        <w:trPr>
          <w:trHeight w:val="391"/>
        </w:trPr>
        <w:tc>
          <w:tcPr>
            <w:tcW w:w="7650" w:type="dxa"/>
          </w:tcPr>
          <w:p w14:paraId="308124AD"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6568C15C"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08922D8A" w14:textId="77777777" w:rsidTr="006A55D6">
        <w:trPr>
          <w:trHeight w:val="391"/>
        </w:trPr>
        <w:tc>
          <w:tcPr>
            <w:tcW w:w="7650" w:type="dxa"/>
          </w:tcPr>
          <w:p w14:paraId="5EF46204" w14:textId="0C9C812D"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3.1.8 DIMENSÃO 8. POLÍTICA DE RELACIONAMENTO EXTERNO</w:t>
            </w:r>
          </w:p>
        </w:tc>
        <w:tc>
          <w:tcPr>
            <w:tcW w:w="1417" w:type="dxa"/>
            <w:vAlign w:val="center"/>
          </w:tcPr>
          <w:p w14:paraId="60611C93" w14:textId="6B145125"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C71F33" w:rsidRPr="00485F85" w14:paraId="7AF4F533" w14:textId="77777777" w:rsidTr="006A55D6">
        <w:trPr>
          <w:trHeight w:val="391"/>
        </w:trPr>
        <w:tc>
          <w:tcPr>
            <w:tcW w:w="7650" w:type="dxa"/>
          </w:tcPr>
          <w:p w14:paraId="6AE9BD74"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2415FF6E"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2E03F59D" w14:textId="77777777" w:rsidTr="006A55D6">
        <w:trPr>
          <w:trHeight w:val="391"/>
        </w:trPr>
        <w:tc>
          <w:tcPr>
            <w:tcW w:w="7650" w:type="dxa"/>
          </w:tcPr>
          <w:p w14:paraId="226FA85B" w14:textId="2FEC0A3B"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lastRenderedPageBreak/>
              <w:t>3.1.9 DIMENSÃO 9. VINCULAÇÃO COM A EDUCAÇÃO BÁSICA</w:t>
            </w:r>
          </w:p>
        </w:tc>
        <w:tc>
          <w:tcPr>
            <w:tcW w:w="1417" w:type="dxa"/>
            <w:vAlign w:val="center"/>
          </w:tcPr>
          <w:p w14:paraId="309A643B" w14:textId="0D5133E2"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29</w:t>
            </w:r>
          </w:p>
        </w:tc>
      </w:tr>
      <w:tr w:rsidR="00C71F33" w:rsidRPr="00485F85" w14:paraId="4FC48B97" w14:textId="77777777" w:rsidTr="006A55D6">
        <w:trPr>
          <w:trHeight w:val="391"/>
        </w:trPr>
        <w:tc>
          <w:tcPr>
            <w:tcW w:w="7650" w:type="dxa"/>
          </w:tcPr>
          <w:p w14:paraId="68F25B21"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349EEBB0"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7ED8BCC" w14:textId="77777777" w:rsidTr="006A55D6">
        <w:trPr>
          <w:trHeight w:val="391"/>
        </w:trPr>
        <w:tc>
          <w:tcPr>
            <w:tcW w:w="7650" w:type="dxa"/>
          </w:tcPr>
          <w:p w14:paraId="422BF2BA" w14:textId="57244CA5"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3.1.10 DIMENSÃO 10 IMPACTO NA INDÚSTRIA/SETOR PRODUTIVO</w:t>
            </w:r>
          </w:p>
        </w:tc>
        <w:tc>
          <w:tcPr>
            <w:tcW w:w="1417" w:type="dxa"/>
            <w:vAlign w:val="center"/>
          </w:tcPr>
          <w:p w14:paraId="2B0B9F5D" w14:textId="269D4729"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C71F33" w:rsidRPr="00485F85" w14:paraId="07496872" w14:textId="77777777" w:rsidTr="006A55D6">
        <w:trPr>
          <w:trHeight w:val="391"/>
        </w:trPr>
        <w:tc>
          <w:tcPr>
            <w:tcW w:w="7650" w:type="dxa"/>
          </w:tcPr>
          <w:p w14:paraId="6F190938"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2E8389C7"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3370A9BF" w14:textId="77777777" w:rsidTr="006A55D6">
        <w:trPr>
          <w:trHeight w:val="391"/>
        </w:trPr>
        <w:tc>
          <w:tcPr>
            <w:tcW w:w="7650" w:type="dxa"/>
          </w:tcPr>
          <w:p w14:paraId="26388607" w14:textId="278EC6CB"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3.1.11 DIMENSÃO 11 IMPACTO PARA A COMUNIDADE LOCAL</w:t>
            </w:r>
          </w:p>
        </w:tc>
        <w:tc>
          <w:tcPr>
            <w:tcW w:w="1417" w:type="dxa"/>
            <w:vAlign w:val="center"/>
          </w:tcPr>
          <w:p w14:paraId="617A7F40" w14:textId="2B6D29D9"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C71F33" w:rsidRPr="00485F85" w14:paraId="272DA2A7" w14:textId="77777777" w:rsidTr="006A55D6">
        <w:trPr>
          <w:trHeight w:val="391"/>
        </w:trPr>
        <w:tc>
          <w:tcPr>
            <w:tcW w:w="7650" w:type="dxa"/>
          </w:tcPr>
          <w:p w14:paraId="042CC2A8"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4345856"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60841B21" w14:textId="77777777" w:rsidTr="006A55D6">
        <w:trPr>
          <w:trHeight w:val="391"/>
        </w:trPr>
        <w:tc>
          <w:tcPr>
            <w:tcW w:w="7650" w:type="dxa"/>
          </w:tcPr>
          <w:p w14:paraId="1CC5981E" w14:textId="78D005DC"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3.1.12 DIMENSÃO 12 AUTOCONHECIMENTO E USOS NA GESTÃO</w:t>
            </w:r>
          </w:p>
        </w:tc>
        <w:tc>
          <w:tcPr>
            <w:tcW w:w="1417" w:type="dxa"/>
            <w:vAlign w:val="center"/>
          </w:tcPr>
          <w:p w14:paraId="63697A42" w14:textId="5F7DB32B"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32</w:t>
            </w:r>
          </w:p>
        </w:tc>
      </w:tr>
      <w:tr w:rsidR="00C71F33" w:rsidRPr="00485F85" w14:paraId="2C63214D" w14:textId="77777777" w:rsidTr="006A55D6">
        <w:trPr>
          <w:trHeight w:val="391"/>
        </w:trPr>
        <w:tc>
          <w:tcPr>
            <w:tcW w:w="7650" w:type="dxa"/>
          </w:tcPr>
          <w:p w14:paraId="4711A312"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0AA9BA77"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4264BB0E" w14:textId="77777777" w:rsidTr="006A55D6">
        <w:trPr>
          <w:trHeight w:val="391"/>
        </w:trPr>
        <w:tc>
          <w:tcPr>
            <w:tcW w:w="7650" w:type="dxa"/>
          </w:tcPr>
          <w:p w14:paraId="7201580B" w14:textId="2562A4C7"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 BOAS PRÁTICAS MAPEADAS</w:t>
            </w:r>
          </w:p>
        </w:tc>
        <w:tc>
          <w:tcPr>
            <w:tcW w:w="1417" w:type="dxa"/>
            <w:vAlign w:val="center"/>
          </w:tcPr>
          <w:p w14:paraId="389B8C5E" w14:textId="545831BF"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C71F33" w:rsidRPr="00485F85" w14:paraId="75AB11B7" w14:textId="77777777" w:rsidTr="006A55D6">
        <w:trPr>
          <w:trHeight w:val="391"/>
        </w:trPr>
        <w:tc>
          <w:tcPr>
            <w:tcW w:w="7650" w:type="dxa"/>
          </w:tcPr>
          <w:p w14:paraId="2D68D7D0"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2A2C043B"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B8AC0EA" w14:textId="77777777" w:rsidTr="006A55D6">
        <w:trPr>
          <w:trHeight w:val="391"/>
        </w:trPr>
        <w:tc>
          <w:tcPr>
            <w:tcW w:w="7650" w:type="dxa"/>
          </w:tcPr>
          <w:p w14:paraId="3ED381DB" w14:textId="05069691"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3.2.1 DIMENSÃO 1. ESTRUTURA ACADÊMICA E ADMINISTRATIVA</w:t>
            </w:r>
          </w:p>
        </w:tc>
        <w:tc>
          <w:tcPr>
            <w:tcW w:w="1417" w:type="dxa"/>
            <w:vAlign w:val="center"/>
          </w:tcPr>
          <w:p w14:paraId="53298972" w14:textId="68CAE555"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35</w:t>
            </w:r>
          </w:p>
        </w:tc>
      </w:tr>
      <w:tr w:rsidR="00C71F33" w:rsidRPr="00485F85" w14:paraId="67AC5B01" w14:textId="77777777" w:rsidTr="006A55D6">
        <w:trPr>
          <w:trHeight w:val="391"/>
        </w:trPr>
        <w:tc>
          <w:tcPr>
            <w:tcW w:w="7650" w:type="dxa"/>
          </w:tcPr>
          <w:p w14:paraId="1517BD6F"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ACAF881"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27EC2411" w14:textId="77777777" w:rsidTr="006A55D6">
        <w:trPr>
          <w:trHeight w:val="391"/>
        </w:trPr>
        <w:tc>
          <w:tcPr>
            <w:tcW w:w="7650" w:type="dxa"/>
          </w:tcPr>
          <w:p w14:paraId="5A2C3604" w14:textId="2E921E72"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3.2.2 DIMENSÃO 2. INFRAESTRUTURA FÍSICA</w:t>
            </w:r>
          </w:p>
        </w:tc>
        <w:tc>
          <w:tcPr>
            <w:tcW w:w="1417" w:type="dxa"/>
            <w:vAlign w:val="center"/>
          </w:tcPr>
          <w:p w14:paraId="6D210C92" w14:textId="36A6CDE9"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36</w:t>
            </w:r>
          </w:p>
        </w:tc>
      </w:tr>
      <w:tr w:rsidR="00C71F33" w:rsidRPr="00485F85" w14:paraId="29DA0393" w14:textId="77777777" w:rsidTr="006A55D6">
        <w:trPr>
          <w:trHeight w:val="391"/>
        </w:trPr>
        <w:tc>
          <w:tcPr>
            <w:tcW w:w="7650" w:type="dxa"/>
          </w:tcPr>
          <w:p w14:paraId="293070BA"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2614D2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A07724E" w14:textId="77777777" w:rsidTr="006A55D6">
        <w:trPr>
          <w:trHeight w:val="391"/>
        </w:trPr>
        <w:tc>
          <w:tcPr>
            <w:tcW w:w="7650" w:type="dxa"/>
          </w:tcPr>
          <w:p w14:paraId="2BC7E489" w14:textId="13CD70A1"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3.2.3 DIMENSÃO 3. COMUNIDADE UNIVERSITÁRIA/ ACADÊMICA</w:t>
            </w:r>
          </w:p>
        </w:tc>
        <w:tc>
          <w:tcPr>
            <w:tcW w:w="1417" w:type="dxa"/>
            <w:vAlign w:val="center"/>
          </w:tcPr>
          <w:p w14:paraId="2E973636" w14:textId="4B667A00"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38</w:t>
            </w:r>
          </w:p>
        </w:tc>
      </w:tr>
      <w:tr w:rsidR="00C71F33" w:rsidRPr="00485F85" w14:paraId="56E271E1" w14:textId="77777777" w:rsidTr="006A55D6">
        <w:trPr>
          <w:trHeight w:val="391"/>
        </w:trPr>
        <w:tc>
          <w:tcPr>
            <w:tcW w:w="7650" w:type="dxa"/>
          </w:tcPr>
          <w:p w14:paraId="0AB91F7D"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7AF9A957"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F00F5F4" w14:textId="77777777" w:rsidTr="006A55D6">
        <w:trPr>
          <w:trHeight w:val="391"/>
        </w:trPr>
        <w:tc>
          <w:tcPr>
            <w:tcW w:w="7650" w:type="dxa"/>
          </w:tcPr>
          <w:p w14:paraId="4837A792" w14:textId="3673815A"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3.2.4 DIMENSÃO 4. ENSINO</w:t>
            </w:r>
          </w:p>
        </w:tc>
        <w:tc>
          <w:tcPr>
            <w:tcW w:w="1417" w:type="dxa"/>
            <w:vAlign w:val="center"/>
          </w:tcPr>
          <w:p w14:paraId="1A2455EC" w14:textId="08361C76"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40</w:t>
            </w:r>
          </w:p>
        </w:tc>
      </w:tr>
      <w:tr w:rsidR="00C71F33" w:rsidRPr="00485F85" w14:paraId="5DD5D0CB" w14:textId="77777777" w:rsidTr="006A55D6">
        <w:trPr>
          <w:trHeight w:val="391"/>
        </w:trPr>
        <w:tc>
          <w:tcPr>
            <w:tcW w:w="7650" w:type="dxa"/>
          </w:tcPr>
          <w:p w14:paraId="62E88CD2"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0E6F45CF"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3FD2173E" w14:textId="77777777" w:rsidTr="006A55D6">
        <w:trPr>
          <w:trHeight w:val="391"/>
        </w:trPr>
        <w:tc>
          <w:tcPr>
            <w:tcW w:w="7650" w:type="dxa"/>
          </w:tcPr>
          <w:p w14:paraId="6EB7D73B" w14:textId="3FEEC21E"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3.2.5 DIMENSÃO 5. PESQUISA E DESENVOLVIMENTO</w:t>
            </w:r>
          </w:p>
        </w:tc>
        <w:tc>
          <w:tcPr>
            <w:tcW w:w="1417" w:type="dxa"/>
            <w:vAlign w:val="center"/>
          </w:tcPr>
          <w:p w14:paraId="1DC8EA52" w14:textId="4599C6D3"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42</w:t>
            </w:r>
          </w:p>
        </w:tc>
      </w:tr>
      <w:tr w:rsidR="00C71F33" w:rsidRPr="00485F85" w14:paraId="592498E3" w14:textId="77777777" w:rsidTr="006A55D6">
        <w:trPr>
          <w:trHeight w:val="391"/>
        </w:trPr>
        <w:tc>
          <w:tcPr>
            <w:tcW w:w="7650" w:type="dxa"/>
          </w:tcPr>
          <w:p w14:paraId="79D27BFD"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1AEB8A47"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324CB797" w14:textId="77777777" w:rsidTr="006A55D6">
        <w:trPr>
          <w:trHeight w:val="391"/>
        </w:trPr>
        <w:tc>
          <w:tcPr>
            <w:tcW w:w="7650" w:type="dxa"/>
          </w:tcPr>
          <w:p w14:paraId="6C0A2729" w14:textId="7A77C7A6"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3.2.6 DIMENSÃO 6. POLÍTICAS DE EXTENSÃO</w:t>
            </w:r>
          </w:p>
        </w:tc>
        <w:tc>
          <w:tcPr>
            <w:tcW w:w="1417" w:type="dxa"/>
            <w:vAlign w:val="center"/>
          </w:tcPr>
          <w:p w14:paraId="5C8D42E8" w14:textId="6033310D"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44</w:t>
            </w:r>
          </w:p>
        </w:tc>
      </w:tr>
      <w:tr w:rsidR="00C71F33" w:rsidRPr="00485F85" w14:paraId="6745015E" w14:textId="77777777" w:rsidTr="006A55D6">
        <w:trPr>
          <w:trHeight w:val="391"/>
        </w:trPr>
        <w:tc>
          <w:tcPr>
            <w:tcW w:w="7650" w:type="dxa"/>
          </w:tcPr>
          <w:p w14:paraId="442BF89E"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65ED9A4A"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B0D5424" w14:textId="77777777" w:rsidTr="006A55D6">
        <w:trPr>
          <w:trHeight w:val="391"/>
        </w:trPr>
        <w:tc>
          <w:tcPr>
            <w:tcW w:w="7650" w:type="dxa"/>
          </w:tcPr>
          <w:p w14:paraId="5D524FFC" w14:textId="057C2BBA"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3.2.7 DIMENSÃO 7. FINANCIAMENTO</w:t>
            </w:r>
          </w:p>
        </w:tc>
        <w:tc>
          <w:tcPr>
            <w:tcW w:w="1417" w:type="dxa"/>
            <w:vAlign w:val="center"/>
          </w:tcPr>
          <w:p w14:paraId="39D35269" w14:textId="07A63E0A"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46</w:t>
            </w:r>
          </w:p>
        </w:tc>
      </w:tr>
      <w:tr w:rsidR="00C71F33" w:rsidRPr="00485F85" w14:paraId="14077B7D" w14:textId="77777777" w:rsidTr="006A55D6">
        <w:trPr>
          <w:trHeight w:val="391"/>
        </w:trPr>
        <w:tc>
          <w:tcPr>
            <w:tcW w:w="7650" w:type="dxa"/>
          </w:tcPr>
          <w:p w14:paraId="4961ECA7"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4CC09B02"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453B8F73" w14:textId="77777777" w:rsidTr="006A55D6">
        <w:trPr>
          <w:trHeight w:val="391"/>
        </w:trPr>
        <w:tc>
          <w:tcPr>
            <w:tcW w:w="7650" w:type="dxa"/>
          </w:tcPr>
          <w:p w14:paraId="7E192321" w14:textId="093AE2CE"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3.2.8 DIMENSÃO 8. POLÍTICA DE RELACIONAMENTO EXTERNO</w:t>
            </w:r>
          </w:p>
        </w:tc>
        <w:tc>
          <w:tcPr>
            <w:tcW w:w="1417" w:type="dxa"/>
            <w:vAlign w:val="center"/>
          </w:tcPr>
          <w:p w14:paraId="25659616" w14:textId="331BB647"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48</w:t>
            </w:r>
          </w:p>
        </w:tc>
      </w:tr>
      <w:tr w:rsidR="00C71F33" w:rsidRPr="00485F85" w14:paraId="4BCF9F9C" w14:textId="77777777" w:rsidTr="006A55D6">
        <w:trPr>
          <w:trHeight w:val="391"/>
        </w:trPr>
        <w:tc>
          <w:tcPr>
            <w:tcW w:w="7650" w:type="dxa"/>
          </w:tcPr>
          <w:p w14:paraId="18FB173B"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73B6EDD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75FEE2E" w14:textId="77777777" w:rsidTr="006A55D6">
        <w:trPr>
          <w:trHeight w:val="391"/>
        </w:trPr>
        <w:tc>
          <w:tcPr>
            <w:tcW w:w="7650" w:type="dxa"/>
          </w:tcPr>
          <w:p w14:paraId="772AEE39" w14:textId="4F0AEB25"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3.2.9 DIMENSÃO 9. VINCULAÇÃO COM A EDUCAÇÃO BÁSICA</w:t>
            </w:r>
          </w:p>
        </w:tc>
        <w:tc>
          <w:tcPr>
            <w:tcW w:w="1417" w:type="dxa"/>
            <w:vAlign w:val="center"/>
          </w:tcPr>
          <w:p w14:paraId="4501F6A5" w14:textId="70EBC421"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C71F33" w:rsidRPr="00485F85" w14:paraId="297FEA84" w14:textId="77777777" w:rsidTr="006A55D6">
        <w:trPr>
          <w:trHeight w:val="391"/>
        </w:trPr>
        <w:tc>
          <w:tcPr>
            <w:tcW w:w="7650" w:type="dxa"/>
          </w:tcPr>
          <w:p w14:paraId="36415D89"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04AE304F"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3EE9CC1A" w14:textId="77777777" w:rsidTr="006A55D6">
        <w:trPr>
          <w:trHeight w:val="391"/>
        </w:trPr>
        <w:tc>
          <w:tcPr>
            <w:tcW w:w="7650" w:type="dxa"/>
          </w:tcPr>
          <w:p w14:paraId="2B549D0D" w14:textId="0C05FDA1"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3.2.10 DIMENSÃO 10 IMPACTO NA INDÚSTRIA/SETOR PRODUTIVO</w:t>
            </w:r>
          </w:p>
        </w:tc>
        <w:tc>
          <w:tcPr>
            <w:tcW w:w="1417" w:type="dxa"/>
            <w:vAlign w:val="center"/>
          </w:tcPr>
          <w:p w14:paraId="6819C00E" w14:textId="5CDFB099"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51</w:t>
            </w:r>
          </w:p>
        </w:tc>
      </w:tr>
      <w:tr w:rsidR="00C71F33" w:rsidRPr="00485F85" w14:paraId="0E07265D" w14:textId="77777777" w:rsidTr="006A55D6">
        <w:trPr>
          <w:trHeight w:val="391"/>
        </w:trPr>
        <w:tc>
          <w:tcPr>
            <w:tcW w:w="7650" w:type="dxa"/>
          </w:tcPr>
          <w:p w14:paraId="2A47D451"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20A8FD3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0E63454B" w14:textId="77777777" w:rsidTr="006A55D6">
        <w:trPr>
          <w:trHeight w:val="391"/>
        </w:trPr>
        <w:tc>
          <w:tcPr>
            <w:tcW w:w="7650" w:type="dxa"/>
          </w:tcPr>
          <w:p w14:paraId="4357692B" w14:textId="2BE905D9"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3.2.11 DIMENSÃO 11 IMPACTO PARA A COMUNIDADE LOCAL</w:t>
            </w:r>
          </w:p>
        </w:tc>
        <w:tc>
          <w:tcPr>
            <w:tcW w:w="1417" w:type="dxa"/>
            <w:vAlign w:val="center"/>
          </w:tcPr>
          <w:p w14:paraId="0B6A76FB" w14:textId="259232F8"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C71F33" w:rsidRPr="00485F85" w14:paraId="5FE2CA22" w14:textId="77777777" w:rsidTr="006A55D6">
        <w:trPr>
          <w:trHeight w:val="391"/>
        </w:trPr>
        <w:tc>
          <w:tcPr>
            <w:tcW w:w="7650" w:type="dxa"/>
          </w:tcPr>
          <w:p w14:paraId="1165F403" w14:textId="77777777" w:rsidR="00C71F33" w:rsidRPr="00485F85" w:rsidRDefault="00C71F33" w:rsidP="00C71F33">
            <w:pPr>
              <w:tabs>
                <w:tab w:val="clear" w:pos="1615"/>
              </w:tabs>
              <w:spacing w:line="276" w:lineRule="auto"/>
              <w:rPr>
                <w:rFonts w:asciiTheme="majorHAnsi" w:hAnsiTheme="majorHAnsi" w:cstheme="majorHAnsi"/>
                <w:bCs/>
              </w:rPr>
            </w:pPr>
          </w:p>
        </w:tc>
        <w:tc>
          <w:tcPr>
            <w:tcW w:w="1417" w:type="dxa"/>
            <w:vAlign w:val="center"/>
          </w:tcPr>
          <w:p w14:paraId="0F4EDF8C"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45B39565" w14:textId="77777777" w:rsidTr="006A55D6">
        <w:trPr>
          <w:trHeight w:val="391"/>
        </w:trPr>
        <w:tc>
          <w:tcPr>
            <w:tcW w:w="7650" w:type="dxa"/>
          </w:tcPr>
          <w:p w14:paraId="1A71771C" w14:textId="243C2A1D" w:rsidR="00C71F33" w:rsidRPr="00485F85" w:rsidRDefault="00C71F33" w:rsidP="00C71F33">
            <w:pPr>
              <w:tabs>
                <w:tab w:val="clear" w:pos="1615"/>
              </w:tabs>
              <w:spacing w:line="276" w:lineRule="auto"/>
              <w:rPr>
                <w:rFonts w:asciiTheme="majorHAnsi" w:hAnsiTheme="majorHAnsi" w:cstheme="majorHAnsi"/>
                <w:bCs/>
              </w:rPr>
            </w:pPr>
            <w:r w:rsidRPr="00485F85">
              <w:rPr>
                <w:rFonts w:asciiTheme="majorHAnsi" w:hAnsiTheme="majorHAnsi" w:cstheme="majorHAnsi"/>
              </w:rPr>
              <w:t>3.2.12 DIMENSÃO 12 AUTOCONHECIMENTO E USOS NA GESTÃO</w:t>
            </w:r>
          </w:p>
        </w:tc>
        <w:tc>
          <w:tcPr>
            <w:tcW w:w="1417" w:type="dxa"/>
            <w:vAlign w:val="center"/>
          </w:tcPr>
          <w:p w14:paraId="0DF33136" w14:textId="332852F5"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55</w:t>
            </w:r>
          </w:p>
        </w:tc>
      </w:tr>
      <w:tr w:rsidR="00C71F33" w:rsidRPr="00485F85" w14:paraId="068EACC6" w14:textId="77777777" w:rsidTr="006A55D6">
        <w:trPr>
          <w:trHeight w:val="391"/>
        </w:trPr>
        <w:tc>
          <w:tcPr>
            <w:tcW w:w="7650" w:type="dxa"/>
          </w:tcPr>
          <w:p w14:paraId="1577270D"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1721CBA8"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3B7D5D08" w14:textId="77777777" w:rsidTr="006A55D6">
        <w:trPr>
          <w:trHeight w:val="391"/>
        </w:trPr>
        <w:tc>
          <w:tcPr>
            <w:tcW w:w="7650" w:type="dxa"/>
          </w:tcPr>
          <w:p w14:paraId="2A86D902" w14:textId="73765103" w:rsidR="00C71F33" w:rsidRPr="00485F85" w:rsidRDefault="00C71F33" w:rsidP="00C71F33">
            <w:pPr>
              <w:tabs>
                <w:tab w:val="clear" w:pos="1615"/>
              </w:tabs>
              <w:spacing w:line="276" w:lineRule="auto"/>
              <w:rPr>
                <w:rFonts w:asciiTheme="majorHAnsi" w:hAnsiTheme="majorHAnsi" w:cstheme="majorHAnsi"/>
              </w:rPr>
            </w:pPr>
            <w:r w:rsidRPr="00485F85">
              <w:rPr>
                <w:rFonts w:asciiTheme="majorHAnsi" w:hAnsiTheme="majorHAnsi" w:cstheme="majorHAnsi"/>
              </w:rPr>
              <w:t>4. CONSIDERAÇÕES FINAIS</w:t>
            </w:r>
          </w:p>
        </w:tc>
        <w:tc>
          <w:tcPr>
            <w:tcW w:w="1417" w:type="dxa"/>
            <w:vAlign w:val="center"/>
          </w:tcPr>
          <w:p w14:paraId="123FFA98" w14:textId="1D0EC70B"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56</w:t>
            </w:r>
          </w:p>
        </w:tc>
      </w:tr>
      <w:tr w:rsidR="00C71F33" w:rsidRPr="00485F85" w14:paraId="413D1748" w14:textId="77777777" w:rsidTr="006A55D6">
        <w:trPr>
          <w:trHeight w:val="391"/>
        </w:trPr>
        <w:tc>
          <w:tcPr>
            <w:tcW w:w="7650" w:type="dxa"/>
          </w:tcPr>
          <w:p w14:paraId="5366BE24"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27995ACC"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4985C74D" w14:textId="77777777" w:rsidTr="006A55D6">
        <w:trPr>
          <w:trHeight w:val="391"/>
        </w:trPr>
        <w:tc>
          <w:tcPr>
            <w:tcW w:w="7650" w:type="dxa"/>
          </w:tcPr>
          <w:p w14:paraId="5FB2F075" w14:textId="46636159" w:rsidR="00C71F33" w:rsidRPr="00485F85" w:rsidRDefault="00C71F33" w:rsidP="00C71F33">
            <w:pPr>
              <w:tabs>
                <w:tab w:val="clear" w:pos="1615"/>
              </w:tabs>
              <w:spacing w:line="276" w:lineRule="auto"/>
              <w:rPr>
                <w:rFonts w:asciiTheme="majorHAnsi" w:hAnsiTheme="majorHAnsi" w:cstheme="majorHAnsi"/>
              </w:rPr>
            </w:pPr>
            <w:r w:rsidRPr="00485F85">
              <w:rPr>
                <w:rFonts w:asciiTheme="majorHAnsi" w:hAnsiTheme="majorHAnsi" w:cstheme="majorHAnsi"/>
              </w:rPr>
              <w:t>5. REFERÊNCIAS</w:t>
            </w:r>
          </w:p>
        </w:tc>
        <w:tc>
          <w:tcPr>
            <w:tcW w:w="1417" w:type="dxa"/>
            <w:vAlign w:val="center"/>
          </w:tcPr>
          <w:p w14:paraId="6EBFA765" w14:textId="6D9A7483"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57</w:t>
            </w:r>
          </w:p>
        </w:tc>
      </w:tr>
      <w:tr w:rsidR="00C71F33" w:rsidRPr="00485F85" w14:paraId="0A6F0120" w14:textId="77777777" w:rsidTr="006A55D6">
        <w:trPr>
          <w:trHeight w:val="391"/>
        </w:trPr>
        <w:tc>
          <w:tcPr>
            <w:tcW w:w="7650" w:type="dxa"/>
          </w:tcPr>
          <w:p w14:paraId="2C3BA752"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078EC02C"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7E6B68EB" w14:textId="77777777" w:rsidTr="006A55D6">
        <w:trPr>
          <w:trHeight w:val="391"/>
        </w:trPr>
        <w:tc>
          <w:tcPr>
            <w:tcW w:w="7650" w:type="dxa"/>
          </w:tcPr>
          <w:p w14:paraId="5F8AD162" w14:textId="6D7649B4" w:rsidR="00C71F33" w:rsidRPr="00485F85" w:rsidRDefault="00C71F33" w:rsidP="00C71F33">
            <w:pPr>
              <w:tabs>
                <w:tab w:val="clear" w:pos="1615"/>
              </w:tabs>
              <w:spacing w:line="276" w:lineRule="auto"/>
              <w:rPr>
                <w:rFonts w:asciiTheme="majorHAnsi" w:hAnsiTheme="majorHAnsi" w:cstheme="majorHAnsi"/>
              </w:rPr>
            </w:pPr>
            <w:r w:rsidRPr="00485F85">
              <w:rPr>
                <w:rFonts w:asciiTheme="majorHAnsi" w:hAnsiTheme="majorHAnsi" w:cstheme="majorHAnsi"/>
              </w:rPr>
              <w:t>6. APÊNDICES</w:t>
            </w:r>
          </w:p>
        </w:tc>
        <w:tc>
          <w:tcPr>
            <w:tcW w:w="1417" w:type="dxa"/>
            <w:vAlign w:val="center"/>
          </w:tcPr>
          <w:p w14:paraId="6B8F959C" w14:textId="6DF67154"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58</w:t>
            </w:r>
          </w:p>
        </w:tc>
      </w:tr>
      <w:tr w:rsidR="00C71F33" w:rsidRPr="00485F85" w14:paraId="69A9252E" w14:textId="77777777" w:rsidTr="006A55D6">
        <w:trPr>
          <w:trHeight w:val="391"/>
        </w:trPr>
        <w:tc>
          <w:tcPr>
            <w:tcW w:w="7650" w:type="dxa"/>
          </w:tcPr>
          <w:p w14:paraId="79A50B42"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4BADE7F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57F47112" w14:textId="77777777" w:rsidTr="006A55D6">
        <w:trPr>
          <w:trHeight w:val="391"/>
        </w:trPr>
        <w:tc>
          <w:tcPr>
            <w:tcW w:w="7650" w:type="dxa"/>
          </w:tcPr>
          <w:p w14:paraId="19043ADE" w14:textId="5492B363" w:rsidR="00C71F33" w:rsidRPr="00485F85" w:rsidRDefault="00C71F33" w:rsidP="00C71F33">
            <w:pPr>
              <w:tabs>
                <w:tab w:val="clear" w:pos="1615"/>
              </w:tabs>
              <w:spacing w:line="276" w:lineRule="auto"/>
              <w:rPr>
                <w:rFonts w:asciiTheme="majorHAnsi" w:hAnsiTheme="majorHAnsi" w:cstheme="majorHAnsi"/>
              </w:rPr>
            </w:pPr>
            <w:r w:rsidRPr="00485F85">
              <w:rPr>
                <w:rFonts w:asciiTheme="majorHAnsi" w:hAnsiTheme="majorHAnsi" w:cstheme="majorHAnsi"/>
              </w:rPr>
              <w:t>7. ANEXOS</w:t>
            </w:r>
          </w:p>
        </w:tc>
        <w:tc>
          <w:tcPr>
            <w:tcW w:w="1417" w:type="dxa"/>
            <w:vAlign w:val="center"/>
          </w:tcPr>
          <w:p w14:paraId="5253125E" w14:textId="1AF8B455"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207</w:t>
            </w:r>
          </w:p>
        </w:tc>
      </w:tr>
      <w:tr w:rsidR="00C71F33" w:rsidRPr="00485F85" w14:paraId="6C4EFD69" w14:textId="77777777" w:rsidTr="006A55D6">
        <w:trPr>
          <w:trHeight w:val="391"/>
        </w:trPr>
        <w:tc>
          <w:tcPr>
            <w:tcW w:w="7650" w:type="dxa"/>
          </w:tcPr>
          <w:p w14:paraId="57A29FF8"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14DFE488"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485F85" w14:paraId="2B9C2F93" w14:textId="77777777" w:rsidTr="006A55D6">
        <w:trPr>
          <w:trHeight w:val="391"/>
        </w:trPr>
        <w:tc>
          <w:tcPr>
            <w:tcW w:w="7650" w:type="dxa"/>
          </w:tcPr>
          <w:p w14:paraId="2D5C9457" w14:textId="54B08439" w:rsidR="00C71F33" w:rsidRPr="00485F85" w:rsidRDefault="00C71F33" w:rsidP="00C71F33">
            <w:pPr>
              <w:tabs>
                <w:tab w:val="clear" w:pos="1615"/>
              </w:tabs>
              <w:spacing w:line="276" w:lineRule="auto"/>
              <w:rPr>
                <w:rFonts w:asciiTheme="majorHAnsi" w:hAnsiTheme="majorHAnsi" w:cstheme="majorHAnsi"/>
              </w:rPr>
            </w:pPr>
            <w:r w:rsidRPr="00485F85">
              <w:rPr>
                <w:rFonts w:asciiTheme="majorHAnsi" w:hAnsiTheme="majorHAnsi" w:cstheme="majorHAnsi"/>
              </w:rPr>
              <w:t>7.1 ANEXO 1 –</w:t>
            </w:r>
            <w:r>
              <w:rPr>
                <w:rFonts w:asciiTheme="majorHAnsi" w:hAnsiTheme="majorHAnsi" w:cstheme="majorHAnsi"/>
              </w:rPr>
              <w:t xml:space="preserve"> </w:t>
            </w:r>
            <w:r w:rsidRPr="00485F85">
              <w:rPr>
                <w:rFonts w:asciiTheme="majorHAnsi" w:hAnsiTheme="majorHAnsi" w:cstheme="majorHAnsi"/>
              </w:rPr>
              <w:t>REVISTAS SCOPUS</w:t>
            </w:r>
          </w:p>
        </w:tc>
        <w:tc>
          <w:tcPr>
            <w:tcW w:w="1417" w:type="dxa"/>
            <w:vAlign w:val="center"/>
          </w:tcPr>
          <w:p w14:paraId="53B3965C" w14:textId="12CD66EF" w:rsidR="00C71F33" w:rsidRPr="00485F85" w:rsidRDefault="00C71F33" w:rsidP="00C71F33">
            <w:pPr>
              <w:tabs>
                <w:tab w:val="clear" w:pos="1615"/>
              </w:tabs>
              <w:spacing w:line="276" w:lineRule="auto"/>
              <w:rPr>
                <w:rFonts w:asciiTheme="majorHAnsi" w:hAnsiTheme="majorHAnsi" w:cstheme="majorHAnsi"/>
                <w:bCs/>
              </w:rPr>
            </w:pPr>
            <w:r>
              <w:rPr>
                <w:rFonts w:asciiTheme="majorHAnsi" w:hAnsiTheme="majorHAnsi" w:cstheme="majorHAnsi"/>
                <w:bCs/>
              </w:rPr>
              <w:t>207</w:t>
            </w:r>
          </w:p>
        </w:tc>
      </w:tr>
      <w:tr w:rsidR="00C71F33" w:rsidRPr="00485F85" w14:paraId="2E5F10A3" w14:textId="77777777" w:rsidTr="006A55D6">
        <w:trPr>
          <w:trHeight w:val="391"/>
        </w:trPr>
        <w:tc>
          <w:tcPr>
            <w:tcW w:w="7650" w:type="dxa"/>
          </w:tcPr>
          <w:p w14:paraId="21D9E050" w14:textId="77777777" w:rsidR="00C71F33" w:rsidRPr="00485F85" w:rsidRDefault="00C71F33" w:rsidP="00C71F33">
            <w:pPr>
              <w:tabs>
                <w:tab w:val="clear" w:pos="1615"/>
              </w:tabs>
              <w:spacing w:line="276" w:lineRule="auto"/>
              <w:rPr>
                <w:rFonts w:asciiTheme="majorHAnsi" w:hAnsiTheme="majorHAnsi" w:cstheme="majorHAnsi"/>
              </w:rPr>
            </w:pPr>
          </w:p>
        </w:tc>
        <w:tc>
          <w:tcPr>
            <w:tcW w:w="1417" w:type="dxa"/>
            <w:vAlign w:val="center"/>
          </w:tcPr>
          <w:p w14:paraId="3E7F2299" w14:textId="77777777" w:rsidR="00C71F33" w:rsidRPr="00485F85" w:rsidRDefault="00C71F33" w:rsidP="00C71F33">
            <w:pPr>
              <w:tabs>
                <w:tab w:val="clear" w:pos="1615"/>
              </w:tabs>
              <w:spacing w:line="276" w:lineRule="auto"/>
              <w:rPr>
                <w:rFonts w:asciiTheme="majorHAnsi" w:hAnsiTheme="majorHAnsi" w:cstheme="majorHAnsi"/>
                <w:bCs/>
              </w:rPr>
            </w:pPr>
          </w:p>
        </w:tc>
      </w:tr>
      <w:tr w:rsidR="00C71F33" w:rsidRPr="00C71F33" w14:paraId="4963154A" w14:textId="77777777" w:rsidTr="006A55D6">
        <w:trPr>
          <w:trHeight w:val="391"/>
        </w:trPr>
        <w:tc>
          <w:tcPr>
            <w:tcW w:w="7650" w:type="dxa"/>
          </w:tcPr>
          <w:p w14:paraId="100E1AE1" w14:textId="34B1D9CE" w:rsidR="00C71F33" w:rsidRPr="00485F85" w:rsidRDefault="00C71F33" w:rsidP="00C71F33">
            <w:pPr>
              <w:tabs>
                <w:tab w:val="clear" w:pos="1615"/>
              </w:tabs>
              <w:spacing w:line="276" w:lineRule="auto"/>
              <w:rPr>
                <w:rFonts w:asciiTheme="majorHAnsi" w:hAnsiTheme="majorHAnsi" w:cstheme="majorHAnsi"/>
                <w:lang w:val="en-US"/>
              </w:rPr>
            </w:pPr>
            <w:r w:rsidRPr="00485F85">
              <w:rPr>
                <w:rFonts w:asciiTheme="majorHAnsi" w:hAnsiTheme="majorHAnsi" w:cstheme="majorHAnsi"/>
                <w:lang w:val="en-US"/>
              </w:rPr>
              <w:t>7.2 ANEXO 2 – REVISTAS WEB OF SCIENCE</w:t>
            </w:r>
          </w:p>
        </w:tc>
        <w:tc>
          <w:tcPr>
            <w:tcW w:w="1417" w:type="dxa"/>
            <w:vAlign w:val="center"/>
          </w:tcPr>
          <w:p w14:paraId="0829DF2A" w14:textId="25FD7D58" w:rsidR="00C71F33" w:rsidRPr="00485F85" w:rsidRDefault="00C71F33" w:rsidP="00C71F33">
            <w:pPr>
              <w:tabs>
                <w:tab w:val="clear" w:pos="1615"/>
              </w:tabs>
              <w:spacing w:line="276" w:lineRule="auto"/>
              <w:rPr>
                <w:rFonts w:asciiTheme="majorHAnsi" w:hAnsiTheme="majorHAnsi" w:cstheme="majorHAnsi"/>
                <w:bCs/>
                <w:lang w:val="en-US"/>
              </w:rPr>
            </w:pPr>
            <w:r>
              <w:rPr>
                <w:rFonts w:asciiTheme="majorHAnsi" w:hAnsiTheme="majorHAnsi" w:cstheme="majorHAnsi"/>
                <w:bCs/>
                <w:lang w:val="en-US"/>
              </w:rPr>
              <w:t>208</w:t>
            </w:r>
          </w:p>
        </w:tc>
      </w:tr>
      <w:bookmarkEnd w:id="2"/>
      <w:bookmarkEnd w:id="3"/>
    </w:tbl>
    <w:p w14:paraId="2A418162" w14:textId="5FD53C19" w:rsidR="009F4DB4" w:rsidRPr="00485F85" w:rsidRDefault="009F4DB4" w:rsidP="00544EA3">
      <w:pPr>
        <w:rPr>
          <w:rFonts w:asciiTheme="majorHAnsi" w:hAnsiTheme="majorHAnsi" w:cstheme="majorHAnsi"/>
          <w:lang w:val="en-US"/>
        </w:rPr>
      </w:pPr>
      <w:r w:rsidRPr="00485F85">
        <w:rPr>
          <w:rFonts w:asciiTheme="majorHAnsi" w:hAnsiTheme="majorHAnsi" w:cstheme="majorHAnsi"/>
          <w:lang w:val="en-US"/>
        </w:rPr>
        <w:br w:type="page"/>
      </w:r>
    </w:p>
    <w:p w14:paraId="53196A36" w14:textId="13F06358" w:rsidR="0099249D" w:rsidRPr="00485F85" w:rsidRDefault="003E2F7A" w:rsidP="007653A5">
      <w:pPr>
        <w:pStyle w:val="Ttulo1"/>
        <w:rPr>
          <w:rFonts w:asciiTheme="majorHAnsi" w:hAnsiTheme="majorHAnsi" w:cstheme="majorHAnsi"/>
        </w:rPr>
      </w:pPr>
      <w:bookmarkStart w:id="4" w:name="_Toc82101300"/>
      <w:bookmarkEnd w:id="0"/>
      <w:r w:rsidRPr="00485F85">
        <w:rPr>
          <w:rFonts w:asciiTheme="majorHAnsi" w:hAnsiTheme="majorHAnsi" w:cstheme="majorHAnsi"/>
        </w:rPr>
        <w:lastRenderedPageBreak/>
        <w:t>APRESENTAÇÃO</w:t>
      </w:r>
      <w:bookmarkEnd w:id="4"/>
      <w:r w:rsidRPr="00485F85">
        <w:rPr>
          <w:rFonts w:asciiTheme="majorHAnsi" w:hAnsiTheme="majorHAnsi" w:cstheme="majorHAnsi"/>
        </w:rPr>
        <w:t xml:space="preserve"> </w:t>
      </w:r>
    </w:p>
    <w:p w14:paraId="0B50C599" w14:textId="77777777" w:rsidR="00345652" w:rsidRPr="00485F85" w:rsidRDefault="00345652" w:rsidP="00345652">
      <w:pPr>
        <w:spacing w:after="0" w:line="360" w:lineRule="auto"/>
        <w:jc w:val="both"/>
        <w:rPr>
          <w:rFonts w:asciiTheme="majorHAnsi" w:hAnsiTheme="majorHAnsi" w:cstheme="majorHAnsi"/>
        </w:rPr>
      </w:pPr>
    </w:p>
    <w:p w14:paraId="676460EF" w14:textId="7E3CE4B4" w:rsidR="009C3997" w:rsidRPr="00485F85" w:rsidRDefault="009C3997"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A capacidade de avaliar </w:t>
      </w:r>
      <w:r w:rsidR="00BE48F9" w:rsidRPr="00485F85">
        <w:rPr>
          <w:rFonts w:asciiTheme="majorHAnsi" w:hAnsiTheme="majorHAnsi" w:cstheme="majorHAnsi"/>
        </w:rPr>
        <w:t>seu posicionamento frente ao concorrente</w:t>
      </w:r>
      <w:r w:rsidRPr="00485F85">
        <w:rPr>
          <w:rFonts w:asciiTheme="majorHAnsi" w:hAnsiTheme="majorHAnsi" w:cstheme="majorHAnsi"/>
        </w:rPr>
        <w:t xml:space="preserve"> é uma das principais competências das empresas que operam no mercado. </w:t>
      </w:r>
      <w:r w:rsidR="00BE48F9" w:rsidRPr="00485F85">
        <w:rPr>
          <w:rFonts w:asciiTheme="majorHAnsi" w:hAnsiTheme="majorHAnsi" w:cstheme="majorHAnsi"/>
        </w:rPr>
        <w:t>Desse modo, a</w:t>
      </w:r>
      <w:r w:rsidRPr="00485F85">
        <w:rPr>
          <w:rFonts w:asciiTheme="majorHAnsi" w:hAnsiTheme="majorHAnsi" w:cstheme="majorHAnsi"/>
        </w:rPr>
        <w:t xml:space="preserve">s estratégias </w:t>
      </w:r>
      <w:r w:rsidR="00BE48F9" w:rsidRPr="00485F85">
        <w:rPr>
          <w:rFonts w:asciiTheme="majorHAnsi" w:hAnsiTheme="majorHAnsi" w:cstheme="majorHAnsi"/>
        </w:rPr>
        <w:t>de Benchmark</w:t>
      </w:r>
      <w:r w:rsidR="00246668" w:rsidRPr="00485F85">
        <w:rPr>
          <w:rFonts w:asciiTheme="majorHAnsi" w:hAnsiTheme="majorHAnsi" w:cstheme="majorHAnsi"/>
        </w:rPr>
        <w:t>ing</w:t>
      </w:r>
      <w:r w:rsidRPr="00485F85">
        <w:rPr>
          <w:rFonts w:asciiTheme="majorHAnsi" w:hAnsiTheme="majorHAnsi" w:cstheme="majorHAnsi"/>
        </w:rPr>
        <w:t xml:space="preserve"> </w:t>
      </w:r>
      <w:r w:rsidR="00BE48F9" w:rsidRPr="00485F85">
        <w:rPr>
          <w:rFonts w:asciiTheme="majorHAnsi" w:hAnsiTheme="majorHAnsi" w:cstheme="majorHAnsi"/>
        </w:rPr>
        <w:t xml:space="preserve">podem ser úteis para mapear conjuntos </w:t>
      </w:r>
      <w:r w:rsidRPr="00485F85">
        <w:rPr>
          <w:rFonts w:asciiTheme="majorHAnsi" w:hAnsiTheme="majorHAnsi" w:cstheme="majorHAnsi"/>
        </w:rPr>
        <w:t xml:space="preserve">de atributos considerados importantes </w:t>
      </w:r>
      <w:r w:rsidR="00BE48F9" w:rsidRPr="00485F85">
        <w:rPr>
          <w:rFonts w:asciiTheme="majorHAnsi" w:hAnsiTheme="majorHAnsi" w:cstheme="majorHAnsi"/>
        </w:rPr>
        <w:t>ajudando a atender</w:t>
      </w:r>
      <w:r w:rsidRPr="00485F85">
        <w:rPr>
          <w:rFonts w:asciiTheme="majorHAnsi" w:hAnsiTheme="majorHAnsi" w:cstheme="majorHAnsi"/>
        </w:rPr>
        <w:t xml:space="preserve"> às oportunidades e desafios do século 21</w:t>
      </w:r>
      <w:r w:rsidR="00BE48F9" w:rsidRPr="00485F85">
        <w:rPr>
          <w:rFonts w:asciiTheme="majorHAnsi" w:hAnsiTheme="majorHAnsi" w:cstheme="majorHAnsi"/>
        </w:rPr>
        <w:t xml:space="preserve"> que surgem nas organizações</w:t>
      </w:r>
      <w:r w:rsidR="008115FA" w:rsidRPr="00485F85">
        <w:rPr>
          <w:rFonts w:asciiTheme="majorHAnsi" w:hAnsiTheme="majorHAnsi" w:cstheme="majorHAnsi"/>
        </w:rPr>
        <w:t>. E no caso desse estudo, nas Instituições de Ensino Superior.</w:t>
      </w:r>
    </w:p>
    <w:p w14:paraId="6AE6D954" w14:textId="55FBC7EC" w:rsidR="009C3997" w:rsidRPr="00485F85" w:rsidRDefault="009C3997" w:rsidP="003E2F7A">
      <w:pPr>
        <w:spacing w:line="276" w:lineRule="auto"/>
        <w:ind w:firstLine="709"/>
        <w:jc w:val="both"/>
        <w:rPr>
          <w:rFonts w:asciiTheme="majorHAnsi" w:hAnsiTheme="majorHAnsi" w:cstheme="majorHAnsi"/>
        </w:rPr>
      </w:pPr>
      <w:r w:rsidRPr="00485F85">
        <w:rPr>
          <w:rFonts w:asciiTheme="majorHAnsi" w:hAnsiTheme="majorHAnsi" w:cstheme="majorHAnsi"/>
          <w:lang w:val="es-ES"/>
        </w:rPr>
        <w:t xml:space="preserve">No artigo de Knaus et al. </w:t>
      </w:r>
      <w:r w:rsidRPr="00485F85">
        <w:rPr>
          <w:rFonts w:asciiTheme="majorHAnsi" w:hAnsiTheme="majorHAnsi" w:cstheme="majorHAnsi"/>
        </w:rPr>
        <w:t xml:space="preserve">(2021) a técnica foi utilizada </w:t>
      </w:r>
      <w:r w:rsidR="00BE48F9" w:rsidRPr="00485F85">
        <w:rPr>
          <w:rFonts w:asciiTheme="majorHAnsi" w:hAnsiTheme="majorHAnsi" w:cstheme="majorHAnsi"/>
        </w:rPr>
        <w:t>para</w:t>
      </w:r>
      <w:r w:rsidRPr="00485F85">
        <w:rPr>
          <w:rFonts w:asciiTheme="majorHAnsi" w:hAnsiTheme="majorHAnsi" w:cstheme="majorHAnsi"/>
        </w:rPr>
        <w:t xml:space="preserve"> identificar diferenças estruturais e procedimentais importantes entre dois programas universitários avaliados</w:t>
      </w:r>
      <w:r w:rsidR="00BE48F9" w:rsidRPr="00485F85">
        <w:rPr>
          <w:rFonts w:asciiTheme="majorHAnsi" w:hAnsiTheme="majorHAnsi" w:cstheme="majorHAnsi"/>
        </w:rPr>
        <w:t xml:space="preserve">. Buscou-se por </w:t>
      </w:r>
      <w:r w:rsidRPr="00485F85">
        <w:rPr>
          <w:rFonts w:asciiTheme="majorHAnsi" w:hAnsiTheme="majorHAnsi" w:cstheme="majorHAnsi"/>
        </w:rPr>
        <w:t>coorte</w:t>
      </w:r>
      <w:r w:rsidR="00BE48F9" w:rsidRPr="00485F85">
        <w:rPr>
          <w:rFonts w:asciiTheme="majorHAnsi" w:hAnsiTheme="majorHAnsi" w:cstheme="majorHAnsi"/>
        </w:rPr>
        <w:t>s</w:t>
      </w:r>
      <w:r w:rsidRPr="00485F85">
        <w:rPr>
          <w:rFonts w:asciiTheme="majorHAnsi" w:hAnsiTheme="majorHAnsi" w:cstheme="majorHAnsi"/>
        </w:rPr>
        <w:t>, políticas da universidade</w:t>
      </w:r>
      <w:r w:rsidR="00BE48F9" w:rsidRPr="00485F85">
        <w:rPr>
          <w:rFonts w:asciiTheme="majorHAnsi" w:hAnsiTheme="majorHAnsi" w:cstheme="majorHAnsi"/>
        </w:rPr>
        <w:t xml:space="preserve">, </w:t>
      </w:r>
      <w:r w:rsidRPr="00485F85">
        <w:rPr>
          <w:rFonts w:asciiTheme="majorHAnsi" w:hAnsiTheme="majorHAnsi" w:cstheme="majorHAnsi"/>
        </w:rPr>
        <w:t xml:space="preserve">pontos de avaliação, o uso de exames </w:t>
      </w:r>
      <w:r w:rsidR="00B56950" w:rsidRPr="00485F85">
        <w:rPr>
          <w:rFonts w:asciiTheme="majorHAnsi" w:hAnsiTheme="majorHAnsi" w:cstheme="majorHAnsi"/>
        </w:rPr>
        <w:t>e foi possível traçar estratégias com os resultados encontrados.</w:t>
      </w:r>
      <w:r w:rsidR="00253B8C" w:rsidRPr="00485F85">
        <w:rPr>
          <w:rFonts w:asciiTheme="majorHAnsi" w:hAnsiTheme="majorHAnsi" w:cstheme="majorHAnsi"/>
        </w:rPr>
        <w:t xml:space="preserve"> </w:t>
      </w:r>
      <w:r w:rsidRPr="00485F85">
        <w:rPr>
          <w:rFonts w:asciiTheme="majorHAnsi" w:hAnsiTheme="majorHAnsi" w:cstheme="majorHAnsi"/>
        </w:rPr>
        <w:t xml:space="preserve">Outro exemplo de prática de </w:t>
      </w:r>
      <w:r w:rsidR="00BE48F9" w:rsidRPr="00485F85">
        <w:rPr>
          <w:rFonts w:asciiTheme="majorHAnsi" w:hAnsiTheme="majorHAnsi" w:cstheme="majorHAnsi"/>
        </w:rPr>
        <w:t>Benchmark</w:t>
      </w:r>
      <w:r w:rsidR="00246668" w:rsidRPr="00485F85">
        <w:rPr>
          <w:rFonts w:asciiTheme="majorHAnsi" w:hAnsiTheme="majorHAnsi" w:cstheme="majorHAnsi"/>
        </w:rPr>
        <w:t>ing</w:t>
      </w:r>
      <w:r w:rsidRPr="00485F85">
        <w:rPr>
          <w:rFonts w:asciiTheme="majorHAnsi" w:hAnsiTheme="majorHAnsi" w:cstheme="majorHAnsi"/>
        </w:rPr>
        <w:t xml:space="preserve"> </w:t>
      </w:r>
      <w:r w:rsidR="00BE48F9" w:rsidRPr="00485F85">
        <w:rPr>
          <w:rFonts w:asciiTheme="majorHAnsi" w:hAnsiTheme="majorHAnsi" w:cstheme="majorHAnsi"/>
        </w:rPr>
        <w:t xml:space="preserve">nas universidades </w:t>
      </w:r>
      <w:r w:rsidRPr="00485F85">
        <w:rPr>
          <w:rFonts w:asciiTheme="majorHAnsi" w:hAnsiTheme="majorHAnsi" w:cstheme="majorHAnsi"/>
        </w:rPr>
        <w:t xml:space="preserve">é de </w:t>
      </w:r>
      <w:r w:rsidR="007B6DC0" w:rsidRPr="00485F85">
        <w:rPr>
          <w:rFonts w:asciiTheme="majorHAnsi" w:hAnsiTheme="majorHAnsi" w:cstheme="majorHAnsi"/>
        </w:rPr>
        <w:t>Hsu</w:t>
      </w:r>
      <w:r w:rsidRPr="00485F85">
        <w:rPr>
          <w:rFonts w:asciiTheme="majorHAnsi" w:hAnsiTheme="majorHAnsi" w:cstheme="majorHAnsi"/>
        </w:rPr>
        <w:t xml:space="preserve"> et al. (2021) que analis</w:t>
      </w:r>
      <w:r w:rsidR="008115FA" w:rsidRPr="00485F85">
        <w:rPr>
          <w:rFonts w:asciiTheme="majorHAnsi" w:hAnsiTheme="majorHAnsi" w:cstheme="majorHAnsi"/>
        </w:rPr>
        <w:t>aram</w:t>
      </w:r>
      <w:r w:rsidR="00BE48F9" w:rsidRPr="00485F85">
        <w:rPr>
          <w:rFonts w:asciiTheme="majorHAnsi" w:hAnsiTheme="majorHAnsi" w:cstheme="majorHAnsi"/>
        </w:rPr>
        <w:t xml:space="preserve"> </w:t>
      </w:r>
      <w:r w:rsidRPr="00485F85">
        <w:rPr>
          <w:rFonts w:asciiTheme="majorHAnsi" w:hAnsiTheme="majorHAnsi" w:cstheme="majorHAnsi"/>
        </w:rPr>
        <w:t>comparativa</w:t>
      </w:r>
      <w:r w:rsidR="00BE48F9" w:rsidRPr="00485F85">
        <w:rPr>
          <w:rFonts w:asciiTheme="majorHAnsi" w:hAnsiTheme="majorHAnsi" w:cstheme="majorHAnsi"/>
        </w:rPr>
        <w:t xml:space="preserve">mente </w:t>
      </w:r>
      <w:r w:rsidRPr="00485F85">
        <w:rPr>
          <w:rFonts w:asciiTheme="majorHAnsi" w:hAnsiTheme="majorHAnsi" w:cstheme="majorHAnsi"/>
        </w:rPr>
        <w:t xml:space="preserve">patentes universitárias e </w:t>
      </w:r>
      <w:r w:rsidR="00BE48F9" w:rsidRPr="00485F85">
        <w:rPr>
          <w:rFonts w:asciiTheme="majorHAnsi" w:hAnsiTheme="majorHAnsi" w:cstheme="majorHAnsi"/>
        </w:rPr>
        <w:t xml:space="preserve">o </w:t>
      </w:r>
      <w:r w:rsidRPr="00485F85">
        <w:rPr>
          <w:rFonts w:asciiTheme="majorHAnsi" w:hAnsiTheme="majorHAnsi" w:cstheme="majorHAnsi"/>
        </w:rPr>
        <w:t xml:space="preserve">desempenho de comercialização </w:t>
      </w:r>
      <w:r w:rsidR="00BE48F9" w:rsidRPr="00485F85">
        <w:rPr>
          <w:rFonts w:asciiTheme="majorHAnsi" w:hAnsiTheme="majorHAnsi" w:cstheme="majorHAnsi"/>
        </w:rPr>
        <w:t xml:space="preserve">dessas patentes </w:t>
      </w:r>
      <w:r w:rsidRPr="00485F85">
        <w:rPr>
          <w:rFonts w:asciiTheme="majorHAnsi" w:hAnsiTheme="majorHAnsi" w:cstheme="majorHAnsi"/>
        </w:rPr>
        <w:t xml:space="preserve">com base no valor comparativo de patentes corporativas. </w:t>
      </w:r>
    </w:p>
    <w:p w14:paraId="04C6D24F" w14:textId="49100148" w:rsidR="00246668" w:rsidRPr="00485F85" w:rsidRDefault="00246668" w:rsidP="003E2F7A">
      <w:pPr>
        <w:spacing w:line="276" w:lineRule="auto"/>
        <w:ind w:firstLine="709"/>
        <w:jc w:val="both"/>
        <w:rPr>
          <w:rFonts w:asciiTheme="majorHAnsi" w:hAnsiTheme="majorHAnsi" w:cstheme="majorHAnsi"/>
        </w:rPr>
      </w:pPr>
      <w:r w:rsidRPr="00485F85">
        <w:rPr>
          <w:rFonts w:asciiTheme="majorHAnsi" w:hAnsiTheme="majorHAnsi" w:cstheme="majorHAnsi"/>
        </w:rPr>
        <w:t>De acordo com o documento de Orientações Gerais, Conceitos e Exemplos para o estudo de Benchmarking (</w:t>
      </w:r>
      <w:r w:rsidR="00747605" w:rsidRPr="00485F85">
        <w:rPr>
          <w:rFonts w:asciiTheme="majorHAnsi" w:hAnsiTheme="majorHAnsi" w:cstheme="majorHAnsi"/>
        </w:rPr>
        <w:t>2019</w:t>
      </w:r>
      <w:r w:rsidRPr="00485F85">
        <w:rPr>
          <w:rFonts w:asciiTheme="majorHAnsi" w:hAnsiTheme="majorHAnsi" w:cstheme="majorHAnsi"/>
        </w:rPr>
        <w:t xml:space="preserve">) do Cebraspe, o Benchmarking pode ser definido como o método utilizado para comparar o desempenho de processos e produtos entre instituições similares, com o objetivo de entender as práticas que conduzem a melhores resultados e a desempenhos superiores (CEBRASPE, </w:t>
      </w:r>
      <w:r w:rsidR="00747605" w:rsidRPr="00485F85">
        <w:rPr>
          <w:rFonts w:asciiTheme="majorHAnsi" w:hAnsiTheme="majorHAnsi" w:cstheme="majorHAnsi"/>
        </w:rPr>
        <w:t>2019</w:t>
      </w:r>
      <w:r w:rsidRPr="00485F85">
        <w:rPr>
          <w:rFonts w:asciiTheme="majorHAnsi" w:hAnsiTheme="majorHAnsi" w:cstheme="majorHAnsi"/>
        </w:rPr>
        <w:t>).</w:t>
      </w:r>
    </w:p>
    <w:p w14:paraId="76890A63" w14:textId="77777777" w:rsidR="00345652" w:rsidRPr="00485F85" w:rsidRDefault="00246668"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Nesse sentido, a aplicação do método orienta para a descoberta do se convencionou chamar de “boas práticas” no grupo de consultores do Cebraspe. A expressão “boas práticas” foi entendida, então, como ações, processos, resultados e experiências positivas no desempenho das áreas das </w:t>
      </w:r>
      <w:r w:rsidR="00B56950" w:rsidRPr="00485F85">
        <w:rPr>
          <w:rFonts w:asciiTheme="majorHAnsi" w:hAnsiTheme="majorHAnsi" w:cstheme="majorHAnsi"/>
        </w:rPr>
        <w:t>universidades pesquisadas</w:t>
      </w:r>
      <w:r w:rsidRPr="00485F85">
        <w:rPr>
          <w:rFonts w:asciiTheme="majorHAnsi" w:hAnsiTheme="majorHAnsi" w:cstheme="majorHAnsi"/>
        </w:rPr>
        <w:t xml:space="preserve"> que pudessem apontar caminhos de sucesso</w:t>
      </w:r>
      <w:r w:rsidR="00B56950" w:rsidRPr="00485F85">
        <w:rPr>
          <w:rFonts w:asciiTheme="majorHAnsi" w:hAnsiTheme="majorHAnsi" w:cstheme="majorHAnsi"/>
        </w:rPr>
        <w:t xml:space="preserve"> </w:t>
      </w:r>
      <w:r w:rsidRPr="00485F85">
        <w:rPr>
          <w:rFonts w:asciiTheme="majorHAnsi" w:hAnsiTheme="majorHAnsi" w:cstheme="majorHAnsi"/>
        </w:rPr>
        <w:t>para as Instituições do Ensino superior</w:t>
      </w:r>
      <w:r w:rsidR="008115FA" w:rsidRPr="00485F85">
        <w:rPr>
          <w:rFonts w:asciiTheme="majorHAnsi" w:hAnsiTheme="majorHAnsi" w:cstheme="majorHAnsi"/>
        </w:rPr>
        <w:t xml:space="preserve"> e em particular da Universidade Distrital de Brasília</w:t>
      </w:r>
      <w:r w:rsidRPr="00485F85">
        <w:rPr>
          <w:rFonts w:asciiTheme="majorHAnsi" w:hAnsiTheme="majorHAnsi" w:cstheme="majorHAnsi"/>
        </w:rPr>
        <w:t>.</w:t>
      </w:r>
    </w:p>
    <w:p w14:paraId="71C6D1FF" w14:textId="58959599" w:rsidR="00251583" w:rsidRPr="00485F85" w:rsidRDefault="00251583"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Assim, o problema desta pesquisa é: quais as boas práticas utilizadas na Universidade de Oxford para gestão acadêmica e administrativa? </w:t>
      </w:r>
    </w:p>
    <w:p w14:paraId="51630951" w14:textId="0983C270" w:rsidR="00747605" w:rsidRPr="00485F85" w:rsidRDefault="00251583"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Essa pesquisa se justifica, pois, seus conceitos e resultados visam esclarecer questões </w:t>
      </w:r>
      <w:r w:rsidR="00B56950" w:rsidRPr="00485F85">
        <w:rPr>
          <w:rFonts w:asciiTheme="majorHAnsi" w:hAnsiTheme="majorHAnsi" w:cstheme="majorHAnsi"/>
        </w:rPr>
        <w:t>acerca de</w:t>
      </w:r>
      <w:r w:rsidRPr="00485F85">
        <w:rPr>
          <w:rFonts w:asciiTheme="majorHAnsi" w:hAnsiTheme="majorHAnsi" w:cstheme="majorHAnsi"/>
        </w:rPr>
        <w:t xml:space="preserve"> práticas educativas que auxili</w:t>
      </w:r>
      <w:r w:rsidR="00B56950" w:rsidRPr="00485F85">
        <w:rPr>
          <w:rFonts w:asciiTheme="majorHAnsi" w:hAnsiTheme="majorHAnsi" w:cstheme="majorHAnsi"/>
        </w:rPr>
        <w:t xml:space="preserve">em </w:t>
      </w:r>
      <w:r w:rsidRPr="00485F85">
        <w:rPr>
          <w:rFonts w:asciiTheme="majorHAnsi" w:hAnsiTheme="majorHAnsi" w:cstheme="majorHAnsi"/>
        </w:rPr>
        <w:t>na construção de políticas e diretrizes para a Universidade Distrital de Brasília.</w:t>
      </w:r>
      <w:r w:rsidR="008115FA" w:rsidRPr="00485F85">
        <w:rPr>
          <w:rFonts w:asciiTheme="majorHAnsi" w:hAnsiTheme="majorHAnsi" w:cstheme="majorHAnsi"/>
        </w:rPr>
        <w:t xml:space="preserve"> </w:t>
      </w:r>
      <w:r w:rsidR="003B0A12" w:rsidRPr="00485F85">
        <w:rPr>
          <w:rFonts w:asciiTheme="majorHAnsi" w:hAnsiTheme="majorHAnsi" w:cstheme="majorHAnsi"/>
        </w:rPr>
        <w:t>A Instituição</w:t>
      </w:r>
      <w:r w:rsidR="008115FA" w:rsidRPr="00485F85">
        <w:rPr>
          <w:rFonts w:asciiTheme="majorHAnsi" w:hAnsiTheme="majorHAnsi" w:cstheme="majorHAnsi"/>
        </w:rPr>
        <w:t xml:space="preserve">, esperada desde a década de 1960, só conseguiu avançar </w:t>
      </w:r>
      <w:r w:rsidR="003B0A12" w:rsidRPr="00485F85">
        <w:rPr>
          <w:rFonts w:asciiTheme="majorHAnsi" w:hAnsiTheme="majorHAnsi" w:cstheme="majorHAnsi"/>
        </w:rPr>
        <w:t xml:space="preserve">em sua constituição </w:t>
      </w:r>
      <w:r w:rsidR="008115FA" w:rsidRPr="00485F85">
        <w:rPr>
          <w:rFonts w:asciiTheme="majorHAnsi" w:hAnsiTheme="majorHAnsi" w:cstheme="majorHAnsi"/>
        </w:rPr>
        <w:t xml:space="preserve">há menos de um ano. A expectativa é grande já que o Distrito Federal era uma das quatro unidades federativas do Brasil que não possuíam uma universidade </w:t>
      </w:r>
      <w:r w:rsidR="00747605" w:rsidRPr="00485F85">
        <w:rPr>
          <w:rFonts w:asciiTheme="majorHAnsi" w:hAnsiTheme="majorHAnsi" w:cstheme="majorHAnsi"/>
        </w:rPr>
        <w:t>Regional</w:t>
      </w:r>
      <w:r w:rsidR="00253B8C" w:rsidRPr="00485F85">
        <w:rPr>
          <w:rFonts w:asciiTheme="majorHAnsi" w:hAnsiTheme="majorHAnsi" w:cstheme="majorHAnsi"/>
        </w:rPr>
        <w:t>.</w:t>
      </w:r>
      <w:r w:rsidR="00747605" w:rsidRPr="00485F85">
        <w:rPr>
          <w:rFonts w:asciiTheme="majorHAnsi" w:hAnsiTheme="majorHAnsi" w:cstheme="majorHAnsi"/>
        </w:rPr>
        <w:t xml:space="preserve"> </w:t>
      </w:r>
      <w:r w:rsidR="00253B8C" w:rsidRPr="00485F85">
        <w:rPr>
          <w:rFonts w:asciiTheme="majorHAnsi" w:hAnsiTheme="majorHAnsi" w:cstheme="majorHAnsi"/>
        </w:rPr>
        <w:t xml:space="preserve">Assim, </w:t>
      </w:r>
      <w:r w:rsidR="00747605" w:rsidRPr="00485F85">
        <w:rPr>
          <w:rFonts w:asciiTheme="majorHAnsi" w:hAnsiTheme="majorHAnsi" w:cstheme="majorHAnsi"/>
        </w:rPr>
        <w:t xml:space="preserve">do mesmo modo que os estados possuem universidades estaduais, o </w:t>
      </w:r>
      <w:r w:rsidR="00253B8C" w:rsidRPr="00485F85">
        <w:rPr>
          <w:rFonts w:asciiTheme="majorHAnsi" w:hAnsiTheme="majorHAnsi" w:cstheme="majorHAnsi"/>
        </w:rPr>
        <w:t>D</w:t>
      </w:r>
      <w:r w:rsidR="00747605" w:rsidRPr="00485F85">
        <w:rPr>
          <w:rFonts w:asciiTheme="majorHAnsi" w:hAnsiTheme="majorHAnsi" w:cstheme="majorHAnsi"/>
        </w:rPr>
        <w:t xml:space="preserve">istrito </w:t>
      </w:r>
      <w:r w:rsidR="00253B8C" w:rsidRPr="00485F85">
        <w:rPr>
          <w:rFonts w:asciiTheme="majorHAnsi" w:hAnsiTheme="majorHAnsi" w:cstheme="majorHAnsi"/>
        </w:rPr>
        <w:t>F</w:t>
      </w:r>
      <w:r w:rsidR="00747605" w:rsidRPr="00485F85">
        <w:rPr>
          <w:rFonts w:asciiTheme="majorHAnsi" w:hAnsiTheme="majorHAnsi" w:cstheme="majorHAnsi"/>
        </w:rPr>
        <w:t xml:space="preserve">ederal </w:t>
      </w:r>
      <w:r w:rsidR="00253B8C" w:rsidRPr="00485F85">
        <w:rPr>
          <w:rFonts w:asciiTheme="majorHAnsi" w:hAnsiTheme="majorHAnsi" w:cstheme="majorHAnsi"/>
        </w:rPr>
        <w:t xml:space="preserve">também </w:t>
      </w:r>
      <w:r w:rsidR="00747605" w:rsidRPr="00485F85">
        <w:rPr>
          <w:rFonts w:asciiTheme="majorHAnsi" w:hAnsiTheme="majorHAnsi" w:cstheme="majorHAnsi"/>
        </w:rPr>
        <w:t>deve possuir uma universidade distrital.</w:t>
      </w:r>
    </w:p>
    <w:p w14:paraId="6FB01707" w14:textId="627F34F1" w:rsidR="00251583" w:rsidRPr="00485F85" w:rsidRDefault="00251583"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Desse modo, este estudo, surge com o objetivo de mapear as “boas práticas” </w:t>
      </w:r>
      <w:r w:rsidR="00B56950" w:rsidRPr="00485F85">
        <w:rPr>
          <w:rFonts w:asciiTheme="majorHAnsi" w:hAnsiTheme="majorHAnsi" w:cstheme="majorHAnsi"/>
        </w:rPr>
        <w:t xml:space="preserve">existentes </w:t>
      </w:r>
      <w:r w:rsidR="00253B8C" w:rsidRPr="00485F85">
        <w:rPr>
          <w:rFonts w:asciiTheme="majorHAnsi" w:hAnsiTheme="majorHAnsi" w:cstheme="majorHAnsi"/>
        </w:rPr>
        <w:t>n</w:t>
      </w:r>
      <w:r w:rsidR="00B56950" w:rsidRPr="00485F85">
        <w:rPr>
          <w:rFonts w:asciiTheme="majorHAnsi" w:hAnsiTheme="majorHAnsi" w:cstheme="majorHAnsi"/>
        </w:rPr>
        <w:t>a</w:t>
      </w:r>
      <w:r w:rsidRPr="00485F85">
        <w:rPr>
          <w:rFonts w:asciiTheme="majorHAnsi" w:hAnsiTheme="majorHAnsi" w:cstheme="majorHAnsi"/>
        </w:rPr>
        <w:t xml:space="preserve"> Universidade de Oxford, situada no Condado de Oxfordshire, </w:t>
      </w:r>
      <w:r w:rsidR="003B0A12" w:rsidRPr="00485F85">
        <w:rPr>
          <w:rFonts w:asciiTheme="majorHAnsi" w:hAnsiTheme="majorHAnsi" w:cstheme="majorHAnsi"/>
        </w:rPr>
        <w:t xml:space="preserve">Inglaterra, </w:t>
      </w:r>
      <w:r w:rsidRPr="00485F85">
        <w:rPr>
          <w:rFonts w:asciiTheme="majorHAnsi" w:hAnsiTheme="majorHAnsi" w:cstheme="majorHAnsi"/>
        </w:rPr>
        <w:t xml:space="preserve">para contribuir na elaboração coletiva </w:t>
      </w:r>
      <w:r w:rsidR="0064732E" w:rsidRPr="00485F85">
        <w:rPr>
          <w:rFonts w:asciiTheme="majorHAnsi" w:hAnsiTheme="majorHAnsi" w:cstheme="majorHAnsi"/>
        </w:rPr>
        <w:t>dessas</w:t>
      </w:r>
      <w:r w:rsidRPr="00485F85">
        <w:rPr>
          <w:rFonts w:asciiTheme="majorHAnsi" w:hAnsiTheme="majorHAnsi" w:cstheme="majorHAnsi"/>
        </w:rPr>
        <w:t xml:space="preserve"> políticas e diretrizes inspiradas </w:t>
      </w:r>
      <w:r w:rsidR="003B0A12" w:rsidRPr="00485F85">
        <w:rPr>
          <w:rFonts w:asciiTheme="majorHAnsi" w:hAnsiTheme="majorHAnsi" w:cstheme="majorHAnsi"/>
        </w:rPr>
        <w:t xml:space="preserve">nos </w:t>
      </w:r>
      <w:r w:rsidRPr="00485F85">
        <w:rPr>
          <w:rFonts w:asciiTheme="majorHAnsi" w:hAnsiTheme="majorHAnsi" w:cstheme="majorHAnsi"/>
        </w:rPr>
        <w:t xml:space="preserve">resultados desse gigante educacional que ocupa a </w:t>
      </w:r>
      <w:r w:rsidR="00253B8C" w:rsidRPr="00485F85">
        <w:rPr>
          <w:rFonts w:asciiTheme="majorHAnsi" w:hAnsiTheme="majorHAnsi" w:cstheme="majorHAnsi"/>
        </w:rPr>
        <w:t>primeira</w:t>
      </w:r>
      <w:r w:rsidRPr="00485F85">
        <w:rPr>
          <w:rFonts w:asciiTheme="majorHAnsi" w:hAnsiTheme="majorHAnsi" w:cstheme="majorHAnsi"/>
        </w:rPr>
        <w:t xml:space="preserve"> posição mundial em pesquisa, ensino e extensão (Times Higher Education World University Rankings, 2021). </w:t>
      </w:r>
    </w:p>
    <w:p w14:paraId="33C75042" w14:textId="4D15F742" w:rsidR="00251583" w:rsidRPr="00485F85" w:rsidRDefault="00251583" w:rsidP="003E2F7A">
      <w:pPr>
        <w:spacing w:line="276" w:lineRule="auto"/>
        <w:ind w:firstLine="709"/>
        <w:jc w:val="both"/>
        <w:rPr>
          <w:rFonts w:asciiTheme="majorHAnsi" w:hAnsiTheme="majorHAnsi" w:cstheme="majorHAnsi"/>
        </w:rPr>
      </w:pPr>
      <w:r w:rsidRPr="00485F85">
        <w:rPr>
          <w:rFonts w:asciiTheme="majorHAnsi" w:hAnsiTheme="majorHAnsi" w:cstheme="majorHAnsi"/>
        </w:rPr>
        <w:t>Para alcançar este objetivo foi realizada uma pesquisa do tipo exploratória</w:t>
      </w:r>
      <w:r w:rsidR="007B6DC0" w:rsidRPr="00485F85">
        <w:rPr>
          <w:rFonts w:asciiTheme="majorHAnsi" w:hAnsiTheme="majorHAnsi" w:cstheme="majorHAnsi"/>
        </w:rPr>
        <w:t xml:space="preserve">, com uso da técnica de estudo de caso em consonância com as técnicas documentais e bibliográficas, com a finalidade de extrair as melhores práticas, em uma abordagem conhecida como </w:t>
      </w:r>
      <w:r w:rsidR="0064732E" w:rsidRPr="00485F85">
        <w:rPr>
          <w:rFonts w:asciiTheme="majorHAnsi" w:hAnsiTheme="majorHAnsi" w:cstheme="majorHAnsi"/>
        </w:rPr>
        <w:t>B</w:t>
      </w:r>
      <w:r w:rsidR="00B56950" w:rsidRPr="00485F85">
        <w:rPr>
          <w:rFonts w:asciiTheme="majorHAnsi" w:hAnsiTheme="majorHAnsi" w:cstheme="majorHAnsi"/>
        </w:rPr>
        <w:t xml:space="preserve">enchmarking. </w:t>
      </w:r>
      <w:r w:rsidRPr="00485F85">
        <w:rPr>
          <w:rFonts w:asciiTheme="majorHAnsi" w:hAnsiTheme="majorHAnsi" w:cstheme="majorHAnsi"/>
        </w:rPr>
        <w:t xml:space="preserve">Por se tratar de uma </w:t>
      </w:r>
      <w:r w:rsidR="00B56950" w:rsidRPr="00485F85">
        <w:rPr>
          <w:rFonts w:asciiTheme="majorHAnsi" w:hAnsiTheme="majorHAnsi" w:cstheme="majorHAnsi"/>
        </w:rPr>
        <w:t xml:space="preserve">consultoria com foco nos resultados, esse trabalho não apresentará o estado da arte e esse artigo seguirá a seguinte </w:t>
      </w:r>
      <w:r w:rsidR="008115FA" w:rsidRPr="00485F85">
        <w:rPr>
          <w:rFonts w:asciiTheme="majorHAnsi" w:hAnsiTheme="majorHAnsi" w:cstheme="majorHAnsi"/>
        </w:rPr>
        <w:lastRenderedPageBreak/>
        <w:t>sequência:</w:t>
      </w:r>
      <w:r w:rsidR="00B56950" w:rsidRPr="00485F85">
        <w:rPr>
          <w:rFonts w:asciiTheme="majorHAnsi" w:hAnsiTheme="majorHAnsi" w:cstheme="majorHAnsi"/>
        </w:rPr>
        <w:t xml:space="preserve"> apresentação, definição do objeto de pesquisa, metodologia, resultados e considerações finais com o mapa das boas práticas elencadas.</w:t>
      </w:r>
    </w:p>
    <w:p w14:paraId="005EBEFC" w14:textId="64A695B0" w:rsidR="00251583" w:rsidRPr="00485F85" w:rsidRDefault="00251583" w:rsidP="003B0A12">
      <w:pPr>
        <w:tabs>
          <w:tab w:val="clear" w:pos="1615"/>
          <w:tab w:val="left" w:pos="2029"/>
        </w:tabs>
        <w:jc w:val="both"/>
        <w:rPr>
          <w:rFonts w:asciiTheme="majorHAnsi" w:hAnsiTheme="majorHAnsi" w:cstheme="majorHAnsi"/>
        </w:rPr>
      </w:pPr>
    </w:p>
    <w:p w14:paraId="524DCC19" w14:textId="5182CE76" w:rsidR="008115FA" w:rsidRPr="00485F85" w:rsidRDefault="003E2F7A" w:rsidP="003E2F7A">
      <w:pPr>
        <w:pStyle w:val="Ttulo2"/>
        <w:ind w:left="993"/>
        <w:rPr>
          <w:rFonts w:asciiTheme="majorHAnsi" w:hAnsiTheme="majorHAnsi" w:cstheme="majorHAnsi"/>
        </w:rPr>
      </w:pPr>
      <w:bookmarkStart w:id="5" w:name="_Toc82101301"/>
      <w:bookmarkStart w:id="6" w:name="_Hlk80057089"/>
      <w:r w:rsidRPr="00485F85">
        <w:rPr>
          <w:rFonts w:asciiTheme="majorHAnsi" w:hAnsiTheme="majorHAnsi" w:cstheme="majorHAnsi"/>
        </w:rPr>
        <w:t>APRESENTAÇÃO DO OBJETO DE PESQUISA</w:t>
      </w:r>
      <w:bookmarkEnd w:id="5"/>
      <w:r w:rsidRPr="00485F85">
        <w:rPr>
          <w:rFonts w:asciiTheme="majorHAnsi" w:hAnsiTheme="majorHAnsi" w:cstheme="majorHAnsi"/>
        </w:rPr>
        <w:t xml:space="preserve"> </w:t>
      </w:r>
    </w:p>
    <w:p w14:paraId="5136655E" w14:textId="6C787C18" w:rsidR="003A4926" w:rsidRPr="00485F85" w:rsidRDefault="003E2F7A" w:rsidP="003E2F7A">
      <w:pPr>
        <w:pStyle w:val="Ttulo3"/>
        <w:ind w:left="1276"/>
        <w:rPr>
          <w:rFonts w:asciiTheme="majorHAnsi" w:hAnsiTheme="majorHAnsi" w:cstheme="majorHAnsi"/>
        </w:rPr>
      </w:pPr>
      <w:bookmarkStart w:id="7" w:name="_Toc82101302"/>
      <w:bookmarkStart w:id="8" w:name="_Hlk80057022"/>
      <w:bookmarkEnd w:id="6"/>
      <w:r w:rsidRPr="00485F85">
        <w:rPr>
          <w:rFonts w:asciiTheme="majorHAnsi" w:hAnsiTheme="majorHAnsi" w:cstheme="majorHAnsi"/>
        </w:rPr>
        <w:t>UNIVERSIDADE DE OXFORD</w:t>
      </w:r>
      <w:bookmarkEnd w:id="7"/>
    </w:p>
    <w:bookmarkEnd w:id="8"/>
    <w:p w14:paraId="26462D58" w14:textId="6E947040" w:rsidR="00B74199" w:rsidRPr="00485F85" w:rsidRDefault="003A4926"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A </w:t>
      </w:r>
      <w:r w:rsidRPr="00485F85">
        <w:rPr>
          <w:rFonts w:asciiTheme="majorHAnsi" w:hAnsiTheme="majorHAnsi" w:cstheme="majorHAnsi"/>
          <w:i/>
          <w:iCs/>
        </w:rPr>
        <w:t xml:space="preserve">University of Oxford </w:t>
      </w:r>
      <w:r w:rsidRPr="00485F85">
        <w:rPr>
          <w:rFonts w:asciiTheme="majorHAnsi" w:hAnsiTheme="majorHAnsi" w:cstheme="majorHAnsi"/>
        </w:rPr>
        <w:t xml:space="preserve">é uma universidade </w:t>
      </w:r>
      <w:r w:rsidR="00345652" w:rsidRPr="00485F85">
        <w:rPr>
          <w:rFonts w:asciiTheme="majorHAnsi" w:hAnsiTheme="majorHAnsi" w:cstheme="majorHAnsi"/>
        </w:rPr>
        <w:t xml:space="preserve">pública </w:t>
      </w:r>
      <w:r w:rsidR="00B74199" w:rsidRPr="00485F85">
        <w:rPr>
          <w:rFonts w:asciiTheme="majorHAnsi" w:hAnsiTheme="majorHAnsi" w:cstheme="majorHAnsi"/>
        </w:rPr>
        <w:t xml:space="preserve">caritativa </w:t>
      </w:r>
      <w:r w:rsidRPr="00485F85">
        <w:rPr>
          <w:rFonts w:asciiTheme="majorHAnsi" w:hAnsiTheme="majorHAnsi" w:cstheme="majorHAnsi"/>
        </w:rPr>
        <w:t xml:space="preserve">situada em Oxford, Inglaterra. </w:t>
      </w:r>
      <w:r w:rsidR="00F918CC" w:rsidRPr="00485F85">
        <w:rPr>
          <w:rFonts w:asciiTheme="majorHAnsi" w:hAnsiTheme="majorHAnsi" w:cstheme="majorHAnsi"/>
        </w:rPr>
        <w:t xml:space="preserve">Próxima da capital do país (Londres) – 100km e próximo a outros dois grandes centros universitário, </w:t>
      </w:r>
      <w:r w:rsidR="00F918CC" w:rsidRPr="00485F85">
        <w:rPr>
          <w:rFonts w:asciiTheme="majorHAnsi" w:hAnsiTheme="majorHAnsi" w:cstheme="majorHAnsi"/>
          <w:i/>
          <w:iCs/>
        </w:rPr>
        <w:t>Birmingham</w:t>
      </w:r>
      <w:r w:rsidR="00F918CC" w:rsidRPr="00485F85">
        <w:rPr>
          <w:rFonts w:asciiTheme="majorHAnsi" w:hAnsiTheme="majorHAnsi" w:cstheme="majorHAnsi"/>
        </w:rPr>
        <w:t xml:space="preserve"> (114km) e </w:t>
      </w:r>
      <w:r w:rsidR="00F918CC" w:rsidRPr="00485F85">
        <w:rPr>
          <w:rFonts w:asciiTheme="majorHAnsi" w:hAnsiTheme="majorHAnsi" w:cstheme="majorHAnsi"/>
          <w:i/>
          <w:iCs/>
        </w:rPr>
        <w:t>Cambridge</w:t>
      </w:r>
      <w:r w:rsidR="00F918CC" w:rsidRPr="00485F85">
        <w:rPr>
          <w:rFonts w:asciiTheme="majorHAnsi" w:hAnsiTheme="majorHAnsi" w:cstheme="majorHAnsi"/>
        </w:rPr>
        <w:t xml:space="preserve">(131km). </w:t>
      </w:r>
      <w:r w:rsidR="00B74199" w:rsidRPr="00485F85">
        <w:rPr>
          <w:rFonts w:asciiTheme="majorHAnsi" w:hAnsiTheme="majorHAnsi" w:cstheme="majorHAnsi"/>
        </w:rPr>
        <w:t xml:space="preserve">Está inserida no Condado de Oxfordshire, que possuiu uma área de 46 Km2 e população com cerca de 161.445 habitantes. Sua Densidade Demográfica é 3,509 habitantes por km2, e seu IDH 0,932. Quanto ao rendimento per capita têm-se £ 58.150 por habitante e a sua taxa de desemprego foi de 2.3% no período de abril de 2019 a março de 2020. </w:t>
      </w:r>
    </w:p>
    <w:p w14:paraId="6D464F19" w14:textId="2000BC1D" w:rsidR="00B74199" w:rsidRPr="00485F85" w:rsidRDefault="00B74199"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No contexto da educação Básica, Oxfordshire possui mais escolas públicas </w:t>
      </w:r>
      <w:r w:rsidR="00D60DDE" w:rsidRPr="00485F85">
        <w:rPr>
          <w:rFonts w:asciiTheme="majorHAnsi" w:hAnsiTheme="majorHAnsi" w:cstheme="majorHAnsi"/>
        </w:rPr>
        <w:t xml:space="preserve">do que privadas </w:t>
      </w:r>
      <w:r w:rsidRPr="00485F85">
        <w:rPr>
          <w:rFonts w:asciiTheme="majorHAnsi" w:hAnsiTheme="majorHAnsi" w:cstheme="majorHAnsi"/>
        </w:rPr>
        <w:t>e sua taxa de alfabetização é de 99% indicando uma população bastante escolarizada. Isso acontece porque quase 100% dos empregos exigem ao mínimo que os candidatos saibam ler e escrever.</w:t>
      </w:r>
    </w:p>
    <w:p w14:paraId="6AEF0E8A" w14:textId="2123E022" w:rsidR="003A4926" w:rsidRPr="00485F85" w:rsidRDefault="003A4926" w:rsidP="003E2F7A">
      <w:pPr>
        <w:spacing w:line="276" w:lineRule="auto"/>
        <w:ind w:firstLine="709"/>
        <w:jc w:val="both"/>
        <w:rPr>
          <w:rFonts w:asciiTheme="majorHAnsi" w:hAnsiTheme="majorHAnsi" w:cstheme="majorHAnsi"/>
        </w:rPr>
      </w:pPr>
      <w:r w:rsidRPr="00485F85">
        <w:rPr>
          <w:rFonts w:asciiTheme="majorHAnsi" w:hAnsiTheme="majorHAnsi" w:cstheme="majorHAnsi"/>
        </w:rPr>
        <w:t xml:space="preserve">Há evidências de ensino </w:t>
      </w:r>
      <w:r w:rsidR="00B74199" w:rsidRPr="00485F85">
        <w:rPr>
          <w:rFonts w:asciiTheme="majorHAnsi" w:hAnsiTheme="majorHAnsi" w:cstheme="majorHAnsi"/>
        </w:rPr>
        <w:t>na Universidade</w:t>
      </w:r>
      <w:r w:rsidR="00D60DDE" w:rsidRPr="00485F85">
        <w:rPr>
          <w:rFonts w:asciiTheme="majorHAnsi" w:hAnsiTheme="majorHAnsi" w:cstheme="majorHAnsi"/>
        </w:rPr>
        <w:t xml:space="preserve"> de Oxford </w:t>
      </w:r>
      <w:r w:rsidRPr="00485F85">
        <w:rPr>
          <w:rFonts w:asciiTheme="majorHAnsi" w:hAnsiTheme="majorHAnsi" w:cstheme="majorHAnsi"/>
        </w:rPr>
        <w:t xml:space="preserve">já em 1096, tornando-a a universidade mais antiga do mundo de língua inglesa e a segunda universidade mais antiga do mundo em operação contínua. </w:t>
      </w:r>
      <w:r w:rsidR="00345652" w:rsidRPr="00485F85">
        <w:rPr>
          <w:rFonts w:asciiTheme="majorHAnsi" w:hAnsiTheme="majorHAnsi" w:cstheme="majorHAnsi"/>
        </w:rPr>
        <w:t xml:space="preserve"> Pode ser considerada uma Instituição Média já que possui 25.820 alunos entre graduação e pós-graduação</w:t>
      </w:r>
      <w:r w:rsidR="00F918CC" w:rsidRPr="00485F85">
        <w:rPr>
          <w:rFonts w:asciiTheme="majorHAnsi" w:hAnsiTheme="majorHAnsi" w:cstheme="majorHAnsi"/>
        </w:rPr>
        <w:t xml:space="preserve"> (figura 1)</w:t>
      </w:r>
      <w:r w:rsidR="00B74199" w:rsidRPr="00485F85">
        <w:rPr>
          <w:rFonts w:asciiTheme="majorHAnsi" w:hAnsiTheme="majorHAnsi" w:cstheme="majorHAnsi"/>
        </w:rPr>
        <w:t>.</w:t>
      </w:r>
    </w:p>
    <w:p w14:paraId="3E68D69D" w14:textId="77777777" w:rsidR="00F918CC" w:rsidRPr="00485F85" w:rsidRDefault="00F918CC" w:rsidP="00345652">
      <w:pPr>
        <w:spacing w:after="0" w:line="360" w:lineRule="auto"/>
        <w:jc w:val="both"/>
        <w:rPr>
          <w:rFonts w:asciiTheme="majorHAnsi" w:hAnsiTheme="majorHAnsi" w:cstheme="majorHAnsi"/>
        </w:rPr>
      </w:pPr>
    </w:p>
    <w:p w14:paraId="00B47ACB" w14:textId="3ACA53B3" w:rsidR="00F918CC" w:rsidRPr="00485F85" w:rsidRDefault="00F918CC" w:rsidP="003E2F7A">
      <w:pPr>
        <w:spacing w:after="0" w:line="360" w:lineRule="auto"/>
        <w:rPr>
          <w:rFonts w:asciiTheme="majorHAnsi" w:hAnsiTheme="majorHAnsi" w:cstheme="majorHAnsi"/>
        </w:rPr>
      </w:pPr>
      <w:r w:rsidRPr="00485F85">
        <w:rPr>
          <w:rFonts w:asciiTheme="majorHAnsi" w:hAnsiTheme="majorHAnsi" w:cstheme="majorHAnsi"/>
          <w:noProof/>
          <w:lang w:eastAsia="pt-BR"/>
        </w:rPr>
        <w:drawing>
          <wp:inline distT="0" distB="0" distL="0" distR="0" wp14:anchorId="7EF9D43D" wp14:editId="3EA7D035">
            <wp:extent cx="4926841" cy="2938316"/>
            <wp:effectExtent l="0" t="0" r="7620"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12"/>
                    <a:stretch>
                      <a:fillRect/>
                    </a:stretch>
                  </pic:blipFill>
                  <pic:spPr>
                    <a:xfrm>
                      <a:off x="0" y="0"/>
                      <a:ext cx="4962781" cy="2959750"/>
                    </a:xfrm>
                    <a:prstGeom prst="rect">
                      <a:avLst/>
                    </a:prstGeom>
                  </pic:spPr>
                </pic:pic>
              </a:graphicData>
            </a:graphic>
          </wp:inline>
        </w:drawing>
      </w:r>
    </w:p>
    <w:p w14:paraId="523B1068" w14:textId="49AB81D5" w:rsidR="00345652" w:rsidRPr="00485F85" w:rsidRDefault="00F918CC" w:rsidP="00F918CC">
      <w:pPr>
        <w:spacing w:after="0"/>
        <w:jc w:val="both"/>
        <w:rPr>
          <w:rFonts w:asciiTheme="majorHAnsi" w:hAnsiTheme="majorHAnsi" w:cstheme="majorHAnsi"/>
        </w:rPr>
      </w:pPr>
      <w:r w:rsidRPr="00485F85">
        <w:rPr>
          <w:rFonts w:asciiTheme="majorHAnsi" w:hAnsiTheme="majorHAnsi" w:cstheme="majorHAnsi"/>
        </w:rPr>
        <w:t>Figura 1 – Mapa de Oxford</w:t>
      </w:r>
    </w:p>
    <w:p w14:paraId="32F0F4C1" w14:textId="2DCCF8B8" w:rsidR="00F918CC" w:rsidRPr="00485F85" w:rsidRDefault="00F918CC" w:rsidP="00F918CC">
      <w:pPr>
        <w:spacing w:after="0"/>
        <w:jc w:val="both"/>
        <w:rPr>
          <w:rFonts w:asciiTheme="majorHAnsi" w:hAnsiTheme="majorHAnsi" w:cstheme="majorHAnsi"/>
        </w:rPr>
      </w:pPr>
      <w:r w:rsidRPr="00485F85">
        <w:rPr>
          <w:rFonts w:asciiTheme="majorHAnsi" w:hAnsiTheme="majorHAnsi" w:cstheme="majorHAnsi"/>
        </w:rPr>
        <w:t xml:space="preserve">Fonte: </w:t>
      </w:r>
      <w:r w:rsidRPr="00485F85">
        <w:rPr>
          <w:rFonts w:asciiTheme="majorHAnsi" w:hAnsiTheme="majorHAnsi" w:cstheme="majorHAnsi"/>
          <w:i/>
          <w:iCs/>
        </w:rPr>
        <w:t>google maps</w:t>
      </w:r>
    </w:p>
    <w:p w14:paraId="79B19C7A" w14:textId="77777777" w:rsidR="00F918CC" w:rsidRPr="00485F85" w:rsidRDefault="00F918CC" w:rsidP="00345652">
      <w:pPr>
        <w:spacing w:after="0" w:line="360" w:lineRule="auto"/>
        <w:jc w:val="both"/>
        <w:rPr>
          <w:rFonts w:asciiTheme="majorHAnsi" w:hAnsiTheme="majorHAnsi" w:cstheme="majorHAnsi"/>
        </w:rPr>
      </w:pPr>
    </w:p>
    <w:p w14:paraId="5F676BE0" w14:textId="3B1E7E56" w:rsidR="003A4926" w:rsidRPr="00485F85" w:rsidRDefault="003A4926"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lastRenderedPageBreak/>
        <w:t>Cresceu rapidamente a partir de 1167, quando Henrique II proibiu os estudantes ingleses de frequentar</w:t>
      </w:r>
      <w:r w:rsidR="00D60DDE" w:rsidRPr="00485F85">
        <w:rPr>
          <w:rFonts w:asciiTheme="majorHAnsi" w:hAnsiTheme="majorHAnsi" w:cstheme="majorHAnsi"/>
        </w:rPr>
        <w:t>em</w:t>
      </w:r>
      <w:r w:rsidRPr="00485F85">
        <w:rPr>
          <w:rFonts w:asciiTheme="majorHAnsi" w:hAnsiTheme="majorHAnsi" w:cstheme="majorHAnsi"/>
        </w:rPr>
        <w:t xml:space="preserve"> a Universidade de Paris. Após disputas entre estudantes e moradores de Oxford em 1209, alguns alunos fugiram para o nordeste de Cambridge, onde estabeleceram o que se tornou hoje a Universidade de Cambridge</w:t>
      </w:r>
      <w:r w:rsidR="00D33D2B" w:rsidRPr="00485F85">
        <w:rPr>
          <w:rFonts w:asciiTheme="majorHAnsi" w:hAnsiTheme="majorHAnsi" w:cstheme="majorHAnsi"/>
        </w:rPr>
        <w:t>. Portanto a</w:t>
      </w:r>
      <w:r w:rsidRPr="00485F85">
        <w:rPr>
          <w:rFonts w:asciiTheme="majorHAnsi" w:hAnsiTheme="majorHAnsi" w:cstheme="majorHAnsi"/>
        </w:rPr>
        <w:t>s duas antigas universidades inglesas compartilham muitas características comuns e são conhecidas como Oxbridge</w:t>
      </w:r>
      <w:r w:rsidR="00345652" w:rsidRPr="00485F85">
        <w:rPr>
          <w:rFonts w:asciiTheme="majorHAnsi" w:hAnsiTheme="majorHAnsi" w:cstheme="majorHAnsi"/>
        </w:rPr>
        <w:t>.</w:t>
      </w:r>
    </w:p>
    <w:p w14:paraId="3BE2924E" w14:textId="2B95C9A1" w:rsidR="00D33D2B" w:rsidRPr="00485F85" w:rsidRDefault="003A4926"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 xml:space="preserve">A universidade é composta por trinta e nove </w:t>
      </w:r>
      <w:r w:rsidR="00D33D2B" w:rsidRPr="00485F85">
        <w:rPr>
          <w:rFonts w:asciiTheme="majorHAnsi" w:hAnsiTheme="majorHAnsi" w:cstheme="majorHAnsi"/>
        </w:rPr>
        <w:t>“</w:t>
      </w:r>
      <w:r w:rsidR="00D33D2B" w:rsidRPr="00485F85">
        <w:rPr>
          <w:rFonts w:asciiTheme="majorHAnsi" w:hAnsiTheme="majorHAnsi" w:cstheme="majorHAnsi"/>
          <w:i/>
          <w:iCs/>
        </w:rPr>
        <w:t>Colleges</w:t>
      </w:r>
      <w:r w:rsidR="00D33D2B" w:rsidRPr="00485F85">
        <w:rPr>
          <w:rFonts w:asciiTheme="majorHAnsi" w:hAnsiTheme="majorHAnsi" w:cstheme="majorHAnsi"/>
        </w:rPr>
        <w:t>”</w:t>
      </w:r>
      <w:r w:rsidRPr="00485F85">
        <w:rPr>
          <w:rFonts w:asciiTheme="majorHAnsi" w:hAnsiTheme="majorHAnsi" w:cstheme="majorHAnsi"/>
        </w:rPr>
        <w:t xml:space="preserve"> </w:t>
      </w:r>
      <w:r w:rsidR="00D33D2B" w:rsidRPr="00485F85">
        <w:rPr>
          <w:rFonts w:asciiTheme="majorHAnsi" w:hAnsiTheme="majorHAnsi" w:cstheme="majorHAnsi"/>
        </w:rPr>
        <w:t>com administração</w:t>
      </w:r>
      <w:r w:rsidRPr="00485F85">
        <w:rPr>
          <w:rFonts w:asciiTheme="majorHAnsi" w:hAnsiTheme="majorHAnsi" w:cstheme="majorHAnsi"/>
        </w:rPr>
        <w:t xml:space="preserve"> </w:t>
      </w:r>
      <w:r w:rsidR="00D33D2B" w:rsidRPr="00485F85">
        <w:rPr>
          <w:rFonts w:asciiTheme="majorHAnsi" w:hAnsiTheme="majorHAnsi" w:cstheme="majorHAnsi"/>
        </w:rPr>
        <w:t>semi-independente</w:t>
      </w:r>
      <w:r w:rsidR="004877FB" w:rsidRPr="00485F85">
        <w:rPr>
          <w:rFonts w:asciiTheme="majorHAnsi" w:hAnsiTheme="majorHAnsi" w:cstheme="majorHAnsi"/>
        </w:rPr>
        <w:t>s e</w:t>
      </w:r>
      <w:r w:rsidRPr="00485F85">
        <w:rPr>
          <w:rFonts w:asciiTheme="majorHAnsi" w:hAnsiTheme="majorHAnsi" w:cstheme="majorHAnsi"/>
        </w:rPr>
        <w:t xml:space="preserve"> seis </w:t>
      </w:r>
      <w:r w:rsidR="00D33D2B" w:rsidRPr="00485F85">
        <w:rPr>
          <w:rFonts w:asciiTheme="majorHAnsi" w:hAnsiTheme="majorHAnsi" w:cstheme="majorHAnsi"/>
        </w:rPr>
        <w:t>“</w:t>
      </w:r>
      <w:r w:rsidR="00D33D2B" w:rsidRPr="00485F85">
        <w:rPr>
          <w:rFonts w:asciiTheme="majorHAnsi" w:hAnsiTheme="majorHAnsi" w:cstheme="majorHAnsi"/>
          <w:i/>
          <w:iCs/>
        </w:rPr>
        <w:t>Permanent Private Hall (PPHs)</w:t>
      </w:r>
      <w:r w:rsidR="00D33D2B" w:rsidRPr="00485F85">
        <w:rPr>
          <w:rFonts w:asciiTheme="majorHAnsi" w:hAnsiTheme="majorHAnsi" w:cstheme="majorHAnsi"/>
        </w:rPr>
        <w:t xml:space="preserve">” </w:t>
      </w:r>
      <w:r w:rsidR="003D6265" w:rsidRPr="00485F85">
        <w:rPr>
          <w:rFonts w:asciiTheme="majorHAnsi" w:hAnsiTheme="majorHAnsi" w:cstheme="majorHAnsi"/>
        </w:rPr>
        <w:t xml:space="preserve">. </w:t>
      </w:r>
      <w:r w:rsidR="00D33D2B" w:rsidRPr="00485F85">
        <w:rPr>
          <w:rFonts w:asciiTheme="majorHAnsi" w:hAnsiTheme="majorHAnsi" w:cstheme="majorHAnsi"/>
        </w:rPr>
        <w:t>Os “</w:t>
      </w:r>
      <w:r w:rsidR="00D33D2B" w:rsidRPr="00485F85">
        <w:rPr>
          <w:rFonts w:asciiTheme="majorHAnsi" w:hAnsiTheme="majorHAnsi" w:cstheme="majorHAnsi"/>
          <w:i/>
          <w:iCs/>
        </w:rPr>
        <w:t>Colleges</w:t>
      </w:r>
      <w:r w:rsidR="00D33D2B" w:rsidRPr="00485F85">
        <w:rPr>
          <w:rFonts w:asciiTheme="majorHAnsi" w:hAnsiTheme="majorHAnsi" w:cstheme="majorHAnsi"/>
        </w:rPr>
        <w:t xml:space="preserve">” são instituições autônomas dentro da universidade, cada uma controlando seus próprios membros e com sua própria estrutura e atividades internas. </w:t>
      </w:r>
      <w:r w:rsidR="004877FB" w:rsidRPr="00485F85">
        <w:rPr>
          <w:rFonts w:asciiTheme="majorHAnsi" w:hAnsiTheme="majorHAnsi" w:cstheme="majorHAnsi"/>
        </w:rPr>
        <w:t>Já os Halls Privados Permanentes (“</w:t>
      </w:r>
      <w:r w:rsidR="004877FB" w:rsidRPr="00485F85">
        <w:rPr>
          <w:rFonts w:asciiTheme="majorHAnsi" w:hAnsiTheme="majorHAnsi" w:cstheme="majorHAnsi"/>
          <w:i/>
          <w:iCs/>
        </w:rPr>
        <w:t>Permanent Private Hall</w:t>
      </w:r>
      <w:r w:rsidR="004877FB" w:rsidRPr="00485F85">
        <w:rPr>
          <w:rFonts w:asciiTheme="majorHAnsi" w:hAnsiTheme="majorHAnsi" w:cstheme="majorHAnsi"/>
        </w:rPr>
        <w:t xml:space="preserve"> (PPHs)), são muito semelhantes aos </w:t>
      </w:r>
      <w:r w:rsidR="004877FB" w:rsidRPr="00485F85">
        <w:rPr>
          <w:rFonts w:asciiTheme="majorHAnsi" w:hAnsiTheme="majorHAnsi" w:cstheme="majorHAnsi"/>
          <w:i/>
          <w:iCs/>
        </w:rPr>
        <w:t>Colleges</w:t>
      </w:r>
      <w:r w:rsidR="004877FB" w:rsidRPr="00485F85">
        <w:rPr>
          <w:rFonts w:asciiTheme="majorHAnsi" w:hAnsiTheme="majorHAnsi" w:cstheme="majorHAnsi"/>
        </w:rPr>
        <w:t xml:space="preserve">, exceto que tendem a ser menores. </w:t>
      </w:r>
      <w:r w:rsidR="004877FB" w:rsidRPr="00485F85">
        <w:rPr>
          <w:rFonts w:asciiTheme="majorHAnsi" w:hAnsiTheme="majorHAnsi" w:cstheme="majorHAnsi"/>
          <w:lang w:val="en-US"/>
        </w:rPr>
        <w:t xml:space="preserve">Eles foram fundados por denominações cristãs específicas. São eles: </w:t>
      </w:r>
      <w:r w:rsidR="004877FB" w:rsidRPr="00485F85">
        <w:rPr>
          <w:rFonts w:asciiTheme="majorHAnsi" w:hAnsiTheme="majorHAnsi" w:cstheme="majorHAnsi"/>
          <w:i/>
          <w:iCs/>
          <w:lang w:val="en-US"/>
        </w:rPr>
        <w:t xml:space="preserve">Blackfriars Hall, Campion Hall, Regent's Park College, St Benet's Hall, St Stephen's House, Wycliffe Hall. </w:t>
      </w:r>
      <w:r w:rsidR="00D33D2B" w:rsidRPr="00485F85">
        <w:rPr>
          <w:rFonts w:asciiTheme="majorHAnsi" w:hAnsiTheme="majorHAnsi" w:cstheme="majorHAnsi"/>
        </w:rPr>
        <w:t>Todos os alunos são membros de um “College”</w:t>
      </w:r>
      <w:r w:rsidR="004877FB" w:rsidRPr="00485F85">
        <w:rPr>
          <w:rFonts w:asciiTheme="majorHAnsi" w:hAnsiTheme="majorHAnsi" w:cstheme="majorHAnsi"/>
        </w:rPr>
        <w:t xml:space="preserve"> ou o PPHs</w:t>
      </w:r>
      <w:r w:rsidR="000B1A31" w:rsidRPr="00485F85">
        <w:rPr>
          <w:rFonts w:asciiTheme="majorHAnsi" w:hAnsiTheme="majorHAnsi" w:cstheme="majorHAnsi"/>
        </w:rPr>
        <w:t xml:space="preserve"> e eles oferecem ensino tutorial assim como moradia</w:t>
      </w:r>
      <w:r w:rsidR="00D33D2B" w:rsidRPr="00485F85">
        <w:rPr>
          <w:rFonts w:asciiTheme="majorHAnsi" w:hAnsiTheme="majorHAnsi" w:cstheme="majorHAnsi"/>
        </w:rPr>
        <w:t>.</w:t>
      </w:r>
      <w:r w:rsidR="000B1A31" w:rsidRPr="00485F85">
        <w:rPr>
          <w:rFonts w:asciiTheme="majorHAnsi" w:hAnsiTheme="majorHAnsi" w:cstheme="majorHAnsi"/>
        </w:rPr>
        <w:t xml:space="preserve"> </w:t>
      </w:r>
    </w:p>
    <w:p w14:paraId="796AF86D" w14:textId="44BB2F35" w:rsidR="004877FB" w:rsidRPr="00485F85" w:rsidRDefault="003D6265"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 xml:space="preserve">A Universidade </w:t>
      </w:r>
      <w:r w:rsidR="004877FB" w:rsidRPr="00485F85">
        <w:rPr>
          <w:rFonts w:asciiTheme="majorHAnsi" w:hAnsiTheme="majorHAnsi" w:cstheme="majorHAnsi"/>
        </w:rPr>
        <w:t>C</w:t>
      </w:r>
      <w:r w:rsidRPr="00485F85">
        <w:rPr>
          <w:rFonts w:asciiTheme="majorHAnsi" w:hAnsiTheme="majorHAnsi" w:cstheme="majorHAnsi"/>
        </w:rPr>
        <w:t xml:space="preserve">entral </w:t>
      </w:r>
      <w:r w:rsidR="00D60DDE" w:rsidRPr="00485F85">
        <w:rPr>
          <w:rFonts w:asciiTheme="majorHAnsi" w:hAnsiTheme="majorHAnsi" w:cstheme="majorHAnsi"/>
        </w:rPr>
        <w:t xml:space="preserve">(conhecida também como Federação) </w:t>
      </w:r>
      <w:r w:rsidRPr="00485F85">
        <w:rPr>
          <w:rFonts w:asciiTheme="majorHAnsi" w:hAnsiTheme="majorHAnsi" w:cstheme="majorHAnsi"/>
        </w:rPr>
        <w:t xml:space="preserve">é composta por muitas seções diferentes, incluindo departamentos acadêmicos e administrativos, bibliotecas e </w:t>
      </w:r>
      <w:r w:rsidR="00B70639" w:rsidRPr="00485F85">
        <w:rPr>
          <w:rFonts w:asciiTheme="majorHAnsi" w:hAnsiTheme="majorHAnsi" w:cstheme="majorHAnsi"/>
        </w:rPr>
        <w:t>museus.</w:t>
      </w:r>
      <w:r w:rsidRPr="00485F85">
        <w:rPr>
          <w:rFonts w:asciiTheme="majorHAnsi" w:hAnsiTheme="majorHAnsi" w:cstheme="majorHAnsi"/>
        </w:rPr>
        <w:t xml:space="preserve"> Existem cerca de 100 departamentos acadêmicos principais, que são supervisionados pelas quatro divisões acadêmicas: </w:t>
      </w:r>
      <w:r w:rsidRPr="00485F85">
        <w:rPr>
          <w:rFonts w:asciiTheme="majorHAnsi" w:hAnsiTheme="majorHAnsi" w:cstheme="majorHAnsi"/>
          <w:i/>
          <w:iCs/>
        </w:rPr>
        <w:t>Humanities Division, Mathematical, Physical &amp; Life Sciences Division, Medical Sciences Division, Social Sciences Division</w:t>
      </w:r>
      <w:r w:rsidRPr="00485F85">
        <w:rPr>
          <w:rFonts w:asciiTheme="majorHAnsi" w:hAnsiTheme="majorHAnsi" w:cstheme="majorHAnsi"/>
        </w:rPr>
        <w:t xml:space="preserve">). Há ainda as Divisões </w:t>
      </w:r>
      <w:r w:rsidRPr="00485F85">
        <w:rPr>
          <w:rFonts w:asciiTheme="majorHAnsi" w:hAnsiTheme="majorHAnsi" w:cstheme="majorHAnsi"/>
          <w:i/>
          <w:iCs/>
        </w:rPr>
        <w:t>Department for Continuing Education, Gardens, Libraries and Museums</w:t>
      </w:r>
      <w:r w:rsidRPr="00485F85">
        <w:rPr>
          <w:rFonts w:asciiTheme="majorHAnsi" w:hAnsiTheme="majorHAnsi" w:cstheme="majorHAnsi"/>
        </w:rPr>
        <w:t xml:space="preserve"> (GLAM estão localizados no centro da estrutura da federação). Os departamentos fornecem instalações para ensino e pesquisa, determinam os programas e diretrizes para o ensino de alunos, realizam pesquisas e ministram palestras e seminários. </w:t>
      </w:r>
      <w:r w:rsidR="004877FB" w:rsidRPr="00485F85">
        <w:rPr>
          <w:rFonts w:asciiTheme="majorHAnsi" w:hAnsiTheme="majorHAnsi" w:cstheme="majorHAnsi"/>
        </w:rPr>
        <w:t xml:space="preserve">Os membros das Divisões </w:t>
      </w:r>
      <w:r w:rsidR="00D60DDE" w:rsidRPr="00485F85">
        <w:rPr>
          <w:rFonts w:asciiTheme="majorHAnsi" w:hAnsiTheme="majorHAnsi" w:cstheme="majorHAnsi"/>
        </w:rPr>
        <w:t>Acadêmicas</w:t>
      </w:r>
      <w:r w:rsidR="004877FB" w:rsidRPr="00485F85">
        <w:rPr>
          <w:rFonts w:asciiTheme="majorHAnsi" w:hAnsiTheme="majorHAnsi" w:cstheme="majorHAnsi"/>
        </w:rPr>
        <w:t xml:space="preserve"> estão espalhados pelos diversos </w:t>
      </w:r>
      <w:r w:rsidR="004877FB" w:rsidRPr="00485F85">
        <w:rPr>
          <w:rFonts w:asciiTheme="majorHAnsi" w:hAnsiTheme="majorHAnsi" w:cstheme="majorHAnsi"/>
          <w:i/>
          <w:iCs/>
        </w:rPr>
        <w:t>Colleges</w:t>
      </w:r>
      <w:r w:rsidR="004877FB" w:rsidRPr="00485F85">
        <w:rPr>
          <w:rFonts w:asciiTheme="majorHAnsi" w:hAnsiTheme="majorHAnsi" w:cstheme="majorHAnsi"/>
        </w:rPr>
        <w:t xml:space="preserve"> e PPHs. Embora certos Colleges e PPHs tenham alinhamentos de disciplinas com alguma divisão Acadêmica (por exemplo, </w:t>
      </w:r>
      <w:r w:rsidR="004877FB" w:rsidRPr="00485F85">
        <w:rPr>
          <w:rFonts w:asciiTheme="majorHAnsi" w:hAnsiTheme="majorHAnsi" w:cstheme="majorHAnsi"/>
          <w:i/>
          <w:iCs/>
        </w:rPr>
        <w:t>Nuffield College</w:t>
      </w:r>
      <w:r w:rsidR="004877FB" w:rsidRPr="00485F85">
        <w:rPr>
          <w:rFonts w:asciiTheme="majorHAnsi" w:hAnsiTheme="majorHAnsi" w:cstheme="majorHAnsi"/>
        </w:rPr>
        <w:t xml:space="preserve"> com </w:t>
      </w:r>
      <w:r w:rsidR="004877FB" w:rsidRPr="00485F85">
        <w:rPr>
          <w:rFonts w:asciiTheme="majorHAnsi" w:hAnsiTheme="majorHAnsi" w:cstheme="majorHAnsi"/>
          <w:i/>
          <w:iCs/>
        </w:rPr>
        <w:t>Social Sciences Division</w:t>
      </w:r>
      <w:r w:rsidR="004877FB" w:rsidRPr="00485F85">
        <w:rPr>
          <w:rFonts w:asciiTheme="majorHAnsi" w:hAnsiTheme="majorHAnsi" w:cstheme="majorHAnsi"/>
        </w:rPr>
        <w:t xml:space="preserve">), essa é uma exceção, e a maioria dos </w:t>
      </w:r>
      <w:r w:rsidR="004877FB" w:rsidRPr="00485F85">
        <w:rPr>
          <w:rFonts w:asciiTheme="majorHAnsi" w:hAnsiTheme="majorHAnsi" w:cstheme="majorHAnsi"/>
          <w:i/>
          <w:iCs/>
        </w:rPr>
        <w:t>Colleges</w:t>
      </w:r>
      <w:r w:rsidR="004877FB" w:rsidRPr="00485F85">
        <w:rPr>
          <w:rFonts w:asciiTheme="majorHAnsi" w:hAnsiTheme="majorHAnsi" w:cstheme="majorHAnsi"/>
        </w:rPr>
        <w:t xml:space="preserve"> terá uma ampla mistura de acadêmicos e alunos de uma ampla gama de disciplinas.</w:t>
      </w:r>
    </w:p>
    <w:p w14:paraId="6A6D0EA5" w14:textId="53E916C1" w:rsidR="003D6265" w:rsidRPr="00485F85" w:rsidRDefault="004877FB"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 xml:space="preserve">O </w:t>
      </w:r>
      <w:r w:rsidR="003D6265" w:rsidRPr="00485F85">
        <w:rPr>
          <w:rFonts w:asciiTheme="majorHAnsi" w:hAnsiTheme="majorHAnsi" w:cstheme="majorHAnsi"/>
          <w:i/>
          <w:iCs/>
        </w:rPr>
        <w:t>Department for Continuing Education</w:t>
      </w:r>
      <w:r w:rsidR="003D6265" w:rsidRPr="00485F85">
        <w:rPr>
          <w:rFonts w:asciiTheme="majorHAnsi" w:hAnsiTheme="majorHAnsi" w:cstheme="majorHAnsi"/>
        </w:rPr>
        <w:t xml:space="preserve"> oferece cursos e programas flexíveis em tempo parcial para alunos adultos. Oferece mais de 1.000 cursos a cada ano, incluindo aulas semanais, cursos online, escolas diurnas, de fim de semana e de verão, qualificações de graduação e pós-graduação e cursos de desenvolvimento profissional contínuo.</w:t>
      </w:r>
    </w:p>
    <w:p w14:paraId="4AADA6B8" w14:textId="1FE7235F" w:rsidR="003D6265" w:rsidRPr="00485F85" w:rsidRDefault="003D6265"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 xml:space="preserve">Já o </w:t>
      </w:r>
      <w:r w:rsidR="004877FB" w:rsidRPr="00485F85">
        <w:rPr>
          <w:rFonts w:asciiTheme="majorHAnsi" w:hAnsiTheme="majorHAnsi" w:cstheme="majorHAnsi"/>
          <w:i/>
          <w:iCs/>
        </w:rPr>
        <w:t xml:space="preserve">Gardens, Libraries and Museums - </w:t>
      </w:r>
      <w:r w:rsidRPr="00485F85">
        <w:rPr>
          <w:rFonts w:asciiTheme="majorHAnsi" w:hAnsiTheme="majorHAnsi" w:cstheme="majorHAnsi"/>
          <w:i/>
          <w:iCs/>
        </w:rPr>
        <w:t>GLAM</w:t>
      </w:r>
      <w:r w:rsidRPr="00485F85">
        <w:rPr>
          <w:rFonts w:asciiTheme="majorHAnsi" w:hAnsiTheme="majorHAnsi" w:cstheme="majorHAnsi"/>
        </w:rPr>
        <w:t xml:space="preserve"> gerencia os jardins, bibliotecas e museus da Universidade de Oxford</w:t>
      </w:r>
      <w:r w:rsidR="004877FB" w:rsidRPr="00485F85">
        <w:rPr>
          <w:rFonts w:asciiTheme="majorHAnsi" w:hAnsiTheme="majorHAnsi" w:cstheme="majorHAnsi"/>
        </w:rPr>
        <w:t xml:space="preserve">. O conglomerado </w:t>
      </w:r>
      <w:r w:rsidRPr="00485F85">
        <w:rPr>
          <w:rFonts w:asciiTheme="majorHAnsi" w:hAnsiTheme="majorHAnsi" w:cstheme="majorHAnsi"/>
        </w:rPr>
        <w:t>forma uma das maiores concentrações de coleções universitárias do mundo. Compreendendo mais de 21 milhões de objetos, espécimes e itens impressos, eles constituem um dos maiores e mais importantes repositórios de pesquisa do mundo e fornecem um excelente recurso para acadêmicos, estudantes e membros do público.</w:t>
      </w:r>
    </w:p>
    <w:p w14:paraId="412641A1" w14:textId="449B68FE" w:rsidR="00D33D2B" w:rsidRPr="00485F85" w:rsidRDefault="004877FB"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Contudo, i</w:t>
      </w:r>
      <w:r w:rsidR="00D33D2B" w:rsidRPr="00485F85">
        <w:rPr>
          <w:rFonts w:asciiTheme="majorHAnsi" w:hAnsiTheme="majorHAnsi" w:cstheme="majorHAnsi"/>
        </w:rPr>
        <w:t>nstalações como bibliotecas são fornecidas em todos estes níveis: tanto pela universidade central (UNIVERSITY OXFORD que possuiu a Bodleian), pel</w:t>
      </w:r>
      <w:r w:rsidRPr="00485F85">
        <w:rPr>
          <w:rFonts w:asciiTheme="majorHAnsi" w:hAnsiTheme="majorHAnsi" w:cstheme="majorHAnsi"/>
        </w:rPr>
        <w:t>a</w:t>
      </w:r>
      <w:r w:rsidR="00D33D2B" w:rsidRPr="00485F85">
        <w:rPr>
          <w:rFonts w:asciiTheme="majorHAnsi" w:hAnsiTheme="majorHAnsi" w:cstheme="majorHAnsi"/>
        </w:rPr>
        <w:t xml:space="preserve">s Divisões Acadêmicas (bibliotecas departamentais individuais, como a Biblioteca </w:t>
      </w:r>
      <w:r w:rsidR="00D33D2B" w:rsidRPr="00485F85">
        <w:rPr>
          <w:rFonts w:asciiTheme="majorHAnsi" w:hAnsiTheme="majorHAnsi" w:cstheme="majorHAnsi"/>
          <w:i/>
          <w:iCs/>
        </w:rPr>
        <w:t>English Faculty Library</w:t>
      </w:r>
      <w:r w:rsidR="00D33D2B" w:rsidRPr="00485F85">
        <w:rPr>
          <w:rFonts w:asciiTheme="majorHAnsi" w:hAnsiTheme="majorHAnsi" w:cstheme="majorHAnsi"/>
        </w:rPr>
        <w:t xml:space="preserve">) e até mesmo pelos próprios </w:t>
      </w:r>
      <w:r w:rsidR="00D33D2B" w:rsidRPr="00485F85">
        <w:rPr>
          <w:rFonts w:asciiTheme="majorHAnsi" w:hAnsiTheme="majorHAnsi" w:cstheme="majorHAnsi"/>
          <w:i/>
          <w:iCs/>
        </w:rPr>
        <w:t>Colleges</w:t>
      </w:r>
      <w:r w:rsidR="00D33D2B" w:rsidRPr="00485F85">
        <w:rPr>
          <w:rFonts w:asciiTheme="majorHAnsi" w:hAnsiTheme="majorHAnsi" w:cstheme="majorHAnsi"/>
        </w:rPr>
        <w:t xml:space="preserve"> (cada um mantém uma biblioteca multidisciplinar para uso de seus membros).</w:t>
      </w:r>
    </w:p>
    <w:p w14:paraId="1DA2626B" w14:textId="25C142CD" w:rsidR="003A4926" w:rsidRPr="00485F85" w:rsidRDefault="00D33D2B"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t>Oxford n</w:t>
      </w:r>
      <w:r w:rsidR="003A4926" w:rsidRPr="00485F85">
        <w:rPr>
          <w:rFonts w:asciiTheme="majorHAnsi" w:hAnsiTheme="majorHAnsi" w:cstheme="majorHAnsi"/>
        </w:rPr>
        <w:t>ão tem campus principal</w:t>
      </w:r>
      <w:r w:rsidR="00D60DDE" w:rsidRPr="00485F85">
        <w:rPr>
          <w:rFonts w:asciiTheme="majorHAnsi" w:hAnsiTheme="majorHAnsi" w:cstheme="majorHAnsi"/>
        </w:rPr>
        <w:t xml:space="preserve"> </w:t>
      </w:r>
      <w:r w:rsidR="003A4926" w:rsidRPr="00485F85">
        <w:rPr>
          <w:rFonts w:asciiTheme="majorHAnsi" w:hAnsiTheme="majorHAnsi" w:cstheme="majorHAnsi"/>
        </w:rPr>
        <w:t>e seus edifícios e instalações estão espalhados por todo o centro d</w:t>
      </w:r>
      <w:r w:rsidRPr="00485F85">
        <w:rPr>
          <w:rFonts w:asciiTheme="majorHAnsi" w:hAnsiTheme="majorHAnsi" w:cstheme="majorHAnsi"/>
        </w:rPr>
        <w:t>o condado de Oxfordshire</w:t>
      </w:r>
      <w:r w:rsidR="003A4926" w:rsidRPr="00485F85">
        <w:rPr>
          <w:rFonts w:asciiTheme="majorHAnsi" w:hAnsiTheme="majorHAnsi" w:cstheme="majorHAnsi"/>
        </w:rPr>
        <w:t>. O ensino de graduação em Oxford consiste em palestras, tutoriais para pequenos grupos</w:t>
      </w:r>
      <w:r w:rsidRPr="00485F85">
        <w:rPr>
          <w:rFonts w:asciiTheme="majorHAnsi" w:hAnsiTheme="majorHAnsi" w:cstheme="majorHAnsi"/>
        </w:rPr>
        <w:t xml:space="preserve"> </w:t>
      </w:r>
      <w:r w:rsidR="003A4926" w:rsidRPr="00485F85">
        <w:rPr>
          <w:rFonts w:asciiTheme="majorHAnsi" w:hAnsiTheme="majorHAnsi" w:cstheme="majorHAnsi"/>
        </w:rPr>
        <w:t>nas faculdades e salas, seminários, trabalho de laboratório e, ocasionalmente, outros tutoriais fornecidos pelas faculdades e departamentos da universidade central. O ensino de pós-graduação é fornecido predominantemente de forma centralizada.</w:t>
      </w:r>
    </w:p>
    <w:p w14:paraId="63A10401" w14:textId="5C0186C0" w:rsidR="00000A96" w:rsidRPr="00485F85" w:rsidRDefault="00000A96" w:rsidP="003E2F7A">
      <w:pPr>
        <w:tabs>
          <w:tab w:val="clear" w:pos="1615"/>
        </w:tabs>
        <w:spacing w:line="276" w:lineRule="auto"/>
        <w:ind w:firstLine="709"/>
        <w:jc w:val="both"/>
        <w:rPr>
          <w:rFonts w:asciiTheme="majorHAnsi" w:hAnsiTheme="majorHAnsi" w:cstheme="majorHAnsi"/>
        </w:rPr>
      </w:pPr>
      <w:r w:rsidRPr="00485F85">
        <w:rPr>
          <w:rFonts w:asciiTheme="majorHAnsi" w:hAnsiTheme="majorHAnsi" w:cstheme="majorHAnsi"/>
        </w:rPr>
        <w:lastRenderedPageBreak/>
        <w:t>Abaixo, uma figura que ilustra o funcionamento da administração central, as Divisões Acadêmicas da Instituição e as Unidades Acadêmicas</w:t>
      </w:r>
      <w:r w:rsidR="005B4E99" w:rsidRPr="00485F85">
        <w:rPr>
          <w:rFonts w:asciiTheme="majorHAnsi" w:hAnsiTheme="majorHAnsi" w:cstheme="majorHAnsi"/>
        </w:rPr>
        <w:t xml:space="preserve">, </w:t>
      </w:r>
      <w:r w:rsidRPr="00485F85">
        <w:rPr>
          <w:rFonts w:asciiTheme="majorHAnsi" w:hAnsiTheme="majorHAnsi" w:cstheme="majorHAnsi"/>
        </w:rPr>
        <w:t xml:space="preserve">como convencionou-se chamar os </w:t>
      </w:r>
      <w:r w:rsidRPr="00485F85">
        <w:rPr>
          <w:rFonts w:asciiTheme="majorHAnsi" w:hAnsiTheme="majorHAnsi" w:cstheme="majorHAnsi"/>
          <w:i/>
          <w:iCs/>
        </w:rPr>
        <w:t>Collges</w:t>
      </w:r>
      <w:r w:rsidRPr="00485F85">
        <w:rPr>
          <w:rFonts w:asciiTheme="majorHAnsi" w:hAnsiTheme="majorHAnsi" w:cstheme="majorHAnsi"/>
        </w:rPr>
        <w:t xml:space="preserve"> e </w:t>
      </w:r>
      <w:r w:rsidR="002B411C" w:rsidRPr="00485F85">
        <w:rPr>
          <w:rFonts w:asciiTheme="majorHAnsi" w:hAnsiTheme="majorHAnsi" w:cstheme="majorHAnsi"/>
        </w:rPr>
        <w:t>PPHs nesse estudo.</w:t>
      </w:r>
    </w:p>
    <w:p w14:paraId="1968F5C1" w14:textId="77777777" w:rsidR="00345652" w:rsidRPr="00485F85" w:rsidRDefault="00345652" w:rsidP="003A4926">
      <w:pPr>
        <w:jc w:val="both"/>
        <w:rPr>
          <w:rFonts w:asciiTheme="majorHAnsi" w:hAnsiTheme="majorHAnsi" w:cstheme="majorHAnsi"/>
        </w:rPr>
      </w:pPr>
    </w:p>
    <w:p w14:paraId="482CE49E" w14:textId="2AA04E2B" w:rsidR="00345652" w:rsidRPr="00485F85" w:rsidRDefault="00345652" w:rsidP="003A4926">
      <w:pPr>
        <w:jc w:val="both"/>
        <w:rPr>
          <w:rFonts w:asciiTheme="majorHAnsi" w:hAnsiTheme="majorHAnsi" w:cstheme="majorHAnsi"/>
        </w:rPr>
      </w:pPr>
      <w:r w:rsidRPr="00485F85">
        <w:rPr>
          <w:rFonts w:asciiTheme="majorHAnsi" w:hAnsiTheme="majorHAnsi" w:cstheme="majorHAnsi"/>
          <w:noProof/>
          <w:sz w:val="20"/>
          <w:szCs w:val="20"/>
          <w:lang w:eastAsia="pt-BR"/>
        </w:rPr>
        <w:drawing>
          <wp:inline distT="0" distB="0" distL="0" distR="0" wp14:anchorId="0DF9040C" wp14:editId="5FB36AAA">
            <wp:extent cx="6418800" cy="3025588"/>
            <wp:effectExtent l="0" t="0" r="1270" b="381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0870" cy="3059559"/>
                    </a:xfrm>
                    <a:prstGeom prst="rect">
                      <a:avLst/>
                    </a:prstGeom>
                  </pic:spPr>
                </pic:pic>
              </a:graphicData>
            </a:graphic>
          </wp:inline>
        </w:drawing>
      </w:r>
    </w:p>
    <w:p w14:paraId="62E38DFA" w14:textId="3086DE19" w:rsidR="00345652" w:rsidRPr="00485F85" w:rsidRDefault="00345652" w:rsidP="003A4926">
      <w:pPr>
        <w:jc w:val="both"/>
        <w:rPr>
          <w:rFonts w:asciiTheme="majorHAnsi" w:hAnsiTheme="majorHAnsi" w:cstheme="majorHAnsi"/>
        </w:rPr>
      </w:pPr>
    </w:p>
    <w:p w14:paraId="1AB64927" w14:textId="75F5E5E9" w:rsidR="00C77260" w:rsidRPr="00485F85" w:rsidRDefault="00C77260" w:rsidP="00C77260">
      <w:pPr>
        <w:pStyle w:val="SemEspaamento"/>
        <w:jc w:val="left"/>
        <w:rPr>
          <w:rFonts w:asciiTheme="majorHAnsi" w:hAnsiTheme="majorHAnsi" w:cstheme="majorHAnsi"/>
        </w:rPr>
      </w:pPr>
      <w:r w:rsidRPr="00485F85">
        <w:rPr>
          <w:rFonts w:asciiTheme="majorHAnsi" w:hAnsiTheme="majorHAnsi" w:cstheme="majorHAnsi"/>
        </w:rPr>
        <w:t xml:space="preserve">Figura 2 –Esquema da Gestão </w:t>
      </w:r>
    </w:p>
    <w:p w14:paraId="5E2126D2" w14:textId="3F779113" w:rsidR="00C77260" w:rsidRPr="00485F85" w:rsidRDefault="00C77260" w:rsidP="00C77260">
      <w:pPr>
        <w:pStyle w:val="SemEspaamento"/>
        <w:jc w:val="left"/>
        <w:rPr>
          <w:rFonts w:asciiTheme="majorHAnsi" w:hAnsiTheme="majorHAnsi" w:cstheme="majorHAnsi"/>
        </w:rPr>
      </w:pPr>
      <w:r w:rsidRPr="00485F85">
        <w:rPr>
          <w:rFonts w:asciiTheme="majorHAnsi" w:hAnsiTheme="majorHAnsi" w:cstheme="majorHAnsi"/>
        </w:rPr>
        <w:t>Fonte: Autora</w:t>
      </w:r>
    </w:p>
    <w:p w14:paraId="0EEC9C89" w14:textId="5AF6C600" w:rsidR="00782CE0" w:rsidRPr="00485F85" w:rsidRDefault="00782CE0" w:rsidP="002B411C">
      <w:pPr>
        <w:pStyle w:val="SemEspaamento"/>
        <w:jc w:val="left"/>
        <w:rPr>
          <w:rFonts w:asciiTheme="majorHAnsi" w:hAnsiTheme="majorHAnsi" w:cstheme="majorHAnsi"/>
          <w:sz w:val="22"/>
          <w:szCs w:val="22"/>
        </w:rPr>
      </w:pPr>
    </w:p>
    <w:p w14:paraId="00D6F5B0" w14:textId="362C8D20" w:rsidR="003A4926" w:rsidRPr="00485F85" w:rsidRDefault="003E2F7A" w:rsidP="003E2F7A">
      <w:pPr>
        <w:pStyle w:val="Ttulo3"/>
        <w:ind w:left="1276"/>
        <w:rPr>
          <w:rFonts w:asciiTheme="majorHAnsi" w:hAnsiTheme="majorHAnsi" w:cstheme="majorHAnsi"/>
        </w:rPr>
      </w:pPr>
      <w:bookmarkStart w:id="9" w:name="_Toc82101303"/>
      <w:r w:rsidRPr="00485F85">
        <w:rPr>
          <w:rFonts w:asciiTheme="majorHAnsi" w:hAnsiTheme="majorHAnsi" w:cstheme="majorHAnsi"/>
        </w:rPr>
        <w:t>IMPACTO ECONÔMICO DA UNIVERSIDADE NO ENTORNO</w:t>
      </w:r>
      <w:bookmarkEnd w:id="9"/>
    </w:p>
    <w:p w14:paraId="7268306D" w14:textId="0AB75EEE"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A Universidade de Oxford é a universidade mais antiga do mundo de língua inglesa e tem contribuído para a economia há mais de 900 anos. Ao longo deste tempo, o A universidade passou por mudanças transformacionais, na sociedade e na economia. Tem estado na vanguarda de alguns desses desenvolvimentos por meio do inovações científicas, tecnológicas e intelectuais de seus funcionários e alunos.</w:t>
      </w:r>
      <w:r w:rsidR="00F26F2C" w:rsidRPr="00485F85">
        <w:rPr>
          <w:rFonts w:asciiTheme="majorHAnsi" w:hAnsiTheme="majorHAnsi" w:cstheme="majorHAnsi"/>
        </w:rPr>
        <w:t xml:space="preserve"> </w:t>
      </w:r>
      <w:r w:rsidRPr="00485F85">
        <w:rPr>
          <w:rFonts w:asciiTheme="majorHAnsi" w:hAnsiTheme="majorHAnsi" w:cstheme="majorHAnsi"/>
        </w:rPr>
        <w:t>A universidade continua seu legado de impulsionar mudanças econômicas e por meio de suas pesquisas e inovação, ensino e envolvimento da comunidade estabelecem as bases de impactos econômicos no futuro.</w:t>
      </w:r>
      <w:r w:rsidR="00F26F2C" w:rsidRPr="00485F85">
        <w:rPr>
          <w:rFonts w:asciiTheme="majorHAnsi" w:hAnsiTheme="majorHAnsi" w:cstheme="majorHAnsi"/>
        </w:rPr>
        <w:t xml:space="preserve"> </w:t>
      </w:r>
    </w:p>
    <w:p w14:paraId="38D2A442" w14:textId="3BA5905C" w:rsidR="00F26F2C"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 xml:space="preserve">Buscou-se um estudo que conseguisse representar esse impacto econômico da instituição no entorno e só foi encontrado um estudo completo do período </w:t>
      </w:r>
      <w:r w:rsidR="00B70639" w:rsidRPr="00485F85">
        <w:rPr>
          <w:rFonts w:asciiTheme="majorHAnsi" w:hAnsiTheme="majorHAnsi" w:cstheme="majorHAnsi"/>
        </w:rPr>
        <w:t>2014/2015,</w:t>
      </w:r>
      <w:r w:rsidR="00782CE0" w:rsidRPr="00485F85">
        <w:rPr>
          <w:rFonts w:asciiTheme="majorHAnsi" w:hAnsiTheme="majorHAnsi" w:cstheme="majorHAnsi"/>
        </w:rPr>
        <w:t xml:space="preserve"> porém entregue para a Universidade em </w:t>
      </w:r>
      <w:r w:rsidR="00B74199" w:rsidRPr="00485F85">
        <w:rPr>
          <w:rFonts w:asciiTheme="majorHAnsi" w:hAnsiTheme="majorHAnsi" w:cstheme="majorHAnsi"/>
        </w:rPr>
        <w:t>a</w:t>
      </w:r>
      <w:r w:rsidR="00782CE0" w:rsidRPr="00485F85">
        <w:rPr>
          <w:rFonts w:asciiTheme="majorHAnsi" w:hAnsiTheme="majorHAnsi" w:cstheme="majorHAnsi"/>
        </w:rPr>
        <w:t>bril de 2017</w:t>
      </w:r>
      <w:r w:rsidRPr="00485F85">
        <w:rPr>
          <w:rFonts w:asciiTheme="majorHAnsi" w:hAnsiTheme="majorHAnsi" w:cstheme="majorHAnsi"/>
        </w:rPr>
        <w:t xml:space="preserve">. </w:t>
      </w:r>
      <w:r w:rsidR="00782CE0" w:rsidRPr="00485F85">
        <w:rPr>
          <w:rFonts w:asciiTheme="majorHAnsi" w:hAnsiTheme="majorHAnsi" w:cstheme="majorHAnsi"/>
        </w:rPr>
        <w:t>O</w:t>
      </w:r>
      <w:r w:rsidRPr="00485F85">
        <w:rPr>
          <w:rFonts w:asciiTheme="majorHAnsi" w:hAnsiTheme="majorHAnsi" w:cstheme="majorHAnsi"/>
        </w:rPr>
        <w:t>s resultados</w:t>
      </w:r>
      <w:r w:rsidR="00782CE0" w:rsidRPr="00485F85">
        <w:rPr>
          <w:rFonts w:asciiTheme="majorHAnsi" w:hAnsiTheme="majorHAnsi" w:cstheme="majorHAnsi"/>
        </w:rPr>
        <w:t>, contudo,</w:t>
      </w:r>
      <w:r w:rsidRPr="00485F85">
        <w:rPr>
          <w:rFonts w:asciiTheme="majorHAnsi" w:hAnsiTheme="majorHAnsi" w:cstheme="majorHAnsi"/>
        </w:rPr>
        <w:t xml:space="preserve"> não perdem sua força. Os números só mostram como já há 6 anos atrás Oxford era um conglomerado de referência na Inglaterra.</w:t>
      </w:r>
    </w:p>
    <w:p w14:paraId="12C1CB44" w14:textId="77777777" w:rsidR="00782CE0" w:rsidRPr="00485F85" w:rsidRDefault="00782CE0" w:rsidP="003E2F7A">
      <w:pPr>
        <w:spacing w:after="0" w:line="360" w:lineRule="auto"/>
        <w:ind w:firstLine="709"/>
        <w:jc w:val="both"/>
        <w:rPr>
          <w:rFonts w:asciiTheme="majorHAnsi" w:hAnsiTheme="majorHAnsi" w:cstheme="majorHAnsi"/>
        </w:rPr>
      </w:pPr>
    </w:p>
    <w:p w14:paraId="7ABDA8D1" w14:textId="7D1923E5"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lastRenderedPageBreak/>
        <w:t xml:space="preserve">Este estudo </w:t>
      </w:r>
      <w:r w:rsidR="00F26F2C" w:rsidRPr="00485F85">
        <w:rPr>
          <w:rFonts w:asciiTheme="majorHAnsi" w:hAnsiTheme="majorHAnsi" w:cstheme="majorHAnsi"/>
        </w:rPr>
        <w:t xml:space="preserve">foi realizado pela </w:t>
      </w:r>
      <w:r w:rsidR="00F26F2C" w:rsidRPr="00485F85">
        <w:rPr>
          <w:rFonts w:asciiTheme="majorHAnsi" w:hAnsiTheme="majorHAnsi" w:cstheme="majorHAnsi"/>
          <w:i/>
          <w:iCs/>
        </w:rPr>
        <w:t>BiGGAR Economics – Economic Impact of the University of Oxford</w:t>
      </w:r>
      <w:r w:rsidR="00F26F2C" w:rsidRPr="00485F85">
        <w:rPr>
          <w:rFonts w:asciiTheme="majorHAnsi" w:hAnsiTheme="majorHAnsi" w:cstheme="majorHAnsi"/>
        </w:rPr>
        <w:t xml:space="preserve"> e </w:t>
      </w:r>
      <w:r w:rsidRPr="00485F85">
        <w:rPr>
          <w:rFonts w:asciiTheme="majorHAnsi" w:hAnsiTheme="majorHAnsi" w:cstheme="majorHAnsi"/>
        </w:rPr>
        <w:t xml:space="preserve">considerou como as </w:t>
      </w:r>
      <w:r w:rsidR="00F26F2C" w:rsidRPr="00485F85">
        <w:rPr>
          <w:rFonts w:asciiTheme="majorHAnsi" w:hAnsiTheme="majorHAnsi" w:cstheme="majorHAnsi"/>
        </w:rPr>
        <w:t xml:space="preserve">ações </w:t>
      </w:r>
      <w:r w:rsidRPr="00485F85">
        <w:rPr>
          <w:rFonts w:asciiTheme="majorHAnsi" w:hAnsiTheme="majorHAnsi" w:cstheme="majorHAnsi"/>
        </w:rPr>
        <w:t xml:space="preserve">da </w:t>
      </w:r>
      <w:r w:rsidR="00D60DDE" w:rsidRPr="00485F85">
        <w:rPr>
          <w:rFonts w:asciiTheme="majorHAnsi" w:hAnsiTheme="majorHAnsi" w:cstheme="majorHAnsi"/>
        </w:rPr>
        <w:t>U</w:t>
      </w:r>
      <w:r w:rsidRPr="00485F85">
        <w:rPr>
          <w:rFonts w:asciiTheme="majorHAnsi" w:hAnsiTheme="majorHAnsi" w:cstheme="majorHAnsi"/>
        </w:rPr>
        <w:t xml:space="preserve">niversidade </w:t>
      </w:r>
      <w:r w:rsidR="00F26F2C" w:rsidRPr="00485F85">
        <w:rPr>
          <w:rFonts w:asciiTheme="majorHAnsi" w:hAnsiTheme="majorHAnsi" w:cstheme="majorHAnsi"/>
        </w:rPr>
        <w:t>d</w:t>
      </w:r>
      <w:r w:rsidRPr="00485F85">
        <w:rPr>
          <w:rFonts w:asciiTheme="majorHAnsi" w:hAnsiTheme="majorHAnsi" w:cstheme="majorHAnsi"/>
        </w:rPr>
        <w:t xml:space="preserve">e Oxford e suas organizações relacionadas têm contribuído para a economia por meio de suas atividades </w:t>
      </w:r>
      <w:r w:rsidR="00F26F2C" w:rsidRPr="00485F85">
        <w:rPr>
          <w:rFonts w:asciiTheme="majorHAnsi" w:hAnsiTheme="majorHAnsi" w:cstheme="majorHAnsi"/>
        </w:rPr>
        <w:t>no período citado</w:t>
      </w:r>
      <w:r w:rsidRPr="00485F85">
        <w:rPr>
          <w:rFonts w:asciiTheme="majorHAnsi" w:hAnsiTheme="majorHAnsi" w:cstheme="majorHAnsi"/>
        </w:rPr>
        <w:t xml:space="preserve">. Considerou o papel quantificável que a Universidade tem na economia por meio de suas </w:t>
      </w:r>
      <w:r w:rsidR="00F26F2C" w:rsidRPr="00485F85">
        <w:rPr>
          <w:rFonts w:asciiTheme="majorHAnsi" w:hAnsiTheme="majorHAnsi" w:cstheme="majorHAnsi"/>
        </w:rPr>
        <w:t xml:space="preserve">principais </w:t>
      </w:r>
      <w:r w:rsidRPr="00485F85">
        <w:rPr>
          <w:rFonts w:asciiTheme="majorHAnsi" w:hAnsiTheme="majorHAnsi" w:cstheme="majorHAnsi"/>
        </w:rPr>
        <w:t xml:space="preserve">atividades, </w:t>
      </w:r>
      <w:r w:rsidR="005B4E99" w:rsidRPr="00485F85">
        <w:rPr>
          <w:rFonts w:asciiTheme="majorHAnsi" w:hAnsiTheme="majorHAnsi" w:cstheme="majorHAnsi"/>
        </w:rPr>
        <w:t>alunos, interação</w:t>
      </w:r>
      <w:r w:rsidRPr="00485F85">
        <w:rPr>
          <w:rFonts w:asciiTheme="majorHAnsi" w:hAnsiTheme="majorHAnsi" w:cstheme="majorHAnsi"/>
        </w:rPr>
        <w:t xml:space="preserve"> empresarial, parques científicos, impactos no setor de turismo e</w:t>
      </w:r>
      <w:r w:rsidR="00F26F2C" w:rsidRPr="00485F85">
        <w:rPr>
          <w:rFonts w:asciiTheme="majorHAnsi" w:hAnsiTheme="majorHAnsi" w:cstheme="majorHAnsi"/>
        </w:rPr>
        <w:t xml:space="preserve"> de</w:t>
      </w:r>
      <w:r w:rsidRPr="00485F85">
        <w:rPr>
          <w:rFonts w:asciiTheme="majorHAnsi" w:hAnsiTheme="majorHAnsi" w:cstheme="majorHAnsi"/>
        </w:rPr>
        <w:t xml:space="preserve"> sua pesquisa</w:t>
      </w:r>
      <w:r w:rsidR="00F26F2C" w:rsidRPr="00485F85">
        <w:rPr>
          <w:rFonts w:asciiTheme="majorHAnsi" w:hAnsiTheme="majorHAnsi" w:cstheme="majorHAnsi"/>
        </w:rPr>
        <w:t xml:space="preserve">, </w:t>
      </w:r>
      <w:r w:rsidRPr="00485F85">
        <w:rPr>
          <w:rFonts w:asciiTheme="majorHAnsi" w:hAnsiTheme="majorHAnsi" w:cstheme="majorHAnsi"/>
        </w:rPr>
        <w:t xml:space="preserve">inovação </w:t>
      </w:r>
      <w:r w:rsidR="00F26F2C" w:rsidRPr="00485F85">
        <w:rPr>
          <w:rFonts w:asciiTheme="majorHAnsi" w:hAnsiTheme="majorHAnsi" w:cstheme="majorHAnsi"/>
        </w:rPr>
        <w:t>e</w:t>
      </w:r>
      <w:r w:rsidRPr="00485F85">
        <w:rPr>
          <w:rFonts w:asciiTheme="majorHAnsi" w:hAnsiTheme="majorHAnsi" w:cstheme="majorHAnsi"/>
        </w:rPr>
        <w:t xml:space="preserve"> empreendedorismo. A contribuição econômica foi medida em termos de Valor </w:t>
      </w:r>
      <w:r w:rsidR="00F26F2C" w:rsidRPr="00485F85">
        <w:rPr>
          <w:rFonts w:asciiTheme="majorHAnsi" w:hAnsiTheme="majorHAnsi" w:cstheme="majorHAnsi"/>
        </w:rPr>
        <w:t xml:space="preserve">Bruto </w:t>
      </w:r>
      <w:r w:rsidRPr="00485F85">
        <w:rPr>
          <w:rFonts w:asciiTheme="majorHAnsi" w:hAnsiTheme="majorHAnsi" w:cstheme="majorHAnsi"/>
        </w:rPr>
        <w:t>Adicionado (VAB), sendo as receitas menos o custo das receitas e o número de empregos</w:t>
      </w:r>
      <w:r w:rsidR="00F26F2C" w:rsidRPr="00485F85">
        <w:rPr>
          <w:rFonts w:asciiTheme="majorHAnsi" w:hAnsiTheme="majorHAnsi" w:cstheme="majorHAnsi"/>
        </w:rPr>
        <w:t>.</w:t>
      </w:r>
    </w:p>
    <w:p w14:paraId="0ED864D1" w14:textId="0FDBC594" w:rsidR="00C025B8" w:rsidRPr="00485F85" w:rsidRDefault="00782CE0"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O</w:t>
      </w:r>
      <w:r w:rsidR="00C025B8" w:rsidRPr="00485F85">
        <w:rPr>
          <w:rFonts w:asciiTheme="majorHAnsi" w:hAnsiTheme="majorHAnsi" w:cstheme="majorHAnsi"/>
        </w:rPr>
        <w:t xml:space="preserve"> estudo estimou que a Universidade de Oxford contribuiu com £ 5,8 bilhões de GVA e apoiou 50.600 empregos no Reino Unido. Isso inclui uma contribuição de:</w:t>
      </w:r>
    </w:p>
    <w:p w14:paraId="64B41787" w14:textId="40049FCC" w:rsidR="00C025B8"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 xml:space="preserve">- </w:t>
      </w:r>
      <w:r w:rsidR="00C025B8" w:rsidRPr="00485F85">
        <w:rPr>
          <w:rFonts w:asciiTheme="majorHAnsi" w:hAnsiTheme="majorHAnsi" w:cstheme="majorHAnsi"/>
        </w:rPr>
        <w:t xml:space="preserve">£ 2,3 bilhões de GVA e 33.700 empregos em Oxfordshire; </w:t>
      </w:r>
    </w:p>
    <w:p w14:paraId="6BF77739" w14:textId="2F9FA62D" w:rsidR="00C025B8"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 xml:space="preserve">- </w:t>
      </w:r>
      <w:r w:rsidR="00C025B8" w:rsidRPr="00485F85">
        <w:rPr>
          <w:rFonts w:asciiTheme="majorHAnsi" w:hAnsiTheme="majorHAnsi" w:cstheme="majorHAnsi"/>
        </w:rPr>
        <w:t>£ 2,0 bilhões de GVA e 28.800 empregos na cidade de Oxford.</w:t>
      </w:r>
    </w:p>
    <w:p w14:paraId="7A2D065D" w14:textId="1231B004"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Em 2014/15 o VAB gerado pela Universidade no Reino Unido era o dobro da receita que recebeu. Se houver impactos de longo prazo, como o prêmio de graduação e retornos para pesquisas médicas são incluídas, então o impacto total do GVA foi 3,3 vezes maior do que a receita total da Universidade.</w:t>
      </w:r>
    </w:p>
    <w:p w14:paraId="14B86CB2" w14:textId="0580D5EE" w:rsidR="00C025B8"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No mesmo período</w:t>
      </w:r>
      <w:r w:rsidR="00C025B8" w:rsidRPr="00485F85">
        <w:rPr>
          <w:rFonts w:asciiTheme="majorHAnsi" w:hAnsiTheme="majorHAnsi" w:cstheme="majorHAnsi"/>
        </w:rPr>
        <w:t xml:space="preserve"> a Universidade de Oxford teve uma receita combinada de £ 1,9 bilhão e o as atividades principais da Universidade geraram £ 2,2 bilhões de VAB para a economia do Reino Unido e suportou 31.200 empregos. Esse impacto foi gerado diretamente pelas pessoas empregado pela Universidade, as despesas da Universidade com materiais, gastos com pessoal seus salários na economia e gastos em projetos de capital.</w:t>
      </w:r>
    </w:p>
    <w:p w14:paraId="6440B8E3" w14:textId="31235DEB"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Havia 19.835 alunos em tempo integral da Universidade de Oxford em 2014/15. Esses alunos contribuíram para a economia por meio de suas despesas, em tempo parcial atividade de trabalho e voluntariado. No total, essas atividades contribuíram com £ 80 milhões de GVA para a economia do Reino Unido e apoi</w:t>
      </w:r>
      <w:r w:rsidR="00F26F2C" w:rsidRPr="00485F85">
        <w:rPr>
          <w:rFonts w:asciiTheme="majorHAnsi" w:hAnsiTheme="majorHAnsi" w:cstheme="majorHAnsi"/>
        </w:rPr>
        <w:t>aram</w:t>
      </w:r>
      <w:r w:rsidRPr="00485F85">
        <w:rPr>
          <w:rFonts w:asciiTheme="majorHAnsi" w:hAnsiTheme="majorHAnsi" w:cstheme="majorHAnsi"/>
        </w:rPr>
        <w:t xml:space="preserve"> 2.000 empregos. A maioria desta</w:t>
      </w:r>
      <w:r w:rsidR="00F26F2C" w:rsidRPr="00485F85">
        <w:rPr>
          <w:rFonts w:asciiTheme="majorHAnsi" w:hAnsiTheme="majorHAnsi" w:cstheme="majorHAnsi"/>
        </w:rPr>
        <w:t>s</w:t>
      </w:r>
      <w:r w:rsidRPr="00485F85">
        <w:rPr>
          <w:rFonts w:asciiTheme="majorHAnsi" w:hAnsiTheme="majorHAnsi" w:cstheme="majorHAnsi"/>
        </w:rPr>
        <w:t xml:space="preserve"> atividade</w:t>
      </w:r>
      <w:r w:rsidR="00F26F2C" w:rsidRPr="00485F85">
        <w:rPr>
          <w:rFonts w:asciiTheme="majorHAnsi" w:hAnsiTheme="majorHAnsi" w:cstheme="majorHAnsi"/>
        </w:rPr>
        <w:t>s</w:t>
      </w:r>
      <w:r w:rsidRPr="00485F85">
        <w:rPr>
          <w:rFonts w:asciiTheme="majorHAnsi" w:hAnsiTheme="majorHAnsi" w:cstheme="majorHAnsi"/>
        </w:rPr>
        <w:t xml:space="preserve"> </w:t>
      </w:r>
      <w:r w:rsidR="00F26F2C" w:rsidRPr="00485F85">
        <w:rPr>
          <w:rFonts w:asciiTheme="majorHAnsi" w:hAnsiTheme="majorHAnsi" w:cstheme="majorHAnsi"/>
        </w:rPr>
        <w:t>aconteceram</w:t>
      </w:r>
      <w:r w:rsidRPr="00485F85">
        <w:rPr>
          <w:rFonts w:asciiTheme="majorHAnsi" w:hAnsiTheme="majorHAnsi" w:cstheme="majorHAnsi"/>
        </w:rPr>
        <w:t xml:space="preserve"> na cidade de Oxford, onde £ 58 milhões GVA e 1.600 empregos foram apoiados.</w:t>
      </w:r>
    </w:p>
    <w:p w14:paraId="058D80F0" w14:textId="6FFB89C7"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A atividade de ensino da Universidade de Oxford lev</w:t>
      </w:r>
      <w:r w:rsidR="00F26F2C" w:rsidRPr="00485F85">
        <w:rPr>
          <w:rFonts w:asciiTheme="majorHAnsi" w:hAnsiTheme="majorHAnsi" w:cstheme="majorHAnsi"/>
        </w:rPr>
        <w:t>ou</w:t>
      </w:r>
      <w:r w:rsidRPr="00485F85">
        <w:rPr>
          <w:rFonts w:asciiTheme="majorHAnsi" w:hAnsiTheme="majorHAnsi" w:cstheme="majorHAnsi"/>
        </w:rPr>
        <w:t xml:space="preserve"> ao aumento da produtividade para os 7.800 egressos da Turma de 2015 durante a vida profissional. O</w:t>
      </w:r>
      <w:r w:rsidR="00B70639" w:rsidRPr="00485F85">
        <w:rPr>
          <w:rFonts w:asciiTheme="majorHAnsi" w:hAnsiTheme="majorHAnsi" w:cstheme="majorHAnsi"/>
        </w:rPr>
        <w:t>s</w:t>
      </w:r>
      <w:r w:rsidRPr="00485F85">
        <w:rPr>
          <w:rFonts w:asciiTheme="majorHAnsi" w:hAnsiTheme="majorHAnsi" w:cstheme="majorHAnsi"/>
        </w:rPr>
        <w:t xml:space="preserve"> graduados que vivem no Reino Unido esperam ganhar pelo menos £ 432 milhões adicionais coletivamente durante suas carreiras.</w:t>
      </w:r>
    </w:p>
    <w:p w14:paraId="25CDE1D3" w14:textId="541CDEFD" w:rsidR="00C025B8"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A Universidade de Oxford é a principal instituição do Reino Unido para pesquisa médica e em 2014/15, recebeu £ 340 milhões em financiamento para pesquisa médica. A longo prazo os resultados desta pesquisa incluirão um aumento da qualidade de vida para os pacientes que se beneficiam com o novo conhecimento e um estímulo para novas atividades no âmbito mais amplo setor de saúde no Reino Unido. Esses impactos foram estimados para contribuir com um adiciona</w:t>
      </w:r>
      <w:r w:rsidR="00B70639" w:rsidRPr="00485F85">
        <w:rPr>
          <w:rFonts w:asciiTheme="majorHAnsi" w:hAnsiTheme="majorHAnsi" w:cstheme="majorHAnsi"/>
        </w:rPr>
        <w:t>l</w:t>
      </w:r>
      <w:r w:rsidRPr="00485F85">
        <w:rPr>
          <w:rFonts w:asciiTheme="majorHAnsi" w:hAnsiTheme="majorHAnsi" w:cstheme="majorHAnsi"/>
        </w:rPr>
        <w:t xml:space="preserve"> £ 1,8 bilhões para a economia do Reino Unido e têm sido fundamentais no apoio o cluster de ciências da vida no sudeste da Inglaterra.</w:t>
      </w:r>
    </w:p>
    <w:p w14:paraId="5A78DE99" w14:textId="4FC3315A" w:rsidR="00F26F2C"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A pesquisa e inovação da Universidade de Oxford também é diretamente comercializad</w:t>
      </w:r>
      <w:r w:rsidR="00F26F2C" w:rsidRPr="00485F85">
        <w:rPr>
          <w:rFonts w:asciiTheme="majorHAnsi" w:hAnsiTheme="majorHAnsi" w:cstheme="majorHAnsi"/>
        </w:rPr>
        <w:t>a</w:t>
      </w:r>
      <w:r w:rsidRPr="00485F85">
        <w:rPr>
          <w:rFonts w:asciiTheme="majorHAnsi" w:hAnsiTheme="majorHAnsi" w:cstheme="majorHAnsi"/>
        </w:rPr>
        <w:t xml:space="preserve"> por meio de contratos de licença com empresas ou por meio d</w:t>
      </w:r>
      <w:r w:rsidR="00F26F2C" w:rsidRPr="00485F85">
        <w:rPr>
          <w:rFonts w:asciiTheme="majorHAnsi" w:hAnsiTheme="majorHAnsi" w:cstheme="majorHAnsi"/>
        </w:rPr>
        <w:t>a</w:t>
      </w:r>
      <w:r w:rsidRPr="00485F85">
        <w:rPr>
          <w:rFonts w:asciiTheme="majorHAnsi" w:hAnsiTheme="majorHAnsi" w:cstheme="majorHAnsi"/>
        </w:rPr>
        <w:t xml:space="preserve"> criação de empresas spin-out. A universidade é a </w:t>
      </w:r>
      <w:r w:rsidRPr="00485F85">
        <w:rPr>
          <w:rFonts w:asciiTheme="majorHAnsi" w:hAnsiTheme="majorHAnsi" w:cstheme="majorHAnsi"/>
        </w:rPr>
        <w:lastRenderedPageBreak/>
        <w:t xml:space="preserve">mais prolífica e superior instituição de ensino no Reino Unido em termos de licenciamento de tecnologia, respondendo por £ 1 em cada £ 10 de receita de licenciamento recebida por universidades do Reino Unido. </w:t>
      </w:r>
      <w:r w:rsidR="00782CE0" w:rsidRPr="00485F85">
        <w:rPr>
          <w:rFonts w:asciiTheme="majorHAnsi" w:hAnsiTheme="majorHAnsi" w:cstheme="majorHAnsi"/>
        </w:rPr>
        <w:t xml:space="preserve"> </w:t>
      </w:r>
      <w:r w:rsidRPr="00485F85">
        <w:rPr>
          <w:rFonts w:asciiTheme="majorHAnsi" w:hAnsiTheme="majorHAnsi" w:cstheme="majorHAnsi"/>
        </w:rPr>
        <w:t xml:space="preserve">A universidade de Oxford é também a universidade líder no Reino Unido para a criação de empresas </w:t>
      </w:r>
      <w:r w:rsidRPr="00485F85">
        <w:rPr>
          <w:rFonts w:asciiTheme="majorHAnsi" w:hAnsiTheme="majorHAnsi" w:cstheme="majorHAnsi"/>
          <w:i/>
          <w:iCs/>
        </w:rPr>
        <w:t>spi</w:t>
      </w:r>
      <w:r w:rsidR="00CD06C7" w:rsidRPr="00485F85">
        <w:rPr>
          <w:rFonts w:asciiTheme="majorHAnsi" w:hAnsiTheme="majorHAnsi" w:cstheme="majorHAnsi"/>
          <w:i/>
          <w:iCs/>
        </w:rPr>
        <w:t>n</w:t>
      </w:r>
      <w:r w:rsidRPr="00485F85">
        <w:rPr>
          <w:rFonts w:asciiTheme="majorHAnsi" w:hAnsiTheme="majorHAnsi" w:cstheme="majorHAnsi"/>
          <w:i/>
          <w:iCs/>
        </w:rPr>
        <w:t>out</w:t>
      </w:r>
      <w:r w:rsidRPr="00485F85">
        <w:rPr>
          <w:rFonts w:asciiTheme="majorHAnsi" w:hAnsiTheme="majorHAnsi" w:cstheme="majorHAnsi"/>
        </w:rPr>
        <w:t xml:space="preserve">, com mais </w:t>
      </w:r>
      <w:r w:rsidRPr="00485F85">
        <w:rPr>
          <w:rFonts w:asciiTheme="majorHAnsi" w:hAnsiTheme="majorHAnsi" w:cstheme="majorHAnsi"/>
          <w:i/>
          <w:iCs/>
        </w:rPr>
        <w:t>spinouts</w:t>
      </w:r>
      <w:r w:rsidRPr="00485F85">
        <w:rPr>
          <w:rFonts w:asciiTheme="majorHAnsi" w:hAnsiTheme="majorHAnsi" w:cstheme="majorHAnsi"/>
        </w:rPr>
        <w:t xml:space="preserve"> emergindo dela do que qualquer outra instituição de ensino superior. Em 2014/15 a Universidade recebeu £ 14,7 milhões em royalties para tecnologia e teve 136 empresas </w:t>
      </w:r>
      <w:r w:rsidRPr="00485F85">
        <w:rPr>
          <w:rFonts w:asciiTheme="majorHAnsi" w:hAnsiTheme="majorHAnsi" w:cstheme="majorHAnsi"/>
          <w:i/>
          <w:iCs/>
        </w:rPr>
        <w:t>spinout</w:t>
      </w:r>
      <w:r w:rsidRPr="00485F85">
        <w:rPr>
          <w:rFonts w:asciiTheme="majorHAnsi" w:hAnsiTheme="majorHAnsi" w:cstheme="majorHAnsi"/>
        </w:rPr>
        <w:t xml:space="preserve"> ativas. No total, esta atividade contribuiu com £ 320 milhões para </w:t>
      </w:r>
      <w:r w:rsidR="00F26F2C" w:rsidRPr="00485F85">
        <w:rPr>
          <w:rFonts w:asciiTheme="majorHAnsi" w:hAnsiTheme="majorHAnsi" w:cstheme="majorHAnsi"/>
        </w:rPr>
        <w:t>a e</w:t>
      </w:r>
      <w:r w:rsidRPr="00485F85">
        <w:rPr>
          <w:rFonts w:asciiTheme="majorHAnsi" w:hAnsiTheme="majorHAnsi" w:cstheme="majorHAnsi"/>
        </w:rPr>
        <w:t xml:space="preserve">conomia do Reino Unido e gerou 5.700 empregos. </w:t>
      </w:r>
    </w:p>
    <w:p w14:paraId="4A26F332" w14:textId="2583805A" w:rsidR="00F26F2C" w:rsidRPr="00485F85" w:rsidRDefault="00C025B8"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Uma grande proporção desta</w:t>
      </w:r>
      <w:r w:rsidR="00F26F2C" w:rsidRPr="00485F85">
        <w:rPr>
          <w:rFonts w:asciiTheme="majorHAnsi" w:hAnsiTheme="majorHAnsi" w:cstheme="majorHAnsi"/>
        </w:rPr>
        <w:t>s</w:t>
      </w:r>
      <w:r w:rsidRPr="00485F85">
        <w:rPr>
          <w:rFonts w:asciiTheme="majorHAnsi" w:hAnsiTheme="majorHAnsi" w:cstheme="majorHAnsi"/>
        </w:rPr>
        <w:t xml:space="preserve"> atividade</w:t>
      </w:r>
      <w:r w:rsidR="00F26F2C" w:rsidRPr="00485F85">
        <w:rPr>
          <w:rFonts w:asciiTheme="majorHAnsi" w:hAnsiTheme="majorHAnsi" w:cstheme="majorHAnsi"/>
        </w:rPr>
        <w:t>s</w:t>
      </w:r>
      <w:r w:rsidRPr="00485F85">
        <w:rPr>
          <w:rFonts w:asciiTheme="majorHAnsi" w:hAnsiTheme="majorHAnsi" w:cstheme="majorHAnsi"/>
        </w:rPr>
        <w:t xml:space="preserve"> foi em Oxfordshire, onde as licenças e </w:t>
      </w:r>
      <w:r w:rsidRPr="00485F85">
        <w:rPr>
          <w:rFonts w:asciiTheme="majorHAnsi" w:hAnsiTheme="majorHAnsi" w:cstheme="majorHAnsi"/>
          <w:i/>
          <w:iCs/>
        </w:rPr>
        <w:t>spinouts</w:t>
      </w:r>
      <w:r w:rsidRPr="00485F85">
        <w:rPr>
          <w:rFonts w:asciiTheme="majorHAnsi" w:hAnsiTheme="majorHAnsi" w:cstheme="majorHAnsi"/>
        </w:rPr>
        <w:t xml:space="preserve"> contribuíram com £ 147 milhões de GVA e apoi</w:t>
      </w:r>
      <w:r w:rsidR="00F26F2C" w:rsidRPr="00485F85">
        <w:rPr>
          <w:rFonts w:asciiTheme="majorHAnsi" w:hAnsiTheme="majorHAnsi" w:cstheme="majorHAnsi"/>
        </w:rPr>
        <w:t>aram</w:t>
      </w:r>
      <w:r w:rsidRPr="00485F85">
        <w:rPr>
          <w:rFonts w:asciiTheme="majorHAnsi" w:hAnsiTheme="majorHAnsi" w:cstheme="majorHAnsi"/>
        </w:rPr>
        <w:t xml:space="preserve"> 2.400 empregos.</w:t>
      </w:r>
      <w:r w:rsidR="00F26F2C" w:rsidRPr="00485F85">
        <w:rPr>
          <w:rFonts w:asciiTheme="majorHAnsi" w:hAnsiTheme="majorHAnsi" w:cstheme="majorHAnsi"/>
        </w:rPr>
        <w:t xml:space="preserve"> </w:t>
      </w:r>
      <w:r w:rsidR="00F26F2C" w:rsidRPr="00485F85">
        <w:rPr>
          <w:rFonts w:asciiTheme="majorHAnsi" w:hAnsiTheme="majorHAnsi" w:cstheme="majorHAnsi"/>
          <w:i/>
          <w:iCs/>
        </w:rPr>
        <w:t>Oxford University Press (OUP</w:t>
      </w:r>
      <w:r w:rsidR="00F26F2C" w:rsidRPr="00485F85">
        <w:rPr>
          <w:rFonts w:asciiTheme="majorHAnsi" w:hAnsiTheme="majorHAnsi" w:cstheme="majorHAnsi"/>
        </w:rPr>
        <w:t>), a maior editora universitária do mundo, publica livros, periódicos e materiais online em todo o mundo. Em 2014/15, OUP teve um faturamento de £ 780 milhões e empregou 7.300 pessoas em todo o mundo. Mais de 2.400 de esses funcionários estavam no Reino Unido e estima-se que a OUP contribuiu £ 382 milhões de GVA para a economia do Reino Unido.</w:t>
      </w:r>
      <w:r w:rsidR="00CD06C7" w:rsidRPr="00485F85">
        <w:rPr>
          <w:rFonts w:asciiTheme="majorHAnsi" w:hAnsiTheme="majorHAnsi" w:cstheme="majorHAnsi"/>
        </w:rPr>
        <w:t xml:space="preserve"> </w:t>
      </w:r>
      <w:r w:rsidR="00F26F2C" w:rsidRPr="00485F85">
        <w:rPr>
          <w:rFonts w:asciiTheme="majorHAnsi" w:hAnsiTheme="majorHAnsi" w:cstheme="majorHAnsi"/>
          <w:i/>
          <w:iCs/>
        </w:rPr>
        <w:t>Oxford Science Park e Begbroke Science Park</w:t>
      </w:r>
      <w:r w:rsidR="00F26F2C" w:rsidRPr="00485F85">
        <w:rPr>
          <w:rFonts w:asciiTheme="majorHAnsi" w:hAnsiTheme="majorHAnsi" w:cstheme="majorHAnsi"/>
        </w:rPr>
        <w:t>, juntos, têm 3.000 pessoas empregados por eles e esses funcionários contribuem com um adicional de £ 167 milhões VAB para a economia do Reino Unido.</w:t>
      </w:r>
    </w:p>
    <w:p w14:paraId="2E23A423" w14:textId="40DFB7E4" w:rsidR="00F26F2C"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A Universidade também tem um impacto econômico quantificável por meio de seus relacionamentos com a indústria e os serviços que esta presta às empresas. Esses serviços incluem pesquisa de contrato, consultoria, educação executiva, aluguel de instalações e parcerias de transferência de conhecimento (KTPs). No total, essas atividades contribuíram pelo menos £ 272 milhões de GVA para a economia do Reino Unido e apoi</w:t>
      </w:r>
      <w:r w:rsidR="00782CE0" w:rsidRPr="00485F85">
        <w:rPr>
          <w:rFonts w:asciiTheme="majorHAnsi" w:hAnsiTheme="majorHAnsi" w:cstheme="majorHAnsi"/>
        </w:rPr>
        <w:t>aram</w:t>
      </w:r>
      <w:r w:rsidRPr="00485F85">
        <w:rPr>
          <w:rFonts w:asciiTheme="majorHAnsi" w:hAnsiTheme="majorHAnsi" w:cstheme="majorHAnsi"/>
        </w:rPr>
        <w:t xml:space="preserve"> 800 empregos.</w:t>
      </w:r>
    </w:p>
    <w:p w14:paraId="3B189047" w14:textId="21AF6A2F" w:rsidR="00782CE0" w:rsidRPr="00485F85" w:rsidRDefault="00F26F2C" w:rsidP="003E2F7A">
      <w:pPr>
        <w:spacing w:after="0" w:line="360" w:lineRule="auto"/>
        <w:ind w:firstLine="709"/>
        <w:jc w:val="both"/>
        <w:rPr>
          <w:rFonts w:asciiTheme="majorHAnsi" w:hAnsiTheme="majorHAnsi" w:cstheme="majorHAnsi"/>
        </w:rPr>
      </w:pPr>
      <w:r w:rsidRPr="00485F85">
        <w:rPr>
          <w:rFonts w:asciiTheme="majorHAnsi" w:hAnsiTheme="majorHAnsi" w:cstheme="majorHAnsi"/>
        </w:rPr>
        <w:t xml:space="preserve">A Universidade de Oxford também é fundamental para o setor de turismo na cidade de Oxford e encorajou mais visitantes a virem para a cidade do que outras cidades catedrais </w:t>
      </w:r>
      <w:r w:rsidR="00782CE0" w:rsidRPr="00485F85">
        <w:rPr>
          <w:rFonts w:asciiTheme="majorHAnsi" w:hAnsiTheme="majorHAnsi" w:cstheme="majorHAnsi"/>
        </w:rPr>
        <w:t>da</w:t>
      </w:r>
      <w:r w:rsidRPr="00485F85">
        <w:rPr>
          <w:rFonts w:asciiTheme="majorHAnsi" w:hAnsiTheme="majorHAnsi" w:cstheme="majorHAnsi"/>
        </w:rPr>
        <w:t xml:space="preserve"> Inglaterra. Os visitantes vêm visitar funcionários e alunos da Universidade, participar de eventos realizad</w:t>
      </w:r>
      <w:r w:rsidR="00782CE0" w:rsidRPr="00485F85">
        <w:rPr>
          <w:rFonts w:asciiTheme="majorHAnsi" w:hAnsiTheme="majorHAnsi" w:cstheme="majorHAnsi"/>
        </w:rPr>
        <w:t>os</w:t>
      </w:r>
      <w:r w:rsidRPr="00485F85">
        <w:rPr>
          <w:rFonts w:asciiTheme="majorHAnsi" w:hAnsiTheme="majorHAnsi" w:cstheme="majorHAnsi"/>
        </w:rPr>
        <w:t xml:space="preserve"> pela Universidade e para visitar a própria Universidade, que é mundialmente reconhecida como um antigo centro de conhecimento. Estima-se que a Universidade de Oxford foi responsável por 43% da atividade turística em Oxford City e, portanto, apoiou 3.450 empregos na cidade e contribuiu com £ 99 milhões de GVA</w:t>
      </w:r>
      <w:r w:rsidR="00782CE0" w:rsidRPr="00485F85">
        <w:rPr>
          <w:rFonts w:asciiTheme="majorHAnsi" w:hAnsiTheme="majorHAnsi" w:cstheme="majorHAnsi"/>
        </w:rPr>
        <w:t xml:space="preserve"> </w:t>
      </w:r>
      <w:r w:rsidR="00C025B8" w:rsidRPr="00485F85">
        <w:rPr>
          <w:rFonts w:asciiTheme="majorHAnsi" w:hAnsiTheme="majorHAnsi" w:cstheme="majorHAnsi"/>
        </w:rPr>
        <w:t>suportado.</w:t>
      </w:r>
      <w:r w:rsidR="00B70639" w:rsidRPr="00485F85">
        <w:rPr>
          <w:rStyle w:val="Refdenotaderodap"/>
          <w:rFonts w:asciiTheme="majorHAnsi" w:hAnsiTheme="majorHAnsi" w:cstheme="majorHAnsi"/>
        </w:rPr>
        <w:footnoteReference w:id="1"/>
      </w:r>
    </w:p>
    <w:p w14:paraId="6ABF0F68" w14:textId="3A137939" w:rsidR="00F3103F" w:rsidRPr="00485F85" w:rsidRDefault="00F3103F" w:rsidP="00C025B8">
      <w:pPr>
        <w:rPr>
          <w:rFonts w:asciiTheme="majorHAnsi" w:hAnsiTheme="majorHAnsi" w:cstheme="majorHAnsi"/>
        </w:rPr>
      </w:pPr>
      <w:r w:rsidRPr="00485F85">
        <w:rPr>
          <w:rFonts w:asciiTheme="majorHAnsi" w:hAnsiTheme="majorHAnsi" w:cstheme="majorHAnsi"/>
          <w:noProof/>
          <w:lang w:eastAsia="pt-BR"/>
        </w:rPr>
        <w:lastRenderedPageBreak/>
        <w:drawing>
          <wp:inline distT="0" distB="0" distL="0" distR="0" wp14:anchorId="52FC6E05" wp14:editId="5F8E6032">
            <wp:extent cx="5910518" cy="836407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966" cy="8429800"/>
                    </a:xfrm>
                    <a:prstGeom prst="rect">
                      <a:avLst/>
                    </a:prstGeom>
                    <a:noFill/>
                  </pic:spPr>
                </pic:pic>
              </a:graphicData>
            </a:graphic>
          </wp:inline>
        </w:drawing>
      </w:r>
    </w:p>
    <w:p w14:paraId="174B3A5E" w14:textId="704AB684" w:rsidR="00C77260" w:rsidRPr="00485F85" w:rsidRDefault="00C77260" w:rsidP="00C77260">
      <w:pPr>
        <w:rPr>
          <w:rFonts w:asciiTheme="majorHAnsi" w:hAnsiTheme="majorHAnsi" w:cstheme="majorHAnsi"/>
          <w:noProof/>
          <w:sz w:val="16"/>
          <w:szCs w:val="16"/>
          <w:lang w:eastAsia="pt-BR"/>
        </w:rPr>
      </w:pPr>
      <w:r w:rsidRPr="00485F85">
        <w:rPr>
          <w:rFonts w:asciiTheme="majorHAnsi" w:hAnsiTheme="majorHAnsi" w:cstheme="majorHAnsi"/>
          <w:noProof/>
          <w:sz w:val="16"/>
          <w:szCs w:val="16"/>
          <w:lang w:eastAsia="pt-BR"/>
        </w:rPr>
        <w:t xml:space="preserve">Figura 3 –Infográfico do Impacto Econômico da Universidade de Oxford </w:t>
      </w:r>
    </w:p>
    <w:p w14:paraId="3C0ADCC0" w14:textId="64C67C22" w:rsidR="00C77260" w:rsidRPr="00485F85" w:rsidRDefault="00C77260" w:rsidP="00C77260">
      <w:pPr>
        <w:rPr>
          <w:rFonts w:asciiTheme="majorHAnsi" w:hAnsiTheme="majorHAnsi" w:cstheme="majorHAnsi"/>
          <w:noProof/>
          <w:sz w:val="16"/>
          <w:szCs w:val="16"/>
          <w:lang w:eastAsia="pt-BR"/>
        </w:rPr>
      </w:pPr>
      <w:r w:rsidRPr="00485F85">
        <w:rPr>
          <w:rFonts w:asciiTheme="majorHAnsi" w:hAnsiTheme="majorHAnsi" w:cstheme="majorHAnsi"/>
          <w:noProof/>
          <w:sz w:val="16"/>
          <w:szCs w:val="16"/>
          <w:lang w:eastAsia="pt-BR"/>
        </w:rPr>
        <w:t>Fonte: Universidade de Oxford</w:t>
      </w:r>
    </w:p>
    <w:p w14:paraId="061EFB09" w14:textId="0586354E" w:rsidR="00F3103F" w:rsidRPr="00485F85" w:rsidRDefault="00F3103F" w:rsidP="00F3103F">
      <w:pPr>
        <w:rPr>
          <w:rFonts w:asciiTheme="majorHAnsi" w:hAnsiTheme="majorHAnsi" w:cstheme="majorHAnsi"/>
        </w:rPr>
      </w:pPr>
      <w:r w:rsidRPr="00485F85">
        <w:rPr>
          <w:rFonts w:asciiTheme="majorHAnsi" w:hAnsiTheme="majorHAnsi" w:cstheme="majorHAnsi"/>
          <w:noProof/>
          <w:lang w:eastAsia="pt-BR"/>
        </w:rPr>
        <w:lastRenderedPageBreak/>
        <w:drawing>
          <wp:inline distT="0" distB="0" distL="0" distR="0" wp14:anchorId="10ACFD94" wp14:editId="3CAB7223">
            <wp:extent cx="5862918" cy="8298604"/>
            <wp:effectExtent l="0" t="0" r="5080" b="7620"/>
            <wp:docPr id="4" name="Imagem 4" descr="infográfico de impacto econô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áfico de impacto econôm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2918" cy="8298604"/>
                    </a:xfrm>
                    <a:prstGeom prst="rect">
                      <a:avLst/>
                    </a:prstGeom>
                    <a:noFill/>
                    <a:ln>
                      <a:noFill/>
                    </a:ln>
                  </pic:spPr>
                </pic:pic>
              </a:graphicData>
            </a:graphic>
          </wp:inline>
        </w:drawing>
      </w:r>
    </w:p>
    <w:p w14:paraId="20D5CFF3" w14:textId="3E84AB84" w:rsidR="00C77260" w:rsidRPr="00485F85" w:rsidRDefault="00C77260" w:rsidP="00C77260">
      <w:pPr>
        <w:rPr>
          <w:rFonts w:asciiTheme="majorHAnsi" w:hAnsiTheme="majorHAnsi" w:cstheme="majorHAnsi"/>
          <w:noProof/>
          <w:sz w:val="16"/>
          <w:szCs w:val="16"/>
          <w:lang w:eastAsia="pt-BR"/>
        </w:rPr>
      </w:pPr>
      <w:r w:rsidRPr="00485F85">
        <w:rPr>
          <w:rFonts w:asciiTheme="majorHAnsi" w:hAnsiTheme="majorHAnsi" w:cstheme="majorHAnsi"/>
          <w:noProof/>
          <w:sz w:val="16"/>
          <w:szCs w:val="16"/>
          <w:lang w:eastAsia="pt-BR"/>
        </w:rPr>
        <w:t xml:space="preserve">Figura 4 –Infográfico do Impacto Econômico da Universidade de Oxford </w:t>
      </w:r>
    </w:p>
    <w:p w14:paraId="459767FB" w14:textId="77777777" w:rsidR="00C77260" w:rsidRPr="00485F85" w:rsidRDefault="00C77260" w:rsidP="00C77260">
      <w:pPr>
        <w:rPr>
          <w:rFonts w:asciiTheme="majorHAnsi" w:hAnsiTheme="majorHAnsi" w:cstheme="majorHAnsi"/>
          <w:noProof/>
          <w:sz w:val="16"/>
          <w:szCs w:val="16"/>
          <w:lang w:eastAsia="pt-BR"/>
        </w:rPr>
      </w:pPr>
      <w:r w:rsidRPr="00485F85">
        <w:rPr>
          <w:rFonts w:asciiTheme="majorHAnsi" w:hAnsiTheme="majorHAnsi" w:cstheme="majorHAnsi"/>
          <w:noProof/>
          <w:sz w:val="16"/>
          <w:szCs w:val="16"/>
          <w:lang w:eastAsia="pt-BR"/>
        </w:rPr>
        <w:t>Fonte: Universidade de Oxford</w:t>
      </w:r>
    </w:p>
    <w:p w14:paraId="7D0BB2D6" w14:textId="426EC896" w:rsidR="001C5F76" w:rsidRPr="00485F85" w:rsidRDefault="00485F85" w:rsidP="00485F85">
      <w:pPr>
        <w:pStyle w:val="Ttulo3"/>
        <w:tabs>
          <w:tab w:val="clear" w:pos="1615"/>
        </w:tabs>
        <w:ind w:left="1276"/>
        <w:rPr>
          <w:rFonts w:asciiTheme="majorHAnsi" w:hAnsiTheme="majorHAnsi" w:cstheme="majorHAnsi"/>
        </w:rPr>
      </w:pPr>
      <w:bookmarkStart w:id="10" w:name="_Toc82101304"/>
      <w:r w:rsidRPr="00485F85">
        <w:rPr>
          <w:rFonts w:asciiTheme="majorHAnsi" w:hAnsiTheme="majorHAnsi" w:cstheme="majorHAnsi"/>
        </w:rPr>
        <w:lastRenderedPageBreak/>
        <w:t>CONTEXTO DA COVID-19 NA UNIVERSIDADE</w:t>
      </w:r>
      <w:bookmarkEnd w:id="10"/>
    </w:p>
    <w:p w14:paraId="03ED6231" w14:textId="77777777" w:rsidR="00EB73E0" w:rsidRPr="00485F85" w:rsidRDefault="00EB73E0" w:rsidP="00EB73E0">
      <w:pPr>
        <w:rPr>
          <w:rFonts w:asciiTheme="majorHAnsi" w:hAnsiTheme="majorHAnsi" w:cstheme="majorHAnsi"/>
        </w:rPr>
      </w:pPr>
    </w:p>
    <w:p w14:paraId="7571A0E8" w14:textId="18379672" w:rsidR="00EB73E0" w:rsidRPr="00485F85" w:rsidRDefault="00EB73E0"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Ao longo do ano de 2020, desde o início da pandemia, os pesquisadores da Universidade estiveram na vanguarda do trabalho relacionado ao Coronavírus. A universidade se organizou sobretudo em seu escritório de desenvolvimento para a captação de doadores em todos os níveis impulsionando os esforços de Oxford em uma ampla gama de áreas. </w:t>
      </w:r>
    </w:p>
    <w:p w14:paraId="5994992B" w14:textId="41285921" w:rsidR="00EB73E0" w:rsidRPr="00485F85" w:rsidRDefault="00EB73E0" w:rsidP="00485F85">
      <w:pPr>
        <w:spacing w:line="276" w:lineRule="auto"/>
        <w:ind w:firstLine="709"/>
        <w:jc w:val="both"/>
        <w:rPr>
          <w:rFonts w:asciiTheme="majorHAnsi" w:hAnsiTheme="majorHAnsi" w:cstheme="majorHAnsi"/>
          <w:b/>
          <w:bCs/>
        </w:rPr>
      </w:pPr>
      <w:r w:rsidRPr="00485F85">
        <w:rPr>
          <w:rFonts w:asciiTheme="majorHAnsi" w:hAnsiTheme="majorHAnsi" w:cstheme="majorHAnsi"/>
          <w:b/>
          <w:bCs/>
        </w:rPr>
        <w:t>Na pesquisa</w:t>
      </w:r>
    </w:p>
    <w:p w14:paraId="3847D981" w14:textId="3233E88F" w:rsidR="00EB73E0" w:rsidRPr="00485F85" w:rsidRDefault="00EB73E0"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Os pesquisadores de Oxford têm desempenhado um papel de liderança no enfrentamento dos desafios do coronavírus. Desde o rápido desenvolvimento de vacinas e medicamentos até o aprofundamento da compreensão da sociedade sobre as implicações da pandemia na economia a saúde mental. Todos em prol de mitigar os eventos do Coronavírus. </w:t>
      </w:r>
    </w:p>
    <w:p w14:paraId="376FF086" w14:textId="200C5A86" w:rsidR="00EB73E0" w:rsidRPr="00485F85" w:rsidRDefault="00EB73E0" w:rsidP="00485F85">
      <w:pPr>
        <w:spacing w:line="276" w:lineRule="auto"/>
        <w:ind w:firstLine="709"/>
        <w:jc w:val="both"/>
        <w:rPr>
          <w:rFonts w:asciiTheme="majorHAnsi" w:hAnsiTheme="majorHAnsi" w:cstheme="majorHAnsi"/>
          <w:b/>
          <w:bCs/>
        </w:rPr>
      </w:pPr>
      <w:r w:rsidRPr="00485F85">
        <w:rPr>
          <w:rFonts w:asciiTheme="majorHAnsi" w:hAnsiTheme="majorHAnsi" w:cstheme="majorHAnsi"/>
          <w:b/>
          <w:bCs/>
        </w:rPr>
        <w:t xml:space="preserve">Reorganização Financeira </w:t>
      </w:r>
    </w:p>
    <w:p w14:paraId="3ABFD4A5" w14:textId="1D8F38D6" w:rsidR="00EB73E0" w:rsidRPr="00485F85" w:rsidRDefault="00EB73E0"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O apoio dos doadores teve um impacto significativo na capacidade da Universidade de reagir rapidamente à crise, com doações de todos os tamanhos, permitindo que Oxford acelerasse a pesquisa em várias áreas importantes. Lançado em abril de 2020, o COVID-19 </w:t>
      </w:r>
      <w:r w:rsidRPr="00485F85">
        <w:rPr>
          <w:rFonts w:asciiTheme="majorHAnsi" w:hAnsiTheme="majorHAnsi" w:cstheme="majorHAnsi"/>
          <w:i/>
          <w:iCs/>
        </w:rPr>
        <w:t>Research Response Fund</w:t>
      </w:r>
      <w:r w:rsidRPr="00485F85">
        <w:rPr>
          <w:rFonts w:asciiTheme="majorHAnsi" w:hAnsiTheme="majorHAnsi" w:cstheme="majorHAnsi"/>
        </w:rPr>
        <w:t xml:space="preserve"> (CRRF) aproveitou o poder das doações colaborativas e as doações de todos os tamanhos tiveram um impacto significativo na capacidade da Universidade de responder rapidamente ao vírus.</w:t>
      </w:r>
      <w:r w:rsidR="00CD4521" w:rsidRPr="00485F85">
        <w:rPr>
          <w:rFonts w:asciiTheme="majorHAnsi" w:hAnsiTheme="majorHAnsi" w:cstheme="majorHAnsi"/>
        </w:rPr>
        <w:t xml:space="preserve"> </w:t>
      </w:r>
      <w:r w:rsidRPr="00485F85">
        <w:rPr>
          <w:rFonts w:asciiTheme="majorHAnsi" w:hAnsiTheme="majorHAnsi" w:cstheme="majorHAnsi"/>
        </w:rPr>
        <w:t>No final de agosto, mais de £ 8 milhões haviam sido implantados por meio do CRRF, que concedeu financiamento em uma base competitiva para pesquisas urgentes e de curto prazo do COVID-19. Isso permitiu que a Universidade visasse pesquisas de alta prioridade, capazes de ter um impacto imediato em áreas como desenvolvimento de vacinas, distribuição de medicamentos, saúde mental e consequências socioeconômicas da pandemia.</w:t>
      </w:r>
    </w:p>
    <w:p w14:paraId="40764B4F" w14:textId="7183D4D5" w:rsidR="00EB73E0" w:rsidRPr="00485F85" w:rsidRDefault="00EB73E0" w:rsidP="00485F85">
      <w:pPr>
        <w:spacing w:line="276" w:lineRule="auto"/>
        <w:ind w:firstLine="709"/>
        <w:jc w:val="both"/>
        <w:rPr>
          <w:rFonts w:asciiTheme="majorHAnsi" w:hAnsiTheme="majorHAnsi" w:cstheme="majorHAnsi"/>
          <w:b/>
          <w:bCs/>
        </w:rPr>
      </w:pPr>
      <w:r w:rsidRPr="00485F85">
        <w:rPr>
          <w:rFonts w:asciiTheme="majorHAnsi" w:hAnsiTheme="majorHAnsi" w:cstheme="majorHAnsi"/>
          <w:b/>
          <w:bCs/>
        </w:rPr>
        <w:t>Fundo assistencial para funcionários e estudantes</w:t>
      </w:r>
    </w:p>
    <w:p w14:paraId="64312D20" w14:textId="16E5AB37" w:rsidR="00EB73E0" w:rsidRPr="00485F85" w:rsidRDefault="00EB73E0"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 pandemia desencadeou a perda de trabalho e recursos de diversos membros da instituição. Frente a isso foi feito um apelo de arrecadação para um fundo de assistência que no final de agosto, </w:t>
      </w:r>
      <w:r w:rsidR="00CD06C7" w:rsidRPr="00485F85">
        <w:rPr>
          <w:rFonts w:asciiTheme="majorHAnsi" w:hAnsiTheme="majorHAnsi" w:cstheme="majorHAnsi"/>
        </w:rPr>
        <w:t xml:space="preserve">já </w:t>
      </w:r>
      <w:r w:rsidR="00D60DDE" w:rsidRPr="00485F85">
        <w:rPr>
          <w:rFonts w:asciiTheme="majorHAnsi" w:hAnsiTheme="majorHAnsi" w:cstheme="majorHAnsi"/>
        </w:rPr>
        <w:t>possuía cerca</w:t>
      </w:r>
      <w:r w:rsidR="00CD06C7" w:rsidRPr="00485F85">
        <w:rPr>
          <w:rFonts w:asciiTheme="majorHAnsi" w:hAnsiTheme="majorHAnsi" w:cstheme="majorHAnsi"/>
        </w:rPr>
        <w:t xml:space="preserve"> de </w:t>
      </w:r>
      <w:r w:rsidRPr="00485F85">
        <w:rPr>
          <w:rFonts w:asciiTheme="majorHAnsi" w:hAnsiTheme="majorHAnsi" w:cstheme="majorHAnsi"/>
        </w:rPr>
        <w:t xml:space="preserve">£ 650.000 arrecadados de mais de 470 doadores, incluindo o apoio generoso de </w:t>
      </w:r>
      <w:r w:rsidRPr="00485F85">
        <w:rPr>
          <w:rFonts w:asciiTheme="majorHAnsi" w:hAnsiTheme="majorHAnsi" w:cstheme="majorHAnsi"/>
          <w:i/>
          <w:iCs/>
        </w:rPr>
        <w:t>Crankstart, Santander</w:t>
      </w:r>
      <w:r w:rsidRPr="00485F85">
        <w:rPr>
          <w:rFonts w:asciiTheme="majorHAnsi" w:hAnsiTheme="majorHAnsi" w:cstheme="majorHAnsi"/>
        </w:rPr>
        <w:t xml:space="preserve"> e doadores que doaram por meio do fundo discricionário do Vice-Chanceler. As doações estão sendo distribuídas imediatamente para apoiar os mais necessitados. </w:t>
      </w:r>
    </w:p>
    <w:p w14:paraId="2FFE0591" w14:textId="77777777" w:rsidR="00EB73E0" w:rsidRPr="00485F85" w:rsidRDefault="00EB73E0" w:rsidP="00485F85">
      <w:pPr>
        <w:spacing w:line="276" w:lineRule="auto"/>
        <w:ind w:firstLine="709"/>
        <w:jc w:val="both"/>
        <w:rPr>
          <w:rFonts w:asciiTheme="majorHAnsi" w:hAnsiTheme="majorHAnsi" w:cstheme="majorHAnsi"/>
        </w:rPr>
      </w:pPr>
    </w:p>
    <w:p w14:paraId="6B92FC08" w14:textId="77777777" w:rsidR="00B70639" w:rsidRPr="00485F85" w:rsidRDefault="00EB73E0" w:rsidP="00485F85">
      <w:pPr>
        <w:spacing w:line="276" w:lineRule="auto"/>
        <w:ind w:firstLine="709"/>
        <w:jc w:val="both"/>
        <w:rPr>
          <w:rFonts w:asciiTheme="majorHAnsi" w:hAnsiTheme="majorHAnsi" w:cstheme="majorHAnsi"/>
        </w:rPr>
      </w:pPr>
      <w:r w:rsidRPr="00485F85">
        <w:rPr>
          <w:rFonts w:asciiTheme="majorHAnsi" w:hAnsiTheme="majorHAnsi" w:cstheme="majorHAnsi"/>
        </w:rPr>
        <w:t>Um anuário virtual foi elaborado em forma de linha do tempo para registrar os passos os diversos passos da Instituição durante a pandemia e pode ser acessado no link:</w:t>
      </w:r>
    </w:p>
    <w:p w14:paraId="12DE811B" w14:textId="10D33E61" w:rsidR="001C5F76" w:rsidRPr="00485F85" w:rsidRDefault="00EB73E0" w:rsidP="00CD4521">
      <w:pPr>
        <w:spacing w:after="0" w:line="360" w:lineRule="auto"/>
        <w:jc w:val="both"/>
        <w:rPr>
          <w:rFonts w:asciiTheme="majorHAnsi" w:hAnsiTheme="majorHAnsi" w:cstheme="majorHAnsi"/>
        </w:rPr>
      </w:pPr>
      <w:r w:rsidRPr="00485F85">
        <w:rPr>
          <w:rFonts w:asciiTheme="majorHAnsi" w:hAnsiTheme="majorHAnsi" w:cstheme="majorHAnsi"/>
        </w:rPr>
        <w:t xml:space="preserve"> </w:t>
      </w:r>
      <w:hyperlink r:id="rId16" w:history="1">
        <w:r w:rsidRPr="00485F85">
          <w:rPr>
            <w:rStyle w:val="Hyperlink"/>
            <w:rFonts w:asciiTheme="majorHAnsi" w:hAnsiTheme="majorHAnsi" w:cstheme="majorHAnsi"/>
          </w:rPr>
          <w:t>https://www.research.ox.ac.uk/2020pandemicreview</w:t>
        </w:r>
      </w:hyperlink>
      <w:r w:rsidRPr="00485F85">
        <w:rPr>
          <w:rFonts w:asciiTheme="majorHAnsi" w:hAnsiTheme="majorHAnsi" w:cstheme="majorHAnsi"/>
        </w:rPr>
        <w:t xml:space="preserve"> </w:t>
      </w:r>
    </w:p>
    <w:p w14:paraId="6A82C491" w14:textId="77777777" w:rsidR="00485F85" w:rsidRDefault="00485F85">
      <w:pPr>
        <w:tabs>
          <w:tab w:val="clear" w:pos="1615"/>
        </w:tabs>
        <w:spacing w:line="259" w:lineRule="auto"/>
        <w:rPr>
          <w:rFonts w:asciiTheme="majorHAnsi" w:hAnsiTheme="majorHAnsi" w:cstheme="majorHAnsi"/>
          <w:b/>
          <w:color w:val="0C4A87" w:themeColor="accent2"/>
          <w:sz w:val="44"/>
          <w:szCs w:val="44"/>
        </w:rPr>
      </w:pPr>
      <w:bookmarkStart w:id="11" w:name="_Toc82101305"/>
      <w:r>
        <w:rPr>
          <w:rFonts w:asciiTheme="majorHAnsi" w:hAnsiTheme="majorHAnsi" w:cstheme="majorHAnsi"/>
        </w:rPr>
        <w:br w:type="page"/>
      </w:r>
    </w:p>
    <w:p w14:paraId="613F97CD" w14:textId="3B91C44B" w:rsidR="00802280" w:rsidRPr="00485F85" w:rsidRDefault="00485F85" w:rsidP="00802280">
      <w:pPr>
        <w:pStyle w:val="Ttulo1"/>
        <w:rPr>
          <w:rFonts w:asciiTheme="majorHAnsi" w:hAnsiTheme="majorHAnsi" w:cstheme="majorHAnsi"/>
        </w:rPr>
      </w:pPr>
      <w:r w:rsidRPr="00485F85">
        <w:rPr>
          <w:rFonts w:asciiTheme="majorHAnsi" w:hAnsiTheme="majorHAnsi" w:cstheme="majorHAnsi"/>
        </w:rPr>
        <w:lastRenderedPageBreak/>
        <w:t>METODOLOGIA</w:t>
      </w:r>
      <w:bookmarkEnd w:id="11"/>
    </w:p>
    <w:p w14:paraId="4C58D682" w14:textId="09732498" w:rsidR="002872F2" w:rsidRPr="00485F85" w:rsidRDefault="002872F2" w:rsidP="002872F2">
      <w:pPr>
        <w:rPr>
          <w:rFonts w:asciiTheme="majorHAnsi" w:hAnsiTheme="majorHAnsi" w:cstheme="majorHAnsi"/>
        </w:rPr>
      </w:pPr>
    </w:p>
    <w:p w14:paraId="1B021829" w14:textId="41452263" w:rsidR="00CD06C7" w:rsidRPr="00485F85" w:rsidRDefault="00B70639" w:rsidP="00485F85">
      <w:pPr>
        <w:spacing w:line="276" w:lineRule="auto"/>
        <w:ind w:firstLine="709"/>
        <w:jc w:val="both"/>
        <w:rPr>
          <w:rFonts w:asciiTheme="majorHAnsi" w:hAnsiTheme="majorHAnsi" w:cstheme="majorHAnsi"/>
        </w:rPr>
      </w:pPr>
      <w:r w:rsidRPr="00485F85">
        <w:rPr>
          <w:rFonts w:asciiTheme="majorHAnsi" w:hAnsiTheme="majorHAnsi" w:cstheme="majorHAnsi"/>
        </w:rPr>
        <w:t>A pesquisa foi do tipo exploratória, com uso da técnica de estudo de caso em consonância com as técnicas documentais e bibliográficas, a finalidade foi descobrir quais são as principais boas práticas utilizadas por IES de renome para inspirar documentos corporativos e diretrizes da Universidade Distrital de Brasília, em uma abordagem conhecida como Benchmarking</w:t>
      </w:r>
      <w:r w:rsidR="00005EBC" w:rsidRPr="00485F85">
        <w:rPr>
          <w:rFonts w:asciiTheme="majorHAnsi" w:hAnsiTheme="majorHAnsi" w:cstheme="majorHAnsi"/>
        </w:rPr>
        <w:t>.</w:t>
      </w:r>
    </w:p>
    <w:p w14:paraId="6A094883" w14:textId="144511AD" w:rsidR="00CD06C7" w:rsidRPr="00485F85" w:rsidRDefault="00B56950"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Para isso, foram contratados </w:t>
      </w:r>
      <w:r w:rsidR="00DD3D2C" w:rsidRPr="00485F85">
        <w:rPr>
          <w:rFonts w:asciiTheme="majorHAnsi" w:hAnsiTheme="majorHAnsi" w:cstheme="majorHAnsi"/>
        </w:rPr>
        <w:t xml:space="preserve">10 </w:t>
      </w:r>
      <w:r w:rsidRPr="00485F85">
        <w:rPr>
          <w:rFonts w:asciiTheme="majorHAnsi" w:hAnsiTheme="majorHAnsi" w:cstheme="majorHAnsi"/>
        </w:rPr>
        <w:t xml:space="preserve">consultores com o objetivo de realizar esse </w:t>
      </w:r>
      <w:r w:rsidR="00DD3D2C" w:rsidRPr="00485F85">
        <w:rPr>
          <w:rFonts w:asciiTheme="majorHAnsi" w:hAnsiTheme="majorHAnsi" w:cstheme="majorHAnsi"/>
        </w:rPr>
        <w:t xml:space="preserve">mesmo </w:t>
      </w:r>
      <w:r w:rsidRPr="00485F85">
        <w:rPr>
          <w:rFonts w:asciiTheme="majorHAnsi" w:hAnsiTheme="majorHAnsi" w:cstheme="majorHAnsi"/>
        </w:rPr>
        <w:t xml:space="preserve">mapeamento em âmbito nacional e internacional. </w:t>
      </w:r>
      <w:r w:rsidR="00DD3D2C" w:rsidRPr="00485F85">
        <w:rPr>
          <w:rFonts w:asciiTheme="majorHAnsi" w:hAnsiTheme="majorHAnsi" w:cstheme="majorHAnsi"/>
        </w:rPr>
        <w:t xml:space="preserve">No escopo geral da pesquisa foram analisadas 6 universidades nacionais e 4 internacionais. Este estudo se enquadra na esfera internacional da pesquisa e analisará as boas práticas da Universidade de Oxford, situada no Condado de situada no Condado de Oxfordshire, Inglaterra. </w:t>
      </w:r>
    </w:p>
    <w:p w14:paraId="0387A92B" w14:textId="012FB318" w:rsidR="0064732E" w:rsidRPr="00485F85" w:rsidRDefault="00B56950" w:rsidP="00485F85">
      <w:pPr>
        <w:spacing w:line="276" w:lineRule="auto"/>
        <w:ind w:firstLine="709"/>
        <w:jc w:val="both"/>
        <w:rPr>
          <w:rFonts w:asciiTheme="majorHAnsi" w:hAnsiTheme="majorHAnsi" w:cstheme="majorHAnsi"/>
        </w:rPr>
      </w:pPr>
      <w:r w:rsidRPr="00485F85">
        <w:rPr>
          <w:rFonts w:asciiTheme="majorHAnsi" w:hAnsiTheme="majorHAnsi" w:cstheme="majorHAnsi"/>
        </w:rPr>
        <w:t>Um instrumento de coleta foi distribuído com vias a tornar os resultados dos consultores comparáveis.</w:t>
      </w:r>
      <w:r w:rsidR="00DD3D2C" w:rsidRPr="00485F85">
        <w:rPr>
          <w:rFonts w:asciiTheme="majorHAnsi" w:hAnsiTheme="majorHAnsi" w:cstheme="majorHAnsi"/>
        </w:rPr>
        <w:t xml:space="preserve"> </w:t>
      </w:r>
      <w:r w:rsidR="0064732E" w:rsidRPr="00485F85">
        <w:rPr>
          <w:rFonts w:asciiTheme="majorHAnsi" w:hAnsiTheme="majorHAnsi" w:cstheme="majorHAnsi"/>
        </w:rPr>
        <w:t xml:space="preserve">A coleta dos dados foi realizada no período de 13 de julho a 15 de agosto de 2021. A busca de informações foi </w:t>
      </w:r>
      <w:r w:rsidR="00DD3D2C" w:rsidRPr="00485F85">
        <w:rPr>
          <w:rFonts w:asciiTheme="majorHAnsi" w:hAnsiTheme="majorHAnsi" w:cstheme="majorHAnsi"/>
        </w:rPr>
        <w:t>feita</w:t>
      </w:r>
      <w:r w:rsidR="0064732E" w:rsidRPr="00485F85">
        <w:rPr>
          <w:rFonts w:asciiTheme="majorHAnsi" w:hAnsiTheme="majorHAnsi" w:cstheme="majorHAnsi"/>
        </w:rPr>
        <w:t xml:space="preserve"> no site central da Universidade de Oxford </w:t>
      </w:r>
      <w:r w:rsidR="00DD3D2C" w:rsidRPr="00485F85">
        <w:rPr>
          <w:rFonts w:asciiTheme="majorHAnsi" w:hAnsiTheme="majorHAnsi" w:cstheme="majorHAnsi"/>
        </w:rPr>
        <w:t xml:space="preserve">(https://www.ox.ac.uk/ ) </w:t>
      </w:r>
      <w:r w:rsidR="0064732E" w:rsidRPr="00485F85">
        <w:rPr>
          <w:rFonts w:asciiTheme="majorHAnsi" w:hAnsiTheme="majorHAnsi" w:cstheme="majorHAnsi"/>
        </w:rPr>
        <w:t xml:space="preserve">e em todos os </w:t>
      </w:r>
      <w:r w:rsidR="00546AD9" w:rsidRPr="00485F85">
        <w:rPr>
          <w:rFonts w:asciiTheme="majorHAnsi" w:hAnsiTheme="majorHAnsi" w:cstheme="majorHAnsi"/>
        </w:rPr>
        <w:t>subsistes</w:t>
      </w:r>
      <w:r w:rsidR="0064732E" w:rsidRPr="00485F85">
        <w:rPr>
          <w:rFonts w:asciiTheme="majorHAnsi" w:hAnsiTheme="majorHAnsi" w:cstheme="majorHAnsi"/>
        </w:rPr>
        <w:t xml:space="preserve"> aos quais os hi</w:t>
      </w:r>
      <w:r w:rsidR="00546AD9" w:rsidRPr="00485F85">
        <w:rPr>
          <w:rFonts w:asciiTheme="majorHAnsi" w:hAnsiTheme="majorHAnsi" w:cstheme="majorHAnsi"/>
        </w:rPr>
        <w:t>p</w:t>
      </w:r>
      <w:r w:rsidR="0064732E" w:rsidRPr="00485F85">
        <w:rPr>
          <w:rFonts w:asciiTheme="majorHAnsi" w:hAnsiTheme="majorHAnsi" w:cstheme="majorHAnsi"/>
        </w:rPr>
        <w:t xml:space="preserve">erlinks conduzissem a </w:t>
      </w:r>
      <w:r w:rsidR="00546AD9" w:rsidRPr="00485F85">
        <w:rPr>
          <w:rFonts w:asciiTheme="majorHAnsi" w:hAnsiTheme="majorHAnsi" w:cstheme="majorHAnsi"/>
        </w:rPr>
        <w:t>pesquisadora</w:t>
      </w:r>
      <w:r w:rsidR="0064732E" w:rsidRPr="00485F85">
        <w:rPr>
          <w:rFonts w:asciiTheme="majorHAnsi" w:hAnsiTheme="majorHAnsi" w:cstheme="majorHAnsi"/>
        </w:rPr>
        <w:t xml:space="preserve">. Documentos </w:t>
      </w:r>
      <w:r w:rsidR="00546AD9" w:rsidRPr="00485F85">
        <w:rPr>
          <w:rFonts w:asciiTheme="majorHAnsi" w:hAnsiTheme="majorHAnsi" w:cstheme="majorHAnsi"/>
        </w:rPr>
        <w:t>institucionais</w:t>
      </w:r>
      <w:r w:rsidR="0064732E" w:rsidRPr="00485F85">
        <w:rPr>
          <w:rFonts w:asciiTheme="majorHAnsi" w:hAnsiTheme="majorHAnsi" w:cstheme="majorHAnsi"/>
        </w:rPr>
        <w:t xml:space="preserve">, </w:t>
      </w:r>
      <w:r w:rsidR="00546AD9" w:rsidRPr="00485F85">
        <w:rPr>
          <w:rFonts w:asciiTheme="majorHAnsi" w:hAnsiTheme="majorHAnsi" w:cstheme="majorHAnsi"/>
        </w:rPr>
        <w:t xml:space="preserve">planejamento estratégico, cartas abertas, demonstrativos, balancetes e quaisquer outros documentos oficiais serviram de base para a extração das informações </w:t>
      </w:r>
      <w:r w:rsidR="00DD3D2C" w:rsidRPr="00485F85">
        <w:rPr>
          <w:rFonts w:asciiTheme="majorHAnsi" w:hAnsiTheme="majorHAnsi" w:cstheme="majorHAnsi"/>
        </w:rPr>
        <w:t>demandas no instrumento</w:t>
      </w:r>
      <w:r w:rsidR="00546AD9" w:rsidRPr="00485F85">
        <w:rPr>
          <w:rFonts w:asciiTheme="majorHAnsi" w:hAnsiTheme="majorHAnsi" w:cstheme="majorHAnsi"/>
        </w:rPr>
        <w:t xml:space="preserve">. </w:t>
      </w:r>
    </w:p>
    <w:p w14:paraId="4DCABFBA" w14:textId="1DBB09B7" w:rsidR="0064732E" w:rsidRPr="00485F85" w:rsidRDefault="00546AD9"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A pesquisa </w:t>
      </w:r>
      <w:r w:rsidR="00DD3D2C" w:rsidRPr="00485F85">
        <w:rPr>
          <w:rFonts w:asciiTheme="majorHAnsi" w:hAnsiTheme="majorHAnsi" w:cstheme="majorHAnsi"/>
        </w:rPr>
        <w:t>foi</w:t>
      </w:r>
      <w:r w:rsidRPr="00485F85">
        <w:rPr>
          <w:rFonts w:asciiTheme="majorHAnsi" w:hAnsiTheme="majorHAnsi" w:cstheme="majorHAnsi"/>
        </w:rPr>
        <w:t xml:space="preserve"> composta por duas partes:</w:t>
      </w:r>
    </w:p>
    <w:p w14:paraId="7E17DB65" w14:textId="2FC07F3E" w:rsidR="00546AD9" w:rsidRPr="00485F85" w:rsidRDefault="00546AD9" w:rsidP="00485F85">
      <w:pPr>
        <w:pStyle w:val="PargrafodaLista"/>
        <w:numPr>
          <w:ilvl w:val="0"/>
          <w:numId w:val="2"/>
        </w:numPr>
        <w:spacing w:after="0" w:line="276" w:lineRule="auto"/>
        <w:jc w:val="both"/>
        <w:rPr>
          <w:rFonts w:asciiTheme="majorHAnsi" w:hAnsiTheme="majorHAnsi" w:cstheme="majorHAnsi"/>
        </w:rPr>
      </w:pPr>
      <w:r w:rsidRPr="00485F85">
        <w:rPr>
          <w:rFonts w:asciiTheme="majorHAnsi" w:hAnsiTheme="majorHAnsi" w:cstheme="majorHAnsi"/>
        </w:rPr>
        <w:t xml:space="preserve">Parte 1. Dados </w:t>
      </w:r>
      <w:r w:rsidR="00DD3D2C" w:rsidRPr="00485F85">
        <w:rPr>
          <w:rFonts w:asciiTheme="majorHAnsi" w:hAnsiTheme="majorHAnsi" w:cstheme="majorHAnsi"/>
        </w:rPr>
        <w:t>Gerais da</w:t>
      </w:r>
      <w:r w:rsidRPr="00485F85">
        <w:rPr>
          <w:rFonts w:asciiTheme="majorHAnsi" w:hAnsiTheme="majorHAnsi" w:cstheme="majorHAnsi"/>
        </w:rPr>
        <w:t xml:space="preserve"> IES e Município de localização</w:t>
      </w:r>
    </w:p>
    <w:p w14:paraId="74489E1C" w14:textId="77777777" w:rsidR="00546AD9" w:rsidRPr="00485F85" w:rsidRDefault="00546AD9" w:rsidP="00485F85">
      <w:pPr>
        <w:pStyle w:val="PargrafodaLista"/>
        <w:numPr>
          <w:ilvl w:val="0"/>
          <w:numId w:val="2"/>
        </w:numPr>
        <w:spacing w:after="0" w:line="276" w:lineRule="auto"/>
        <w:jc w:val="both"/>
        <w:rPr>
          <w:rFonts w:asciiTheme="majorHAnsi" w:hAnsiTheme="majorHAnsi" w:cstheme="majorHAnsi"/>
        </w:rPr>
      </w:pPr>
      <w:r w:rsidRPr="00485F85">
        <w:rPr>
          <w:rFonts w:asciiTheme="majorHAnsi" w:hAnsiTheme="majorHAnsi" w:cstheme="majorHAnsi"/>
        </w:rPr>
        <w:t>Parte 2. Dimensões e Indicadores</w:t>
      </w:r>
    </w:p>
    <w:p w14:paraId="47DC98B1" w14:textId="77777777" w:rsidR="00627017" w:rsidRPr="00485F85" w:rsidRDefault="00627017" w:rsidP="00485F85">
      <w:pPr>
        <w:spacing w:after="0" w:line="276" w:lineRule="auto"/>
        <w:jc w:val="both"/>
        <w:rPr>
          <w:rFonts w:asciiTheme="majorHAnsi" w:hAnsiTheme="majorHAnsi" w:cstheme="majorHAnsi"/>
        </w:rPr>
      </w:pPr>
    </w:p>
    <w:p w14:paraId="33DBE9D9" w14:textId="0C728765" w:rsidR="00546AD9" w:rsidRPr="00485F85" w:rsidRDefault="00546AD9" w:rsidP="00485F85">
      <w:pPr>
        <w:spacing w:after="0" w:line="276" w:lineRule="auto"/>
        <w:jc w:val="both"/>
        <w:rPr>
          <w:rFonts w:asciiTheme="majorHAnsi" w:hAnsiTheme="majorHAnsi" w:cstheme="majorHAnsi"/>
        </w:rPr>
      </w:pPr>
      <w:r w:rsidRPr="00485F85">
        <w:rPr>
          <w:rFonts w:asciiTheme="majorHAnsi" w:hAnsiTheme="majorHAnsi" w:cstheme="majorHAnsi"/>
        </w:rPr>
        <w:t>A parte 2</w:t>
      </w:r>
      <w:r w:rsidR="00DD3D2C" w:rsidRPr="00485F85">
        <w:rPr>
          <w:rFonts w:asciiTheme="majorHAnsi" w:hAnsiTheme="majorHAnsi" w:cstheme="majorHAnsi"/>
        </w:rPr>
        <w:t xml:space="preserve">, </w:t>
      </w:r>
      <w:r w:rsidRPr="00485F85">
        <w:rPr>
          <w:rFonts w:asciiTheme="majorHAnsi" w:hAnsiTheme="majorHAnsi" w:cstheme="majorHAnsi"/>
        </w:rPr>
        <w:t>subdivida em 12 dimensões a saber:</w:t>
      </w:r>
    </w:p>
    <w:p w14:paraId="20C0E2A1" w14:textId="77777777" w:rsidR="00CD06C7" w:rsidRPr="00485F85" w:rsidRDefault="00CD06C7" w:rsidP="00485F85">
      <w:pPr>
        <w:spacing w:after="0" w:line="276" w:lineRule="auto"/>
        <w:jc w:val="both"/>
        <w:rPr>
          <w:rFonts w:asciiTheme="majorHAnsi" w:hAnsiTheme="majorHAnsi" w:cstheme="majorHAnsi"/>
        </w:rPr>
      </w:pPr>
    </w:p>
    <w:p w14:paraId="20E69215" w14:textId="3A1A3100"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1. Estrutura Acadêmica e Administrativa</w:t>
      </w:r>
    </w:p>
    <w:p w14:paraId="56E23878" w14:textId="22C30DC6"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Estrutura organizacional da IES, como Conselhos, </w:t>
      </w:r>
      <w:r w:rsidR="00B70639" w:rsidRPr="00485F85">
        <w:rPr>
          <w:rFonts w:asciiTheme="majorHAnsi" w:hAnsiTheme="majorHAnsi" w:cstheme="majorHAnsi"/>
        </w:rPr>
        <w:t>Pró-reitora</w:t>
      </w:r>
      <w:r w:rsidRPr="00485F85">
        <w:rPr>
          <w:rFonts w:asciiTheme="majorHAnsi" w:hAnsiTheme="majorHAnsi" w:cstheme="majorHAnsi"/>
        </w:rPr>
        <w:t>, Órgãos Auxiliares e Complementares, Unidades Acadêmicas, além de observar características de gestão democrática.</w:t>
      </w:r>
    </w:p>
    <w:p w14:paraId="2FF42781" w14:textId="77777777" w:rsidR="00CD06C7" w:rsidRPr="00485F85" w:rsidRDefault="00CD06C7" w:rsidP="00485F85">
      <w:pPr>
        <w:spacing w:after="0" w:line="276" w:lineRule="auto"/>
        <w:jc w:val="both"/>
        <w:rPr>
          <w:rFonts w:asciiTheme="majorHAnsi" w:hAnsiTheme="majorHAnsi" w:cstheme="majorHAnsi"/>
        </w:rPr>
      </w:pPr>
    </w:p>
    <w:p w14:paraId="487EF77C" w14:textId="5749E841"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2. Infraestrutura Física</w:t>
      </w:r>
    </w:p>
    <w:p w14:paraId="3C84D780" w14:textId="424641EA" w:rsidR="00CD06C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Relação de prédios, laboratórios, áreas comuns, número de cursos oferecidos, o planejamento e estruturas de laboratórios, relação </w:t>
      </w:r>
      <w:r w:rsidR="00CD06C7" w:rsidRPr="00485F85">
        <w:rPr>
          <w:rFonts w:asciiTheme="majorHAnsi" w:hAnsiTheme="majorHAnsi" w:cstheme="majorHAnsi"/>
        </w:rPr>
        <w:t xml:space="preserve">desses </w:t>
      </w:r>
      <w:r w:rsidRPr="00485F85">
        <w:rPr>
          <w:rFonts w:asciiTheme="majorHAnsi" w:hAnsiTheme="majorHAnsi" w:cstheme="majorHAnsi"/>
        </w:rPr>
        <w:t>com o projeto acadêmico.</w:t>
      </w:r>
    </w:p>
    <w:p w14:paraId="35090865" w14:textId="77777777" w:rsidR="00CD06C7" w:rsidRPr="00485F85" w:rsidRDefault="00CD06C7" w:rsidP="00485F85">
      <w:pPr>
        <w:spacing w:after="0" w:line="276" w:lineRule="auto"/>
        <w:jc w:val="both"/>
        <w:rPr>
          <w:rFonts w:asciiTheme="majorHAnsi" w:hAnsiTheme="majorHAnsi" w:cstheme="majorHAnsi"/>
        </w:rPr>
      </w:pPr>
    </w:p>
    <w:p w14:paraId="49E9314E" w14:textId="282D02F0"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3. Comunidade Universitária/ Acadêmica</w:t>
      </w:r>
    </w:p>
    <w:p w14:paraId="3C30E216" w14:textId="0A6C2F7D"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Corpo docente, corpo técnico, veículos, docentes estrangeiros, seleção, informações sobre o corpo técnico administrativo, gestores, informações sobre o corpo discente (vagas, inscritos, admitidos, formas de seleção) e mobilidade </w:t>
      </w:r>
      <w:r w:rsidR="00B70639" w:rsidRPr="00485F85">
        <w:rPr>
          <w:rFonts w:asciiTheme="majorHAnsi" w:hAnsiTheme="majorHAnsi" w:cstheme="majorHAnsi"/>
        </w:rPr>
        <w:t>estudantil.</w:t>
      </w:r>
      <w:r w:rsidRPr="00485F85">
        <w:rPr>
          <w:rFonts w:asciiTheme="majorHAnsi" w:hAnsiTheme="majorHAnsi" w:cstheme="majorHAnsi"/>
        </w:rPr>
        <w:t xml:space="preserve"> Equivalência entre o número de docentes/discentes e técnicos administrativos.</w:t>
      </w:r>
    </w:p>
    <w:p w14:paraId="7366869B" w14:textId="3F46CAFD" w:rsidR="00CD06C7" w:rsidRPr="00485F85" w:rsidRDefault="00CD06C7" w:rsidP="00485F85">
      <w:pPr>
        <w:spacing w:after="0" w:line="276" w:lineRule="auto"/>
        <w:jc w:val="both"/>
        <w:rPr>
          <w:rFonts w:asciiTheme="majorHAnsi" w:hAnsiTheme="majorHAnsi" w:cstheme="majorHAnsi"/>
        </w:rPr>
      </w:pPr>
    </w:p>
    <w:p w14:paraId="12154E56" w14:textId="1F26BE2D"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4. Ensino</w:t>
      </w:r>
    </w:p>
    <w:p w14:paraId="5316F550" w14:textId="50A54DA0"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Cursos de Graduação Cursos de Pós-Graduação, existência e funcionamento das Programas de Bolsas e Assistência Estudantil, Metodologias de Ensino, mecanismos para a sua modernização.</w:t>
      </w:r>
    </w:p>
    <w:p w14:paraId="485F4879" w14:textId="77777777" w:rsidR="00CD06C7" w:rsidRPr="00485F85" w:rsidRDefault="00CD06C7" w:rsidP="00485F85">
      <w:pPr>
        <w:spacing w:after="0" w:line="276" w:lineRule="auto"/>
        <w:jc w:val="both"/>
        <w:rPr>
          <w:rFonts w:asciiTheme="majorHAnsi" w:hAnsiTheme="majorHAnsi" w:cstheme="majorHAnsi"/>
        </w:rPr>
      </w:pPr>
    </w:p>
    <w:p w14:paraId="566AFA47" w14:textId="1065998D"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5. Pesquisa e Desenvolvimento</w:t>
      </w:r>
    </w:p>
    <w:p w14:paraId="31828AFE" w14:textId="7FD78B43"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lastRenderedPageBreak/>
        <w:t>Projetos aprovados por área de conhecimento, os grupos de Pesquisa por área (Diretório dos Grupos de Pesquisa – CNPq), Políticas consolidadas de inovação</w:t>
      </w:r>
      <w:r w:rsidR="00CD06C7" w:rsidRPr="00485F85">
        <w:rPr>
          <w:rFonts w:asciiTheme="majorHAnsi" w:hAnsiTheme="majorHAnsi" w:cstheme="majorHAnsi"/>
        </w:rPr>
        <w:t xml:space="preserve">, </w:t>
      </w:r>
      <w:r w:rsidRPr="00485F85">
        <w:rPr>
          <w:rFonts w:asciiTheme="majorHAnsi" w:hAnsiTheme="majorHAnsi" w:cstheme="majorHAnsi"/>
        </w:rPr>
        <w:t>registro de propriedade intelectual e de licenciamentos, Registros de pedido de Patentes, existência de programas de Iniciação Científica.</w:t>
      </w:r>
    </w:p>
    <w:p w14:paraId="531272BD" w14:textId="77777777" w:rsidR="00627017" w:rsidRPr="00485F85" w:rsidRDefault="00627017" w:rsidP="00485F85">
      <w:pPr>
        <w:spacing w:after="0" w:line="276" w:lineRule="auto"/>
        <w:jc w:val="both"/>
        <w:rPr>
          <w:rFonts w:asciiTheme="majorHAnsi" w:hAnsiTheme="majorHAnsi" w:cstheme="majorHAnsi"/>
        </w:rPr>
      </w:pPr>
    </w:p>
    <w:p w14:paraId="6110691B" w14:textId="048E130F"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6. Políticas de Extensão</w:t>
      </w:r>
    </w:p>
    <w:p w14:paraId="00698E22" w14:textId="648A3ACC"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Políticas de Extensão e seus impactos na comunidade.</w:t>
      </w:r>
    </w:p>
    <w:p w14:paraId="25FE91F5" w14:textId="77777777" w:rsidR="00CD06C7" w:rsidRPr="00485F85" w:rsidRDefault="00CD06C7" w:rsidP="00485F85">
      <w:pPr>
        <w:spacing w:after="0" w:line="276" w:lineRule="auto"/>
        <w:jc w:val="both"/>
        <w:rPr>
          <w:rFonts w:asciiTheme="majorHAnsi" w:hAnsiTheme="majorHAnsi" w:cstheme="majorHAnsi"/>
        </w:rPr>
      </w:pPr>
    </w:p>
    <w:p w14:paraId="4D9D1F8D" w14:textId="4989DC06"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7. Financiamento</w:t>
      </w:r>
    </w:p>
    <w:p w14:paraId="2231019F" w14:textId="0B7EAB28"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Políticas de Financiamento existentes bem como seus programas de obtenção de Recursos Públicos para manutenção das IES privadas, divulgação do orçamento da universidade e captação de Recursos Extra Orçamentários.</w:t>
      </w:r>
    </w:p>
    <w:p w14:paraId="5DA02A79" w14:textId="77777777" w:rsidR="00CD06C7" w:rsidRPr="00485F85" w:rsidRDefault="00CD06C7" w:rsidP="00485F85">
      <w:pPr>
        <w:spacing w:after="0" w:line="276" w:lineRule="auto"/>
        <w:jc w:val="both"/>
        <w:rPr>
          <w:rFonts w:asciiTheme="majorHAnsi" w:hAnsiTheme="majorHAnsi" w:cstheme="majorHAnsi"/>
        </w:rPr>
      </w:pPr>
    </w:p>
    <w:p w14:paraId="1FD04FE6" w14:textId="6360AE2D"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8. Política de relacionamento externo</w:t>
      </w:r>
    </w:p>
    <w:p w14:paraId="104A5F73" w14:textId="34FFB281" w:rsidR="00627017"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Convênios/parcerias para estágios nacionais e internacionais, parcerias com IES (Nacionais e Internacionais (Públicas e Privadas)), parcerias </w:t>
      </w:r>
      <w:r w:rsidR="00B70639" w:rsidRPr="00485F85">
        <w:rPr>
          <w:rFonts w:asciiTheme="majorHAnsi" w:hAnsiTheme="majorHAnsi" w:cstheme="majorHAnsi"/>
        </w:rPr>
        <w:t>empresariais</w:t>
      </w:r>
      <w:r w:rsidRPr="00485F85">
        <w:rPr>
          <w:rFonts w:asciiTheme="majorHAnsi" w:hAnsiTheme="majorHAnsi" w:cstheme="majorHAnsi"/>
        </w:rPr>
        <w:t xml:space="preserve">, </w:t>
      </w:r>
      <w:r w:rsidR="00B70639" w:rsidRPr="00485F85">
        <w:rPr>
          <w:rFonts w:asciiTheme="majorHAnsi" w:hAnsiTheme="majorHAnsi" w:cstheme="majorHAnsi"/>
        </w:rPr>
        <w:t>intercâmbios</w:t>
      </w:r>
      <w:r w:rsidRPr="00485F85">
        <w:rPr>
          <w:rFonts w:asciiTheme="majorHAnsi" w:hAnsiTheme="majorHAnsi" w:cstheme="majorHAnsi"/>
        </w:rPr>
        <w:t xml:space="preserve">, Internacionalização de docentes e estudantes, Políticas de internacionalização, </w:t>
      </w:r>
      <w:r w:rsidR="00CD06C7" w:rsidRPr="00485F85">
        <w:rPr>
          <w:rFonts w:asciiTheme="majorHAnsi" w:hAnsiTheme="majorHAnsi" w:cstheme="majorHAnsi"/>
        </w:rPr>
        <w:t>p</w:t>
      </w:r>
      <w:r w:rsidRPr="00485F85">
        <w:rPr>
          <w:rFonts w:asciiTheme="majorHAnsi" w:hAnsiTheme="majorHAnsi" w:cstheme="majorHAnsi"/>
        </w:rPr>
        <w:t>articipação em redes acadêmicas internacionais</w:t>
      </w:r>
      <w:r w:rsidR="00CD06C7" w:rsidRPr="00485F85">
        <w:rPr>
          <w:rFonts w:asciiTheme="majorHAnsi" w:hAnsiTheme="majorHAnsi" w:cstheme="majorHAnsi"/>
        </w:rPr>
        <w:t xml:space="preserve"> e</w:t>
      </w:r>
      <w:r w:rsidRPr="00485F85">
        <w:rPr>
          <w:rFonts w:asciiTheme="majorHAnsi" w:hAnsiTheme="majorHAnsi" w:cstheme="majorHAnsi"/>
        </w:rPr>
        <w:t xml:space="preserve"> periódico especializado</w:t>
      </w:r>
      <w:r w:rsidR="00CD06C7" w:rsidRPr="00485F85">
        <w:rPr>
          <w:rFonts w:asciiTheme="majorHAnsi" w:hAnsiTheme="majorHAnsi" w:cstheme="majorHAnsi"/>
        </w:rPr>
        <w:t>s.</w:t>
      </w:r>
    </w:p>
    <w:p w14:paraId="1901FA82" w14:textId="77777777" w:rsidR="00CD06C7" w:rsidRPr="00485F85" w:rsidRDefault="00CD06C7" w:rsidP="00485F85">
      <w:pPr>
        <w:spacing w:after="0" w:line="276" w:lineRule="auto"/>
        <w:jc w:val="both"/>
        <w:rPr>
          <w:rFonts w:asciiTheme="majorHAnsi" w:hAnsiTheme="majorHAnsi" w:cstheme="majorHAnsi"/>
        </w:rPr>
      </w:pPr>
    </w:p>
    <w:p w14:paraId="1595DEB5" w14:textId="265387E5"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9. Vinculação com a Educação Básica</w:t>
      </w:r>
    </w:p>
    <w:p w14:paraId="6D9122D9" w14:textId="56871F38" w:rsidR="00967622"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Colégio de Aplicação ou similar.</w:t>
      </w:r>
    </w:p>
    <w:p w14:paraId="18C5969D" w14:textId="77777777" w:rsidR="00CD06C7" w:rsidRPr="00485F85" w:rsidRDefault="00CD06C7" w:rsidP="00485F85">
      <w:pPr>
        <w:spacing w:after="0" w:line="276" w:lineRule="auto"/>
        <w:jc w:val="both"/>
        <w:rPr>
          <w:rFonts w:asciiTheme="majorHAnsi" w:hAnsiTheme="majorHAnsi" w:cstheme="majorHAnsi"/>
        </w:rPr>
      </w:pPr>
    </w:p>
    <w:p w14:paraId="318D896A" w14:textId="48DDA66D"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10. Impacto na Indústria/Setor produtivo</w:t>
      </w:r>
    </w:p>
    <w:p w14:paraId="7A4684ED" w14:textId="3BBEFC46" w:rsidR="00967622"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Capacidade da IES em colaborar com o setor produtivo a partir de inovações, invenções e consultorias além do desenvolvimento de ambiente de empreendedorismo na IES.</w:t>
      </w:r>
    </w:p>
    <w:p w14:paraId="28E0E392" w14:textId="77777777" w:rsidR="00CD06C7" w:rsidRPr="00485F85" w:rsidRDefault="00CD06C7" w:rsidP="00485F85">
      <w:pPr>
        <w:spacing w:after="0" w:line="276" w:lineRule="auto"/>
        <w:jc w:val="both"/>
        <w:rPr>
          <w:rFonts w:asciiTheme="majorHAnsi" w:hAnsiTheme="majorHAnsi" w:cstheme="majorHAnsi"/>
        </w:rPr>
      </w:pPr>
    </w:p>
    <w:p w14:paraId="1DDD822C" w14:textId="327D4268"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11. Impacto para a comunidade local</w:t>
      </w:r>
    </w:p>
    <w:p w14:paraId="0A695911" w14:textId="0AB18BA6" w:rsidR="00967622"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Perfil socioeconômico dos ingressantes e concluintes para observar o quanto a IES contribui para o acesso das diferentes camadas sociais, políticas de ações afirmativas e criação de spin-off acadêmicas.</w:t>
      </w:r>
    </w:p>
    <w:p w14:paraId="584720B7" w14:textId="77777777" w:rsidR="00CD06C7" w:rsidRPr="00485F85" w:rsidRDefault="00CD06C7" w:rsidP="00485F85">
      <w:pPr>
        <w:spacing w:after="0" w:line="276" w:lineRule="auto"/>
        <w:jc w:val="both"/>
        <w:rPr>
          <w:rFonts w:asciiTheme="majorHAnsi" w:hAnsiTheme="majorHAnsi" w:cstheme="majorHAnsi"/>
        </w:rPr>
      </w:pPr>
    </w:p>
    <w:p w14:paraId="732C7A4C" w14:textId="4263A815" w:rsidR="00546AD9" w:rsidRPr="00485F85" w:rsidRDefault="00546AD9" w:rsidP="00485F85">
      <w:pPr>
        <w:pStyle w:val="PargrafodaLista"/>
        <w:numPr>
          <w:ilvl w:val="0"/>
          <w:numId w:val="3"/>
        </w:numPr>
        <w:spacing w:after="0" w:line="276" w:lineRule="auto"/>
        <w:jc w:val="both"/>
        <w:rPr>
          <w:rFonts w:asciiTheme="majorHAnsi" w:hAnsiTheme="majorHAnsi" w:cstheme="majorHAnsi"/>
        </w:rPr>
      </w:pPr>
      <w:r w:rsidRPr="00485F85">
        <w:rPr>
          <w:rFonts w:asciiTheme="majorHAnsi" w:hAnsiTheme="majorHAnsi" w:cstheme="majorHAnsi"/>
        </w:rPr>
        <w:t>Dimensão 12. Autoconhecimento e Usos na Gestão</w:t>
      </w:r>
    </w:p>
    <w:p w14:paraId="0433F856" w14:textId="6C97518B" w:rsidR="00967622" w:rsidRPr="00485F85" w:rsidRDefault="00627017"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Portal da transparência, gestão de indicadores de desempenho acadêmico, métricas acadêmicas e financeiras, objetivos estratégicos, modernização de processos, Anuários de Pesquisa e Extensão, processos permanentes de Autoavaliação, Publicização dos Relatórios de </w:t>
      </w:r>
      <w:r w:rsidR="00B70639" w:rsidRPr="00485F85">
        <w:rPr>
          <w:rFonts w:asciiTheme="majorHAnsi" w:hAnsiTheme="majorHAnsi" w:cstheme="majorHAnsi"/>
        </w:rPr>
        <w:t>Autoavaliação, Comunicação</w:t>
      </w:r>
      <w:r w:rsidRPr="00485F85">
        <w:rPr>
          <w:rFonts w:asciiTheme="majorHAnsi" w:hAnsiTheme="majorHAnsi" w:cstheme="majorHAnsi"/>
        </w:rPr>
        <w:t xml:space="preserve"> Interna e Externa.</w:t>
      </w:r>
    </w:p>
    <w:p w14:paraId="6603384D" w14:textId="77777777" w:rsidR="00627017" w:rsidRPr="00485F85" w:rsidRDefault="00627017" w:rsidP="00485F85">
      <w:pPr>
        <w:spacing w:after="0" w:line="276" w:lineRule="auto"/>
        <w:jc w:val="both"/>
        <w:rPr>
          <w:rFonts w:asciiTheme="majorHAnsi" w:hAnsiTheme="majorHAnsi" w:cstheme="majorHAnsi"/>
        </w:rPr>
      </w:pPr>
    </w:p>
    <w:p w14:paraId="40D09E3E" w14:textId="0B7952D8" w:rsidR="00546AD9" w:rsidRPr="00485F85" w:rsidRDefault="00546AD9"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Os dados foram depositados diretamente no instrumento </w:t>
      </w:r>
      <w:r w:rsidR="00DD3D2C" w:rsidRPr="00485F85">
        <w:rPr>
          <w:rFonts w:asciiTheme="majorHAnsi" w:hAnsiTheme="majorHAnsi" w:cstheme="majorHAnsi"/>
        </w:rPr>
        <w:t xml:space="preserve">de </w:t>
      </w:r>
      <w:r w:rsidRPr="00485F85">
        <w:rPr>
          <w:rFonts w:asciiTheme="majorHAnsi" w:hAnsiTheme="majorHAnsi" w:cstheme="majorHAnsi"/>
        </w:rPr>
        <w:t xml:space="preserve">coleta. A seção resultados trará a tabela com a apuração </w:t>
      </w:r>
      <w:r w:rsidR="00005EBC" w:rsidRPr="00485F85">
        <w:rPr>
          <w:rFonts w:asciiTheme="majorHAnsi" w:hAnsiTheme="majorHAnsi" w:cstheme="majorHAnsi"/>
        </w:rPr>
        <w:t xml:space="preserve">deste instrumento </w:t>
      </w:r>
      <w:r w:rsidRPr="00485F85">
        <w:rPr>
          <w:rFonts w:asciiTheme="majorHAnsi" w:hAnsiTheme="majorHAnsi" w:cstheme="majorHAnsi"/>
        </w:rPr>
        <w:t>na íntegra.</w:t>
      </w:r>
      <w:r w:rsidR="00CD06C7" w:rsidRPr="00485F85">
        <w:rPr>
          <w:rFonts w:asciiTheme="majorHAnsi" w:hAnsiTheme="majorHAnsi" w:cstheme="majorHAnsi"/>
        </w:rPr>
        <w:t xml:space="preserve"> </w:t>
      </w:r>
      <w:r w:rsidR="00005EBC" w:rsidRPr="00485F85">
        <w:rPr>
          <w:rFonts w:asciiTheme="majorHAnsi" w:hAnsiTheme="majorHAnsi" w:cstheme="majorHAnsi"/>
        </w:rPr>
        <w:t>O resultado da</w:t>
      </w:r>
      <w:r w:rsidR="00CD06C7" w:rsidRPr="00485F85">
        <w:rPr>
          <w:rFonts w:asciiTheme="majorHAnsi" w:hAnsiTheme="majorHAnsi" w:cstheme="majorHAnsi"/>
        </w:rPr>
        <w:t xml:space="preserve"> coleta poderá ser encontrad</w:t>
      </w:r>
      <w:r w:rsidR="00005EBC" w:rsidRPr="00485F85">
        <w:rPr>
          <w:rFonts w:asciiTheme="majorHAnsi" w:hAnsiTheme="majorHAnsi" w:cstheme="majorHAnsi"/>
        </w:rPr>
        <w:t>o</w:t>
      </w:r>
      <w:r w:rsidR="00CD06C7" w:rsidRPr="00485F85">
        <w:rPr>
          <w:rFonts w:asciiTheme="majorHAnsi" w:hAnsiTheme="majorHAnsi" w:cstheme="majorHAnsi"/>
        </w:rPr>
        <w:t xml:space="preserve"> nos apêndices desse documento.</w:t>
      </w:r>
    </w:p>
    <w:p w14:paraId="1BEB8F91" w14:textId="77777777" w:rsidR="00CD06C7" w:rsidRPr="00485F85" w:rsidRDefault="00CD06C7" w:rsidP="00485F85">
      <w:pPr>
        <w:spacing w:after="0" w:line="276" w:lineRule="auto"/>
        <w:jc w:val="both"/>
        <w:rPr>
          <w:rFonts w:asciiTheme="majorHAnsi" w:hAnsiTheme="majorHAnsi" w:cstheme="majorHAnsi"/>
        </w:rPr>
      </w:pPr>
    </w:p>
    <w:p w14:paraId="652271EE" w14:textId="53ECD50B" w:rsidR="00546AD9" w:rsidRPr="00485F85" w:rsidRDefault="00546AD9" w:rsidP="00485F85">
      <w:pPr>
        <w:spacing w:after="0" w:line="276" w:lineRule="auto"/>
        <w:jc w:val="both"/>
        <w:rPr>
          <w:rFonts w:asciiTheme="majorHAnsi" w:hAnsiTheme="majorHAnsi" w:cstheme="majorHAnsi"/>
        </w:rPr>
      </w:pPr>
      <w:r w:rsidRPr="00485F85">
        <w:rPr>
          <w:rFonts w:asciiTheme="majorHAnsi" w:hAnsiTheme="majorHAnsi" w:cstheme="majorHAnsi"/>
        </w:rPr>
        <w:t xml:space="preserve">As considerações finas da pesquisadora surgem a partir da análise </w:t>
      </w:r>
      <w:r w:rsidR="00005EBC" w:rsidRPr="00485F85">
        <w:rPr>
          <w:rFonts w:asciiTheme="majorHAnsi" w:hAnsiTheme="majorHAnsi" w:cstheme="majorHAnsi"/>
        </w:rPr>
        <w:t>dos dados levantados</w:t>
      </w:r>
      <w:r w:rsidR="00822733" w:rsidRPr="00485F85">
        <w:rPr>
          <w:rFonts w:asciiTheme="majorHAnsi" w:hAnsiTheme="majorHAnsi" w:cstheme="majorHAnsi"/>
        </w:rPr>
        <w:t xml:space="preserve"> e das experiências positivas detectadas</w:t>
      </w:r>
      <w:r w:rsidRPr="00485F85">
        <w:rPr>
          <w:rFonts w:asciiTheme="majorHAnsi" w:hAnsiTheme="majorHAnsi" w:cstheme="majorHAnsi"/>
        </w:rPr>
        <w:t xml:space="preserve"> </w:t>
      </w:r>
      <w:r w:rsidR="00822733" w:rsidRPr="00485F85">
        <w:rPr>
          <w:rFonts w:asciiTheme="majorHAnsi" w:hAnsiTheme="majorHAnsi" w:cstheme="majorHAnsi"/>
        </w:rPr>
        <w:t xml:space="preserve">que foram transformadas </w:t>
      </w:r>
      <w:r w:rsidR="00627017" w:rsidRPr="00485F85">
        <w:rPr>
          <w:rFonts w:asciiTheme="majorHAnsi" w:hAnsiTheme="majorHAnsi" w:cstheme="majorHAnsi"/>
        </w:rPr>
        <w:t xml:space="preserve">nos resultados e apresentados separados pelas </w:t>
      </w:r>
      <w:r w:rsidR="00005EBC" w:rsidRPr="00485F85">
        <w:rPr>
          <w:rFonts w:asciiTheme="majorHAnsi" w:hAnsiTheme="majorHAnsi" w:cstheme="majorHAnsi"/>
        </w:rPr>
        <w:t xml:space="preserve">doze </w:t>
      </w:r>
      <w:r w:rsidR="00627017" w:rsidRPr="00485F85">
        <w:rPr>
          <w:rFonts w:asciiTheme="majorHAnsi" w:hAnsiTheme="majorHAnsi" w:cstheme="majorHAnsi"/>
        </w:rPr>
        <w:t>dimensões propostas no instrumento de coleta</w:t>
      </w:r>
      <w:r w:rsidRPr="00485F85">
        <w:rPr>
          <w:rFonts w:asciiTheme="majorHAnsi" w:hAnsiTheme="majorHAnsi" w:cstheme="majorHAnsi"/>
        </w:rPr>
        <w:t xml:space="preserve">. </w:t>
      </w:r>
    </w:p>
    <w:p w14:paraId="1B7FA389" w14:textId="77777777" w:rsidR="00CD06C7" w:rsidRPr="00485F85" w:rsidRDefault="00CD06C7" w:rsidP="00485F85">
      <w:pPr>
        <w:spacing w:after="0" w:line="276" w:lineRule="auto"/>
        <w:jc w:val="both"/>
        <w:rPr>
          <w:rFonts w:asciiTheme="majorHAnsi" w:hAnsiTheme="majorHAnsi" w:cstheme="majorHAnsi"/>
        </w:rPr>
      </w:pPr>
    </w:p>
    <w:p w14:paraId="1CB4672E" w14:textId="068D6231" w:rsidR="00DD3D2C" w:rsidRPr="00485F85" w:rsidRDefault="00DD3D2C" w:rsidP="00485F85">
      <w:p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lastRenderedPageBreak/>
        <w:t>O estudo terá caráter essencialmente qualitativo, com ênfase na observação e estudo documental, ao mesmo tempo que será necessário o cruzamento dos levantamentos com toda a pesquisa bibliográfica já feita no escopo geral do projeto.</w:t>
      </w:r>
    </w:p>
    <w:p w14:paraId="7D8970AC" w14:textId="77777777" w:rsidR="00DD3D2C" w:rsidRPr="00485F85" w:rsidRDefault="00DD3D2C" w:rsidP="00546AD9">
      <w:pPr>
        <w:jc w:val="both"/>
        <w:rPr>
          <w:rFonts w:asciiTheme="majorHAnsi" w:hAnsiTheme="majorHAnsi" w:cstheme="majorHAnsi"/>
        </w:rPr>
      </w:pPr>
    </w:p>
    <w:p w14:paraId="54FC8E59" w14:textId="48D4890B" w:rsidR="002872F2" w:rsidRPr="00485F85" w:rsidRDefault="002872F2" w:rsidP="000535A3">
      <w:pPr>
        <w:tabs>
          <w:tab w:val="clear" w:pos="1615"/>
        </w:tabs>
        <w:spacing w:line="259" w:lineRule="auto"/>
        <w:rPr>
          <w:rFonts w:asciiTheme="majorHAnsi" w:hAnsiTheme="majorHAnsi" w:cstheme="majorHAnsi"/>
          <w:b/>
          <w:color w:val="0C4A87" w:themeColor="accent2"/>
          <w:sz w:val="44"/>
          <w:szCs w:val="44"/>
        </w:rPr>
      </w:pPr>
      <w:r w:rsidRPr="00485F85">
        <w:rPr>
          <w:rFonts w:asciiTheme="majorHAnsi" w:hAnsiTheme="majorHAnsi" w:cstheme="majorHAnsi"/>
        </w:rPr>
        <w:br w:type="page"/>
      </w:r>
    </w:p>
    <w:p w14:paraId="4FDED810" w14:textId="79EC29FA" w:rsidR="002872F2" w:rsidRPr="00485F85" w:rsidRDefault="00485F85" w:rsidP="00485F85">
      <w:pPr>
        <w:pStyle w:val="Ttulo1"/>
        <w:spacing w:line="360" w:lineRule="auto"/>
        <w:rPr>
          <w:rFonts w:asciiTheme="majorHAnsi" w:hAnsiTheme="majorHAnsi" w:cstheme="majorHAnsi"/>
        </w:rPr>
      </w:pPr>
      <w:bookmarkStart w:id="12" w:name="_Toc82101306"/>
      <w:r w:rsidRPr="00485F85">
        <w:rPr>
          <w:rFonts w:asciiTheme="majorHAnsi" w:hAnsiTheme="majorHAnsi" w:cstheme="majorHAnsi"/>
        </w:rPr>
        <w:lastRenderedPageBreak/>
        <w:t>RESULTADOS ENCONTRADOS</w:t>
      </w:r>
      <w:bookmarkEnd w:id="12"/>
    </w:p>
    <w:p w14:paraId="7E964ABC" w14:textId="41D35598" w:rsidR="0006609D" w:rsidRPr="00485F85" w:rsidRDefault="00E14058" w:rsidP="00485F85">
      <w:pPr>
        <w:pStyle w:val="Ttulo2"/>
        <w:ind w:left="993"/>
        <w:rPr>
          <w:rFonts w:asciiTheme="majorHAnsi" w:hAnsiTheme="majorHAnsi" w:cstheme="majorHAnsi"/>
        </w:rPr>
      </w:pPr>
      <w:bookmarkStart w:id="13" w:name="_Toc82101307"/>
      <w:r w:rsidRPr="00485F85">
        <w:rPr>
          <w:rFonts w:asciiTheme="majorHAnsi" w:hAnsiTheme="majorHAnsi" w:cstheme="majorHAnsi"/>
        </w:rPr>
        <w:t>Resultados do Benckmarking da Universidade de Oxford</w:t>
      </w:r>
      <w:bookmarkEnd w:id="13"/>
      <w:r w:rsidR="00967622" w:rsidRPr="00485F85">
        <w:rPr>
          <w:rFonts w:asciiTheme="majorHAnsi" w:hAnsiTheme="majorHAnsi" w:cstheme="majorHAnsi"/>
        </w:rPr>
        <w:t xml:space="preserve"> </w:t>
      </w:r>
    </w:p>
    <w:p w14:paraId="0AF82BD9" w14:textId="77777777" w:rsidR="0006609D" w:rsidRPr="00485F85" w:rsidRDefault="0006609D" w:rsidP="0006609D">
      <w:pPr>
        <w:jc w:val="both"/>
        <w:rPr>
          <w:rFonts w:asciiTheme="majorHAnsi" w:hAnsiTheme="majorHAnsi" w:cstheme="majorHAnsi"/>
        </w:rPr>
      </w:pPr>
    </w:p>
    <w:p w14:paraId="1CADA982" w14:textId="0C2B7D81" w:rsidR="0006609D" w:rsidRPr="00485F85" w:rsidRDefault="00B70639" w:rsidP="00485F85">
      <w:pPr>
        <w:spacing w:line="276" w:lineRule="auto"/>
        <w:ind w:firstLine="709"/>
        <w:jc w:val="both"/>
        <w:rPr>
          <w:rFonts w:asciiTheme="majorHAnsi" w:hAnsiTheme="majorHAnsi" w:cstheme="majorHAnsi"/>
        </w:rPr>
      </w:pPr>
      <w:r w:rsidRPr="00485F85">
        <w:rPr>
          <w:rFonts w:asciiTheme="majorHAnsi" w:hAnsiTheme="majorHAnsi" w:cstheme="majorHAnsi"/>
        </w:rPr>
        <w:t>A partir</w:t>
      </w:r>
      <w:r w:rsidR="0006609D" w:rsidRPr="00485F85">
        <w:rPr>
          <w:rFonts w:asciiTheme="majorHAnsi" w:hAnsiTheme="majorHAnsi" w:cstheme="majorHAnsi"/>
        </w:rPr>
        <w:t xml:space="preserve"> dos dados coletados foi realizada uma análise detalhada para a construção sucinta das características do objeto desse estudo, a Universidade de Oxford. Foram </w:t>
      </w:r>
      <w:r w:rsidR="006C4769" w:rsidRPr="00485F85">
        <w:rPr>
          <w:rFonts w:asciiTheme="majorHAnsi" w:hAnsiTheme="majorHAnsi" w:cstheme="majorHAnsi"/>
        </w:rPr>
        <w:t>utilizadas</w:t>
      </w:r>
      <w:r w:rsidR="0006609D" w:rsidRPr="00485F85">
        <w:rPr>
          <w:rFonts w:asciiTheme="majorHAnsi" w:hAnsiTheme="majorHAnsi" w:cstheme="majorHAnsi"/>
        </w:rPr>
        <w:t xml:space="preserve"> as premissas da Metodologia de Benchmarking consideradas pelo órgão contratante dessa consultoria (CEBRASPE, 2019).</w:t>
      </w:r>
      <w:r w:rsidR="00005EBC" w:rsidRPr="00485F85">
        <w:rPr>
          <w:rFonts w:asciiTheme="majorHAnsi" w:hAnsiTheme="majorHAnsi" w:cstheme="majorHAnsi"/>
        </w:rPr>
        <w:t xml:space="preserve"> </w:t>
      </w:r>
    </w:p>
    <w:p w14:paraId="035B1467" w14:textId="01422753" w:rsidR="002E2FA2" w:rsidRPr="00485F85" w:rsidRDefault="002E2FA2"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 Universidade de Oxford é o ponto central situado num espaço geográfico entre </w:t>
      </w:r>
      <w:r w:rsidR="00C77260" w:rsidRPr="00485F85">
        <w:rPr>
          <w:rFonts w:asciiTheme="majorHAnsi" w:hAnsiTheme="majorHAnsi" w:cstheme="majorHAnsi"/>
        </w:rPr>
        <w:t>cidades referência em ensino</w:t>
      </w:r>
      <w:r w:rsidRPr="00485F85">
        <w:rPr>
          <w:rFonts w:asciiTheme="majorHAnsi" w:hAnsiTheme="majorHAnsi" w:cstheme="majorHAnsi"/>
        </w:rPr>
        <w:t xml:space="preserve"> </w:t>
      </w:r>
      <w:r w:rsidR="006C4769" w:rsidRPr="00485F85">
        <w:rPr>
          <w:rFonts w:asciiTheme="majorHAnsi" w:hAnsiTheme="majorHAnsi" w:cstheme="majorHAnsi"/>
        </w:rPr>
        <w:t xml:space="preserve">como </w:t>
      </w:r>
      <w:r w:rsidR="00C77260" w:rsidRPr="00485F85">
        <w:rPr>
          <w:rFonts w:asciiTheme="majorHAnsi" w:hAnsiTheme="majorHAnsi" w:cstheme="majorHAnsi"/>
        </w:rPr>
        <w:t>Birmingham, Cambridge, Londres e Bristol</w:t>
      </w:r>
      <w:r w:rsidRPr="00485F85">
        <w:rPr>
          <w:rFonts w:asciiTheme="majorHAnsi" w:hAnsiTheme="majorHAnsi" w:cstheme="majorHAnsi"/>
        </w:rPr>
        <w:t xml:space="preserve">, sendo </w:t>
      </w:r>
      <w:r w:rsidR="006C4769" w:rsidRPr="00485F85">
        <w:rPr>
          <w:rFonts w:asciiTheme="majorHAnsi" w:hAnsiTheme="majorHAnsi" w:cstheme="majorHAnsi"/>
        </w:rPr>
        <w:t xml:space="preserve">ela </w:t>
      </w:r>
      <w:r w:rsidRPr="00485F85">
        <w:rPr>
          <w:rFonts w:asciiTheme="majorHAnsi" w:hAnsiTheme="majorHAnsi" w:cstheme="majorHAnsi"/>
        </w:rPr>
        <w:t>o ponto mais próximo das três. Na teoria dos grafos o ator central é importante para uma comunicação e uma colaboração entre os outros atores</w:t>
      </w:r>
      <w:r w:rsidR="006C4769" w:rsidRPr="00485F85">
        <w:rPr>
          <w:rFonts w:asciiTheme="majorHAnsi" w:hAnsiTheme="majorHAnsi" w:cstheme="majorHAnsi"/>
        </w:rPr>
        <w:t>,</w:t>
      </w:r>
      <w:r w:rsidRPr="00485F85">
        <w:rPr>
          <w:rFonts w:asciiTheme="majorHAnsi" w:hAnsiTheme="majorHAnsi" w:cstheme="majorHAnsi"/>
        </w:rPr>
        <w:t xml:space="preserve"> o que explica muito a atuação de Oxford nesse ecossistema em que ela está inserida. Desse modo, </w:t>
      </w:r>
      <w:r w:rsidR="00C77260" w:rsidRPr="00485F85">
        <w:rPr>
          <w:rFonts w:asciiTheme="majorHAnsi" w:hAnsiTheme="majorHAnsi" w:cstheme="majorHAnsi"/>
        </w:rPr>
        <w:t>sua</w:t>
      </w:r>
      <w:r w:rsidRPr="00485F85">
        <w:rPr>
          <w:rFonts w:asciiTheme="majorHAnsi" w:hAnsiTheme="majorHAnsi" w:cstheme="majorHAnsi"/>
        </w:rPr>
        <w:t xml:space="preserve"> geografia </w:t>
      </w:r>
      <w:r w:rsidR="00C77260" w:rsidRPr="00485F85">
        <w:rPr>
          <w:rFonts w:asciiTheme="majorHAnsi" w:hAnsiTheme="majorHAnsi" w:cstheme="majorHAnsi"/>
        </w:rPr>
        <w:t xml:space="preserve">também é um fator que a privilegia. A figura </w:t>
      </w:r>
      <w:r w:rsidR="006C4769" w:rsidRPr="00485F85">
        <w:rPr>
          <w:rFonts w:asciiTheme="majorHAnsi" w:hAnsiTheme="majorHAnsi" w:cstheme="majorHAnsi"/>
        </w:rPr>
        <w:t xml:space="preserve">5 </w:t>
      </w:r>
      <w:r w:rsidR="00C77260" w:rsidRPr="00485F85">
        <w:rPr>
          <w:rFonts w:asciiTheme="majorHAnsi" w:hAnsiTheme="majorHAnsi" w:cstheme="majorHAnsi"/>
        </w:rPr>
        <w:t>ilustra o contexto.</w:t>
      </w:r>
    </w:p>
    <w:p w14:paraId="28434D65" w14:textId="77777777" w:rsidR="00085A2B" w:rsidRPr="00485F85" w:rsidRDefault="00085A2B" w:rsidP="00C77260">
      <w:pPr>
        <w:spacing w:after="0" w:line="360" w:lineRule="auto"/>
        <w:jc w:val="both"/>
        <w:rPr>
          <w:rFonts w:asciiTheme="majorHAnsi" w:hAnsiTheme="majorHAnsi" w:cstheme="majorHAnsi"/>
        </w:rPr>
      </w:pPr>
    </w:p>
    <w:p w14:paraId="1282D641" w14:textId="4F0620D9" w:rsidR="00C77260" w:rsidRPr="00485F85" w:rsidRDefault="00C77260" w:rsidP="002E2FA2">
      <w:pPr>
        <w:spacing w:after="0" w:line="360" w:lineRule="auto"/>
        <w:jc w:val="both"/>
        <w:rPr>
          <w:rFonts w:asciiTheme="majorHAnsi" w:hAnsiTheme="majorHAnsi" w:cstheme="majorHAnsi"/>
        </w:rPr>
      </w:pPr>
      <w:r w:rsidRPr="00485F85">
        <w:rPr>
          <w:rFonts w:asciiTheme="majorHAnsi" w:hAnsiTheme="majorHAnsi" w:cstheme="majorHAnsi"/>
          <w:noProof/>
          <w:lang w:eastAsia="pt-BR"/>
        </w:rPr>
        <w:drawing>
          <wp:inline distT="0" distB="0" distL="0" distR="0" wp14:anchorId="3926F83A" wp14:editId="75F119C2">
            <wp:extent cx="6120130" cy="3594100"/>
            <wp:effectExtent l="0" t="0" r="0" b="6350"/>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120130" cy="3594100"/>
                    </a:xfrm>
                    <a:prstGeom prst="rect">
                      <a:avLst/>
                    </a:prstGeom>
                  </pic:spPr>
                </pic:pic>
              </a:graphicData>
            </a:graphic>
          </wp:inline>
        </w:drawing>
      </w:r>
    </w:p>
    <w:p w14:paraId="5809F666" w14:textId="6CC69848" w:rsidR="00C77260" w:rsidRPr="00485F85" w:rsidRDefault="00C77260" w:rsidP="00C77260">
      <w:pPr>
        <w:spacing w:after="0" w:line="360" w:lineRule="auto"/>
        <w:jc w:val="both"/>
        <w:rPr>
          <w:rFonts w:asciiTheme="majorHAnsi" w:hAnsiTheme="majorHAnsi" w:cstheme="majorHAnsi"/>
        </w:rPr>
      </w:pPr>
      <w:r w:rsidRPr="00485F85">
        <w:rPr>
          <w:rFonts w:asciiTheme="majorHAnsi" w:hAnsiTheme="majorHAnsi" w:cstheme="majorHAnsi"/>
        </w:rPr>
        <w:t xml:space="preserve">Figura 5 – Impacto geográfico da Universidade de Oxford </w:t>
      </w:r>
    </w:p>
    <w:p w14:paraId="113E97AD" w14:textId="1F2272DD" w:rsidR="00C77260" w:rsidRPr="00485F85" w:rsidRDefault="00C77260" w:rsidP="00C77260">
      <w:pPr>
        <w:spacing w:after="0" w:line="360" w:lineRule="auto"/>
        <w:jc w:val="both"/>
        <w:rPr>
          <w:rFonts w:asciiTheme="majorHAnsi" w:hAnsiTheme="majorHAnsi" w:cstheme="majorHAnsi"/>
        </w:rPr>
      </w:pPr>
      <w:r w:rsidRPr="00485F85">
        <w:rPr>
          <w:rFonts w:asciiTheme="majorHAnsi" w:hAnsiTheme="majorHAnsi" w:cstheme="majorHAnsi"/>
        </w:rPr>
        <w:t>Fonte: Autora</w:t>
      </w:r>
    </w:p>
    <w:p w14:paraId="11287D5E" w14:textId="77777777" w:rsidR="00C77260" w:rsidRPr="00485F85" w:rsidRDefault="00C77260" w:rsidP="002E2FA2">
      <w:pPr>
        <w:spacing w:after="0" w:line="360" w:lineRule="auto"/>
        <w:jc w:val="both"/>
        <w:rPr>
          <w:rFonts w:asciiTheme="majorHAnsi" w:hAnsiTheme="majorHAnsi" w:cstheme="majorHAnsi"/>
        </w:rPr>
      </w:pPr>
    </w:p>
    <w:p w14:paraId="3745DB5C" w14:textId="0DFD3796" w:rsidR="002E2FA2" w:rsidRPr="00485F85" w:rsidRDefault="002E2FA2" w:rsidP="002E2FA2">
      <w:pPr>
        <w:spacing w:after="0" w:line="360" w:lineRule="auto"/>
        <w:jc w:val="both"/>
        <w:rPr>
          <w:rFonts w:asciiTheme="majorHAnsi" w:hAnsiTheme="majorHAnsi" w:cstheme="majorHAnsi"/>
        </w:rPr>
      </w:pPr>
    </w:p>
    <w:p w14:paraId="464A1CD4" w14:textId="77777777" w:rsidR="002E2FA2" w:rsidRPr="00485F85" w:rsidRDefault="002E2FA2" w:rsidP="002E2FA2">
      <w:pPr>
        <w:spacing w:after="0" w:line="360" w:lineRule="auto"/>
        <w:jc w:val="both"/>
        <w:rPr>
          <w:rFonts w:asciiTheme="majorHAnsi" w:hAnsiTheme="majorHAnsi" w:cstheme="majorHAnsi"/>
        </w:rPr>
      </w:pPr>
    </w:p>
    <w:p w14:paraId="4DD9A447" w14:textId="77777777" w:rsidR="00673347" w:rsidRPr="00485F85" w:rsidRDefault="002E2FA2"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Para </w:t>
      </w:r>
      <w:r w:rsidR="00673347" w:rsidRPr="00485F85">
        <w:rPr>
          <w:rFonts w:asciiTheme="majorHAnsi" w:hAnsiTheme="majorHAnsi" w:cstheme="majorHAnsi"/>
        </w:rPr>
        <w:t xml:space="preserve">entender o seu impacto acadêmico e sua influência nas pesquisas internacionais </w:t>
      </w:r>
      <w:r w:rsidRPr="00485F85">
        <w:rPr>
          <w:rFonts w:asciiTheme="majorHAnsi" w:hAnsiTheme="majorHAnsi" w:cstheme="majorHAnsi"/>
        </w:rPr>
        <w:t>foi realizada uma pesquisa na</w:t>
      </w:r>
      <w:r w:rsidR="00673347" w:rsidRPr="00485F85">
        <w:rPr>
          <w:rFonts w:asciiTheme="majorHAnsi" w:hAnsiTheme="majorHAnsi" w:cstheme="majorHAnsi"/>
        </w:rPr>
        <w:t>s bases</w:t>
      </w:r>
      <w:r w:rsidRPr="00485F85">
        <w:rPr>
          <w:rFonts w:asciiTheme="majorHAnsi" w:hAnsiTheme="majorHAnsi" w:cstheme="majorHAnsi"/>
        </w:rPr>
        <w:t xml:space="preserve"> </w:t>
      </w:r>
      <w:r w:rsidR="00673347" w:rsidRPr="00485F85">
        <w:rPr>
          <w:rFonts w:asciiTheme="majorHAnsi" w:hAnsiTheme="majorHAnsi" w:cstheme="majorHAnsi"/>
          <w:i/>
          <w:iCs/>
        </w:rPr>
        <w:t>S</w:t>
      </w:r>
      <w:r w:rsidRPr="00485F85">
        <w:rPr>
          <w:rFonts w:asciiTheme="majorHAnsi" w:hAnsiTheme="majorHAnsi" w:cstheme="majorHAnsi"/>
          <w:i/>
          <w:iCs/>
        </w:rPr>
        <w:t>copus</w:t>
      </w:r>
      <w:r w:rsidR="00673347" w:rsidRPr="00485F85">
        <w:rPr>
          <w:rFonts w:asciiTheme="majorHAnsi" w:hAnsiTheme="majorHAnsi" w:cstheme="majorHAnsi"/>
        </w:rPr>
        <w:t xml:space="preserve"> e </w:t>
      </w:r>
      <w:r w:rsidR="00673347" w:rsidRPr="00485F85">
        <w:rPr>
          <w:rFonts w:asciiTheme="majorHAnsi" w:hAnsiTheme="majorHAnsi" w:cstheme="majorHAnsi"/>
          <w:i/>
          <w:iCs/>
        </w:rPr>
        <w:t>Web Of Science</w:t>
      </w:r>
      <w:r w:rsidRPr="00485F85">
        <w:rPr>
          <w:rFonts w:asciiTheme="majorHAnsi" w:hAnsiTheme="majorHAnsi" w:cstheme="majorHAnsi"/>
        </w:rPr>
        <w:t xml:space="preserve"> na qual foi possível observar que as áreas de Medicina, </w:t>
      </w:r>
      <w:r w:rsidRPr="00485F85">
        <w:rPr>
          <w:rFonts w:asciiTheme="majorHAnsi" w:hAnsiTheme="majorHAnsi" w:cstheme="majorHAnsi"/>
        </w:rPr>
        <w:lastRenderedPageBreak/>
        <w:t>seguidas de Física e Astronomia e Bioq</w:t>
      </w:r>
      <w:r w:rsidR="00673347" w:rsidRPr="00485F85">
        <w:rPr>
          <w:rFonts w:asciiTheme="majorHAnsi" w:hAnsiTheme="majorHAnsi" w:cstheme="majorHAnsi"/>
        </w:rPr>
        <w:t>u</w:t>
      </w:r>
      <w:r w:rsidRPr="00485F85">
        <w:rPr>
          <w:rFonts w:asciiTheme="majorHAnsi" w:hAnsiTheme="majorHAnsi" w:cstheme="majorHAnsi"/>
        </w:rPr>
        <w:t xml:space="preserve">ímica, Genética e Biologia Molecular são suas áreas de maior impacto acadêmico. </w:t>
      </w:r>
    </w:p>
    <w:p w14:paraId="582A52F6" w14:textId="40F3D807" w:rsidR="002E2FA2" w:rsidRPr="00485F85" w:rsidRDefault="00673347" w:rsidP="00485F85">
      <w:pPr>
        <w:spacing w:line="276" w:lineRule="auto"/>
        <w:ind w:firstLine="709"/>
        <w:jc w:val="both"/>
        <w:rPr>
          <w:rFonts w:asciiTheme="majorHAnsi" w:hAnsiTheme="majorHAnsi" w:cstheme="majorHAnsi"/>
        </w:rPr>
      </w:pPr>
      <w:r w:rsidRPr="00485F85">
        <w:rPr>
          <w:rFonts w:asciiTheme="majorHAnsi" w:hAnsiTheme="majorHAnsi" w:cstheme="majorHAnsi"/>
        </w:rPr>
        <w:t>A força científica a partir de suas Divisões Acadêmicas poderia</w:t>
      </w:r>
      <w:r w:rsidR="002E2FA2" w:rsidRPr="00485F85">
        <w:rPr>
          <w:rFonts w:asciiTheme="majorHAnsi" w:hAnsiTheme="majorHAnsi" w:cstheme="majorHAnsi"/>
        </w:rPr>
        <w:t xml:space="preserve"> ser assim </w:t>
      </w:r>
      <w:r w:rsidR="003D3978" w:rsidRPr="00485F85">
        <w:rPr>
          <w:rFonts w:asciiTheme="majorHAnsi" w:hAnsiTheme="majorHAnsi" w:cstheme="majorHAnsi"/>
        </w:rPr>
        <w:t>classificada</w:t>
      </w:r>
      <w:r w:rsidRPr="00485F85">
        <w:rPr>
          <w:rFonts w:asciiTheme="majorHAnsi" w:hAnsiTheme="majorHAnsi" w:cstheme="majorHAnsi"/>
        </w:rPr>
        <w:t xml:space="preserve"> de acordo com as bases internacionais verificadas e podem ser checadas nos (ANEXOS 1 e 2)</w:t>
      </w:r>
      <w:r w:rsidR="002E2FA2" w:rsidRPr="00485F85">
        <w:rPr>
          <w:rFonts w:asciiTheme="majorHAnsi" w:hAnsiTheme="majorHAnsi" w:cstheme="majorHAnsi"/>
        </w:rPr>
        <w:t>:</w:t>
      </w:r>
    </w:p>
    <w:p w14:paraId="32449B13" w14:textId="6CA5D681" w:rsidR="00673347" w:rsidRPr="00485F85" w:rsidRDefault="00673347" w:rsidP="00485F85">
      <w:pPr>
        <w:spacing w:line="276" w:lineRule="auto"/>
        <w:ind w:firstLine="709"/>
        <w:jc w:val="both"/>
        <w:rPr>
          <w:rFonts w:asciiTheme="majorHAnsi" w:hAnsiTheme="majorHAnsi" w:cstheme="majorHAnsi"/>
          <w:lang w:val="es-ES"/>
        </w:rPr>
      </w:pPr>
      <w:r w:rsidRPr="00485F85">
        <w:rPr>
          <w:rFonts w:asciiTheme="majorHAnsi" w:hAnsiTheme="majorHAnsi" w:cstheme="majorHAnsi"/>
          <w:lang w:val="es-ES"/>
        </w:rPr>
        <w:t>1 - Medical Sciences Division</w:t>
      </w:r>
    </w:p>
    <w:p w14:paraId="459ADDE7" w14:textId="502D1C4C" w:rsidR="00673347" w:rsidRPr="00485F85" w:rsidRDefault="00673347" w:rsidP="00485F85">
      <w:pPr>
        <w:spacing w:line="276" w:lineRule="auto"/>
        <w:ind w:firstLine="709"/>
        <w:jc w:val="both"/>
        <w:rPr>
          <w:rFonts w:asciiTheme="majorHAnsi" w:hAnsiTheme="majorHAnsi" w:cstheme="majorHAnsi"/>
          <w:lang w:val="es-ES"/>
        </w:rPr>
      </w:pPr>
      <w:r w:rsidRPr="00485F85">
        <w:rPr>
          <w:rFonts w:asciiTheme="majorHAnsi" w:hAnsiTheme="majorHAnsi" w:cstheme="majorHAnsi"/>
          <w:lang w:val="es-ES"/>
        </w:rPr>
        <w:t>2 - Social Sciences Division</w:t>
      </w:r>
    </w:p>
    <w:p w14:paraId="1C2C4559" w14:textId="43A07EAF" w:rsidR="00673347" w:rsidRPr="00485F85" w:rsidRDefault="00673347" w:rsidP="00485F85">
      <w:pPr>
        <w:spacing w:line="276" w:lineRule="auto"/>
        <w:ind w:firstLine="709"/>
        <w:jc w:val="both"/>
        <w:rPr>
          <w:rFonts w:asciiTheme="majorHAnsi" w:hAnsiTheme="majorHAnsi" w:cstheme="majorHAnsi"/>
          <w:lang w:val="en-GB"/>
        </w:rPr>
      </w:pPr>
      <w:r w:rsidRPr="00485F85">
        <w:rPr>
          <w:rFonts w:asciiTheme="majorHAnsi" w:hAnsiTheme="majorHAnsi" w:cstheme="majorHAnsi"/>
          <w:lang w:val="en-GB"/>
        </w:rPr>
        <w:t>3 - Mathematical, Physical and Life Sciences Division</w:t>
      </w:r>
    </w:p>
    <w:p w14:paraId="36BF238D" w14:textId="2E483511" w:rsidR="002E2FA2" w:rsidRPr="00485F85" w:rsidRDefault="00673347"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4 - </w:t>
      </w:r>
      <w:r w:rsidR="002E2FA2" w:rsidRPr="00485F85">
        <w:rPr>
          <w:rFonts w:asciiTheme="majorHAnsi" w:hAnsiTheme="majorHAnsi" w:cstheme="majorHAnsi"/>
        </w:rPr>
        <w:t>Humanities Division</w:t>
      </w:r>
    </w:p>
    <w:p w14:paraId="4D4CA72F" w14:textId="2AA02857" w:rsidR="0006609D" w:rsidRPr="00485F85" w:rsidRDefault="0006609D"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Sobre as condições de operação da Universidade, observou-se que </w:t>
      </w:r>
      <w:r w:rsidR="00885B54" w:rsidRPr="00485F85">
        <w:rPr>
          <w:rFonts w:asciiTheme="majorHAnsi" w:hAnsiTheme="majorHAnsi" w:cstheme="majorHAnsi"/>
        </w:rPr>
        <w:t>a</w:t>
      </w:r>
      <w:r w:rsidRPr="00485F85">
        <w:rPr>
          <w:rFonts w:asciiTheme="majorHAnsi" w:hAnsiTheme="majorHAnsi" w:cstheme="majorHAnsi"/>
        </w:rPr>
        <w:t xml:space="preserve"> quantidade de pessoas, equipamentos, condições físicas e tecnológicas são suficientes para que </w:t>
      </w:r>
      <w:r w:rsidR="006C4769" w:rsidRPr="00485F85">
        <w:rPr>
          <w:rFonts w:asciiTheme="majorHAnsi" w:hAnsiTheme="majorHAnsi" w:cstheme="majorHAnsi"/>
        </w:rPr>
        <w:t>Oxford</w:t>
      </w:r>
      <w:r w:rsidRPr="00485F85">
        <w:rPr>
          <w:rFonts w:asciiTheme="majorHAnsi" w:hAnsiTheme="majorHAnsi" w:cstheme="majorHAnsi"/>
        </w:rPr>
        <w:t xml:space="preserve"> possa entregar seus serviços de educação, pesquisa e extensão de classe mundial. </w:t>
      </w:r>
    </w:p>
    <w:p w14:paraId="7DD2C74C" w14:textId="5BD16EDD" w:rsidR="00673347" w:rsidRPr="00485F85" w:rsidRDefault="00673347"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O seu perfil de liderança é múltiplo e participativo, uma vez que a Universidade se organiza a partir de comitês e diversos outros representantes que apoiam o </w:t>
      </w:r>
      <w:r w:rsidR="006C4769" w:rsidRPr="00485F85">
        <w:rPr>
          <w:rFonts w:asciiTheme="majorHAnsi" w:hAnsiTheme="majorHAnsi" w:cstheme="majorHAnsi"/>
        </w:rPr>
        <w:t xml:space="preserve">seu </w:t>
      </w:r>
      <w:r w:rsidRPr="00485F85">
        <w:rPr>
          <w:rFonts w:asciiTheme="majorHAnsi" w:hAnsiTheme="majorHAnsi" w:cstheme="majorHAnsi"/>
        </w:rPr>
        <w:t xml:space="preserve">Conselho Central, mantendo-os informados e ao mesmo tempo conseguindo tomar decisões mais rápidas e condizentes com as realidades de seus </w:t>
      </w:r>
      <w:r w:rsidRPr="00485F85">
        <w:rPr>
          <w:rFonts w:asciiTheme="majorHAnsi" w:hAnsiTheme="majorHAnsi" w:cstheme="majorHAnsi"/>
          <w:i/>
          <w:iCs/>
        </w:rPr>
        <w:t>Colleges</w:t>
      </w:r>
      <w:r w:rsidRPr="00485F85">
        <w:rPr>
          <w:rFonts w:asciiTheme="majorHAnsi" w:hAnsiTheme="majorHAnsi" w:cstheme="majorHAnsi"/>
        </w:rPr>
        <w:t>, Departamentos ou Divisões Acadêmicas.</w:t>
      </w:r>
    </w:p>
    <w:p w14:paraId="4BD122EE" w14:textId="169303C8" w:rsidR="00673347" w:rsidRPr="00485F85" w:rsidRDefault="00673347"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 legislação que regulamenta a Universidade é antiga e emendada. Seus </w:t>
      </w:r>
      <w:r w:rsidRPr="00485F85">
        <w:rPr>
          <w:rFonts w:asciiTheme="majorHAnsi" w:hAnsiTheme="majorHAnsi" w:cstheme="majorHAnsi"/>
          <w:i/>
          <w:iCs/>
        </w:rPr>
        <w:t>Colleges</w:t>
      </w:r>
      <w:r w:rsidRPr="00485F85">
        <w:rPr>
          <w:rFonts w:asciiTheme="majorHAnsi" w:hAnsiTheme="majorHAnsi" w:cstheme="majorHAnsi"/>
        </w:rPr>
        <w:t xml:space="preserve"> possuem cartas de fundação e operação distintas, mas sempre alinhadas com o </w:t>
      </w:r>
      <w:r w:rsidR="00085A2B" w:rsidRPr="00485F85">
        <w:rPr>
          <w:rFonts w:asciiTheme="majorHAnsi" w:hAnsiTheme="majorHAnsi" w:cstheme="majorHAnsi"/>
        </w:rPr>
        <w:t xml:space="preserve">que a Universidade costuma chamar de </w:t>
      </w:r>
      <w:r w:rsidR="00885B54" w:rsidRPr="00485F85">
        <w:rPr>
          <w:rFonts w:asciiTheme="majorHAnsi" w:hAnsiTheme="majorHAnsi" w:cstheme="majorHAnsi"/>
        </w:rPr>
        <w:t>Federação</w:t>
      </w:r>
      <w:r w:rsidR="00085A2B" w:rsidRPr="00485F85">
        <w:rPr>
          <w:rFonts w:asciiTheme="majorHAnsi" w:hAnsiTheme="majorHAnsi" w:cstheme="majorHAnsi"/>
        </w:rPr>
        <w:t xml:space="preserve"> (</w:t>
      </w:r>
      <w:r w:rsidR="006C4769" w:rsidRPr="00485F85">
        <w:rPr>
          <w:rFonts w:asciiTheme="majorHAnsi" w:hAnsiTheme="majorHAnsi" w:cstheme="majorHAnsi"/>
        </w:rPr>
        <w:t>a</w:t>
      </w:r>
      <w:r w:rsidR="00085A2B" w:rsidRPr="00485F85">
        <w:rPr>
          <w:rFonts w:asciiTheme="majorHAnsi" w:hAnsiTheme="majorHAnsi" w:cstheme="majorHAnsi"/>
        </w:rPr>
        <w:t xml:space="preserve"> Universidade de Oxford Central). Contudo, seus documentos históricos de fundação não impediram a construção de um estatuto geral contemporâneo que mantêm os alinhamentos necessários e as diretrizes principais.</w:t>
      </w:r>
    </w:p>
    <w:p w14:paraId="3A8E2B38" w14:textId="2104C6E1" w:rsidR="00085A2B" w:rsidRPr="00485F85" w:rsidRDefault="00085A2B" w:rsidP="00485F85">
      <w:pPr>
        <w:spacing w:line="276" w:lineRule="auto"/>
        <w:ind w:firstLine="709"/>
        <w:jc w:val="both"/>
        <w:rPr>
          <w:rFonts w:asciiTheme="majorHAnsi" w:hAnsiTheme="majorHAnsi" w:cstheme="majorHAnsi"/>
        </w:rPr>
      </w:pPr>
      <w:r w:rsidRPr="00485F85">
        <w:rPr>
          <w:rFonts w:asciiTheme="majorHAnsi" w:hAnsiTheme="majorHAnsi" w:cstheme="majorHAnsi"/>
        </w:rPr>
        <w:t>Sua configuração geográfica no condado de Oxfordshire é um ponto de atenção. Por possuir prédios espalhados por todos os 46km2 de extensão, a princípio pode-se parecer que a Universidade não possui uma unidade. Porém é possível observar um cuidado peculiar da administração quanto a isso uma vez que há um escritório de infraestrutura para manter a conservação dos prédios centralizadas</w:t>
      </w:r>
      <w:r w:rsidR="006C4769" w:rsidRPr="00485F85">
        <w:rPr>
          <w:rFonts w:asciiTheme="majorHAnsi" w:hAnsiTheme="majorHAnsi" w:cstheme="majorHAnsi"/>
        </w:rPr>
        <w:t>,</w:t>
      </w:r>
      <w:r w:rsidRPr="00485F85">
        <w:rPr>
          <w:rFonts w:asciiTheme="majorHAnsi" w:hAnsiTheme="majorHAnsi" w:cstheme="majorHAnsi"/>
        </w:rPr>
        <w:t xml:space="preserve"> além de planejamentos arquitetônicos sempre com o foco de mitigar essa fragilidade de possuir diversos prédios espalhados.</w:t>
      </w:r>
    </w:p>
    <w:p w14:paraId="0F7733CA" w14:textId="10C08B1B" w:rsidR="00251233" w:rsidRPr="00485F85" w:rsidRDefault="00251233"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 </w:t>
      </w:r>
      <w:r w:rsidR="00085A2B" w:rsidRPr="00485F85">
        <w:rPr>
          <w:rFonts w:asciiTheme="majorHAnsi" w:hAnsiTheme="majorHAnsi" w:cstheme="majorHAnsi"/>
        </w:rPr>
        <w:t xml:space="preserve">necessidade constante da construção e cuidado com suas edificações chama a atenção.  Em seu site a Universidade </w:t>
      </w:r>
      <w:r w:rsidRPr="00485F85">
        <w:rPr>
          <w:rFonts w:asciiTheme="majorHAnsi" w:hAnsiTheme="majorHAnsi" w:cstheme="majorHAnsi"/>
        </w:rPr>
        <w:t xml:space="preserve">coloca esse aspecto como a sua visão de futuro e argumenta que o seu objetivo é fornecer aos funcionários e alunos instalações de última geração em um ambiente inspirador e histórico, para melhorar as oportunidades de trabalho interdisciplinar e minimizar </w:t>
      </w:r>
      <w:r w:rsidR="006C4769" w:rsidRPr="00485F85">
        <w:rPr>
          <w:rFonts w:asciiTheme="majorHAnsi" w:hAnsiTheme="majorHAnsi" w:cstheme="majorHAnsi"/>
        </w:rPr>
        <w:t>o</w:t>
      </w:r>
      <w:r w:rsidRPr="00485F85">
        <w:rPr>
          <w:rFonts w:asciiTheme="majorHAnsi" w:hAnsiTheme="majorHAnsi" w:cstheme="majorHAnsi"/>
        </w:rPr>
        <w:t xml:space="preserve"> impacto ambiental.</w:t>
      </w:r>
    </w:p>
    <w:p w14:paraId="6B0A7990" w14:textId="1E5DF975" w:rsidR="00251233" w:rsidRPr="00485F85" w:rsidRDefault="00251233" w:rsidP="00485F85">
      <w:pPr>
        <w:spacing w:line="276" w:lineRule="auto"/>
        <w:ind w:firstLine="709"/>
        <w:jc w:val="both"/>
        <w:rPr>
          <w:rFonts w:asciiTheme="majorHAnsi" w:hAnsiTheme="majorHAnsi" w:cstheme="majorHAnsi"/>
        </w:rPr>
      </w:pPr>
      <w:r w:rsidRPr="00485F85">
        <w:rPr>
          <w:rFonts w:asciiTheme="majorHAnsi" w:hAnsiTheme="majorHAnsi" w:cstheme="majorHAnsi"/>
        </w:rPr>
        <w:t>Ainda nessa perspectiva, se preocupa especialmente com prédios de</w:t>
      </w:r>
      <w:r w:rsidR="006C4769" w:rsidRPr="00485F85">
        <w:rPr>
          <w:rFonts w:asciiTheme="majorHAnsi" w:hAnsiTheme="majorHAnsi" w:cstheme="majorHAnsi"/>
        </w:rPr>
        <w:t xml:space="preserve"> Inovação e H</w:t>
      </w:r>
      <w:r w:rsidRPr="00485F85">
        <w:rPr>
          <w:rFonts w:asciiTheme="majorHAnsi" w:hAnsiTheme="majorHAnsi" w:cstheme="majorHAnsi"/>
        </w:rPr>
        <w:t>abitação, já que possui um grupo representativo de estudantes e funcionários estrangeiros</w:t>
      </w:r>
      <w:r w:rsidR="006C4769" w:rsidRPr="00485F85">
        <w:rPr>
          <w:rFonts w:asciiTheme="majorHAnsi" w:hAnsiTheme="majorHAnsi" w:cstheme="majorHAnsi"/>
        </w:rPr>
        <w:t xml:space="preserve">. </w:t>
      </w:r>
      <w:r w:rsidRPr="00485F85">
        <w:rPr>
          <w:rFonts w:asciiTheme="majorHAnsi" w:hAnsiTheme="majorHAnsi" w:cstheme="majorHAnsi"/>
        </w:rPr>
        <w:t xml:space="preserve">Em junho de 2019, o vice-reitor anunciou uma nova parceria importante para a Universidade com o </w:t>
      </w:r>
      <w:r w:rsidRPr="00485F85">
        <w:rPr>
          <w:rFonts w:asciiTheme="majorHAnsi" w:hAnsiTheme="majorHAnsi" w:cstheme="majorHAnsi"/>
          <w:i/>
          <w:iCs/>
        </w:rPr>
        <w:t>Legal &amp; General Group plc</w:t>
      </w:r>
      <w:r w:rsidRPr="00485F85">
        <w:rPr>
          <w:rFonts w:asciiTheme="majorHAnsi" w:hAnsiTheme="majorHAnsi" w:cstheme="majorHAnsi"/>
        </w:rPr>
        <w:t xml:space="preserve">, permitindo que Oxford avançasse com seus compromissos de lidar com o alto custo de acomodação para funcionários e alunos e desenvolver distritos de inovação. Ambos </w:t>
      </w:r>
      <w:r w:rsidR="006C4769" w:rsidRPr="00485F85">
        <w:rPr>
          <w:rFonts w:asciiTheme="majorHAnsi" w:hAnsiTheme="majorHAnsi" w:cstheme="majorHAnsi"/>
        </w:rPr>
        <w:t>figuram entre os</w:t>
      </w:r>
      <w:r w:rsidRPr="00485F85">
        <w:rPr>
          <w:rFonts w:asciiTheme="majorHAnsi" w:hAnsiTheme="majorHAnsi" w:cstheme="majorHAnsi"/>
        </w:rPr>
        <w:t xml:space="preserve"> objetivos principais do atual Plano Estratégico de cinco anos da Universidade.</w:t>
      </w:r>
    </w:p>
    <w:p w14:paraId="7383CEA1" w14:textId="77777777" w:rsidR="00251233" w:rsidRPr="00485F85" w:rsidRDefault="00251233" w:rsidP="00485F85">
      <w:pPr>
        <w:spacing w:line="276" w:lineRule="auto"/>
        <w:ind w:firstLine="709"/>
        <w:jc w:val="both"/>
        <w:rPr>
          <w:rFonts w:asciiTheme="majorHAnsi" w:hAnsiTheme="majorHAnsi" w:cstheme="majorHAnsi"/>
        </w:rPr>
      </w:pPr>
    </w:p>
    <w:p w14:paraId="2844B9C0" w14:textId="3019D44E" w:rsidR="002E2FA2" w:rsidRPr="00485F85" w:rsidRDefault="00251233" w:rsidP="00485F85">
      <w:pPr>
        <w:spacing w:line="276" w:lineRule="auto"/>
        <w:ind w:firstLine="709"/>
        <w:jc w:val="both"/>
        <w:rPr>
          <w:rFonts w:asciiTheme="majorHAnsi" w:hAnsiTheme="majorHAnsi" w:cstheme="majorHAnsi"/>
        </w:rPr>
      </w:pPr>
      <w:r w:rsidRPr="00485F85">
        <w:rPr>
          <w:rFonts w:asciiTheme="majorHAnsi" w:hAnsiTheme="majorHAnsi" w:cstheme="majorHAnsi"/>
        </w:rPr>
        <w:lastRenderedPageBreak/>
        <w:t xml:space="preserve">Ressalta </w:t>
      </w:r>
      <w:r w:rsidR="006C4769" w:rsidRPr="00485F85">
        <w:rPr>
          <w:rFonts w:asciiTheme="majorHAnsi" w:hAnsiTheme="majorHAnsi" w:cstheme="majorHAnsi"/>
        </w:rPr>
        <w:t xml:space="preserve">ainda </w:t>
      </w:r>
      <w:r w:rsidRPr="00485F85">
        <w:rPr>
          <w:rFonts w:asciiTheme="majorHAnsi" w:hAnsiTheme="majorHAnsi" w:cstheme="majorHAnsi"/>
        </w:rPr>
        <w:t>que para apoiar este investimento, possui em média 80 projetos de construção e remodelação em curso ao mesmo tempo, com uma despesa anual superior a £ 100 milhões</w:t>
      </w:r>
      <w:r w:rsidR="006C4769" w:rsidRPr="00485F85">
        <w:rPr>
          <w:rFonts w:asciiTheme="majorHAnsi" w:hAnsiTheme="majorHAnsi" w:cstheme="majorHAnsi"/>
        </w:rPr>
        <w:t>,</w:t>
      </w:r>
      <w:r w:rsidRPr="00485F85">
        <w:rPr>
          <w:rFonts w:asciiTheme="majorHAnsi" w:hAnsiTheme="majorHAnsi" w:cstheme="majorHAnsi"/>
        </w:rPr>
        <w:t xml:space="preserve"> e aponta que</w:t>
      </w:r>
      <w:r w:rsidR="00885B54" w:rsidRPr="00485F85">
        <w:rPr>
          <w:rFonts w:asciiTheme="majorHAnsi" w:hAnsiTheme="majorHAnsi" w:cstheme="majorHAnsi"/>
        </w:rPr>
        <w:t xml:space="preserve"> o</w:t>
      </w:r>
      <w:r w:rsidRPr="00485F85">
        <w:rPr>
          <w:rFonts w:asciiTheme="majorHAnsi" w:hAnsiTheme="majorHAnsi" w:cstheme="majorHAnsi"/>
        </w:rPr>
        <w:t xml:space="preserve"> custo é coberto por uma combinação de fundos universitários, subsídios e iniciativas governamentais e doações.</w:t>
      </w:r>
    </w:p>
    <w:p w14:paraId="7AC68284" w14:textId="467C2894" w:rsidR="003D3978" w:rsidRPr="00485F85" w:rsidRDefault="007F6C69"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Historicamente Oxford sempre admitiu homens brancos. Mas observou-se atualmente que esse cenário vem mudando e a presença de mulheres, alunos da maturidade, </w:t>
      </w:r>
      <w:r w:rsidR="003D3978" w:rsidRPr="00485F85">
        <w:rPr>
          <w:rFonts w:asciiTheme="majorHAnsi" w:hAnsiTheme="majorHAnsi" w:cstheme="majorHAnsi"/>
        </w:rPr>
        <w:t xml:space="preserve">estrangeiros, </w:t>
      </w:r>
      <w:r w:rsidRPr="00485F85">
        <w:rPr>
          <w:rFonts w:asciiTheme="majorHAnsi" w:hAnsiTheme="majorHAnsi" w:cstheme="majorHAnsi"/>
        </w:rPr>
        <w:t>BMEs, socioeconomicamente desfavoráveis e deficientes estão sob o foco de atenção da Universidade. Interessante perceber que seus resultados de inclusão são animadores acompanhando-se sua linha do tempo ainda que a Universidade não complete a totalidade de vagas disponíveis em suas temporadas de admissões. Com um processo amplo e bastante competitivo de ingresso, composto por documentos que comprovam a trajetória escolar do aluno, cartas de recomendação e entrevistas, a Universidade seleciona apenas estudantes com alta performance.</w:t>
      </w:r>
      <w:r w:rsidR="003D3978" w:rsidRPr="00485F85">
        <w:rPr>
          <w:rFonts w:asciiTheme="majorHAnsi" w:hAnsiTheme="majorHAnsi" w:cstheme="majorHAnsi"/>
        </w:rPr>
        <w:t xml:space="preserve"> Premissa que no contexto brasileiro precisa ser melhor avaliada tendo em vista o papel social das Universidades no país.</w:t>
      </w:r>
    </w:p>
    <w:p w14:paraId="361F1B9F" w14:textId="433A79D6" w:rsidR="003D3978" w:rsidRPr="00485F85" w:rsidRDefault="003D3978" w:rsidP="00485F85">
      <w:pPr>
        <w:spacing w:line="276" w:lineRule="auto"/>
        <w:ind w:firstLine="709"/>
        <w:jc w:val="both"/>
        <w:rPr>
          <w:rFonts w:asciiTheme="majorHAnsi" w:hAnsiTheme="majorHAnsi" w:cstheme="majorHAnsi"/>
        </w:rPr>
      </w:pPr>
      <w:r w:rsidRPr="00485F85">
        <w:rPr>
          <w:rFonts w:asciiTheme="majorHAnsi" w:hAnsiTheme="majorHAnsi" w:cstheme="majorHAnsi"/>
        </w:rPr>
        <w:t>Com um sistema de Bolsas de estudos e financiamentos impecáveis</w:t>
      </w:r>
      <w:r w:rsidR="00885B54" w:rsidRPr="00485F85">
        <w:rPr>
          <w:rFonts w:asciiTheme="majorHAnsi" w:hAnsiTheme="majorHAnsi" w:cstheme="majorHAnsi"/>
        </w:rPr>
        <w:t xml:space="preserve">, </w:t>
      </w:r>
      <w:r w:rsidRPr="00485F85">
        <w:rPr>
          <w:rFonts w:asciiTheme="majorHAnsi" w:hAnsiTheme="majorHAnsi" w:cstheme="majorHAnsi"/>
        </w:rPr>
        <w:t xml:space="preserve">a Universidade distribui bolsas integrais e parciais para alunos estrangeiros e residentes do Reino Unido. Uma política que precisa de um investimento robusto e que </w:t>
      </w:r>
      <w:r w:rsidR="006C4769" w:rsidRPr="00485F85">
        <w:rPr>
          <w:rFonts w:asciiTheme="majorHAnsi" w:hAnsiTheme="majorHAnsi" w:cstheme="majorHAnsi"/>
        </w:rPr>
        <w:t>necessitaria</w:t>
      </w:r>
      <w:r w:rsidRPr="00485F85">
        <w:rPr>
          <w:rFonts w:asciiTheme="majorHAnsi" w:hAnsiTheme="majorHAnsi" w:cstheme="majorHAnsi"/>
        </w:rPr>
        <w:t xml:space="preserve"> ser </w:t>
      </w:r>
      <w:r w:rsidR="00885B54" w:rsidRPr="00485F85">
        <w:rPr>
          <w:rFonts w:asciiTheme="majorHAnsi" w:hAnsiTheme="majorHAnsi" w:cstheme="majorHAnsi"/>
        </w:rPr>
        <w:t>mais bem</w:t>
      </w:r>
      <w:r w:rsidRPr="00485F85">
        <w:rPr>
          <w:rFonts w:asciiTheme="majorHAnsi" w:hAnsiTheme="majorHAnsi" w:cstheme="majorHAnsi"/>
        </w:rPr>
        <w:t xml:space="preserve"> avaliad</w:t>
      </w:r>
      <w:r w:rsidR="006C4769" w:rsidRPr="00485F85">
        <w:rPr>
          <w:rFonts w:asciiTheme="majorHAnsi" w:hAnsiTheme="majorHAnsi" w:cstheme="majorHAnsi"/>
        </w:rPr>
        <w:t>a</w:t>
      </w:r>
      <w:r w:rsidRPr="00485F85">
        <w:rPr>
          <w:rFonts w:asciiTheme="majorHAnsi" w:hAnsiTheme="majorHAnsi" w:cstheme="majorHAnsi"/>
        </w:rPr>
        <w:t xml:space="preserve"> no contexto brasileiro. </w:t>
      </w:r>
    </w:p>
    <w:p w14:paraId="2214A07F" w14:textId="7FBE22BA" w:rsidR="003D3978" w:rsidRPr="00485F85" w:rsidRDefault="003D3978"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Nesse sentido, Oxford nos ensina diversas formas de ampliar sua receita não dependendo exclusivamente do </w:t>
      </w:r>
      <w:r w:rsidR="006C4769" w:rsidRPr="00485F85">
        <w:rPr>
          <w:rFonts w:asciiTheme="majorHAnsi" w:hAnsiTheme="majorHAnsi" w:cstheme="majorHAnsi"/>
        </w:rPr>
        <w:t>E</w:t>
      </w:r>
      <w:r w:rsidRPr="00485F85">
        <w:rPr>
          <w:rFonts w:asciiTheme="majorHAnsi" w:hAnsiTheme="majorHAnsi" w:cstheme="majorHAnsi"/>
        </w:rPr>
        <w:t xml:space="preserve">stado para conseguir manter suas finanças em dia. </w:t>
      </w:r>
      <w:r w:rsidR="006C4769" w:rsidRPr="00485F85">
        <w:rPr>
          <w:rFonts w:asciiTheme="majorHAnsi" w:hAnsiTheme="majorHAnsi" w:cstheme="majorHAnsi"/>
        </w:rPr>
        <w:t xml:space="preserve">Ela </w:t>
      </w:r>
      <w:r w:rsidRPr="00485F85">
        <w:rPr>
          <w:rFonts w:asciiTheme="majorHAnsi" w:hAnsiTheme="majorHAnsi" w:cstheme="majorHAnsi"/>
        </w:rPr>
        <w:t xml:space="preserve">possui um escritório de desenvolvimento responsável por captar doações de benfeitores e empresas interessadas em responsabilidade social. </w:t>
      </w:r>
    </w:p>
    <w:p w14:paraId="6B8744C6" w14:textId="26166BB0" w:rsidR="003D3978" w:rsidRPr="00485F85" w:rsidRDefault="003D3978"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As parcerias para projetos de pesquisas também são uma outra forma de se conseguir capital. Ambientes de empreendedorismo e inovação são incentivados por meio da </w:t>
      </w:r>
      <w:r w:rsidR="006C4769" w:rsidRPr="00485F85">
        <w:rPr>
          <w:rFonts w:asciiTheme="majorHAnsi" w:hAnsiTheme="majorHAnsi" w:cstheme="majorHAnsi"/>
        </w:rPr>
        <w:t xml:space="preserve">“The Oxford Foundry” </w:t>
      </w:r>
      <w:r w:rsidRPr="00485F85">
        <w:rPr>
          <w:rFonts w:asciiTheme="majorHAnsi" w:hAnsiTheme="majorHAnsi" w:cstheme="majorHAnsi"/>
        </w:rPr>
        <w:t xml:space="preserve">e da </w:t>
      </w:r>
      <w:r w:rsidR="006C4769" w:rsidRPr="00485F85">
        <w:rPr>
          <w:rFonts w:asciiTheme="majorHAnsi" w:hAnsiTheme="majorHAnsi" w:cstheme="majorHAnsi"/>
        </w:rPr>
        <w:t>“Oxford University Innovation”</w:t>
      </w:r>
      <w:r w:rsidRPr="00485F85">
        <w:rPr>
          <w:rFonts w:asciiTheme="majorHAnsi" w:hAnsiTheme="majorHAnsi" w:cstheme="majorHAnsi"/>
        </w:rPr>
        <w:t>. Empresas locais, nacionais e internacionais fazem parte desse ecossistema inovador revelando a importância de se manter a relações com a comunidade. Essa simbiose reflete na empregabilidade e desenvolvimento local enquanto capacita e especializa os alunos da universidade.</w:t>
      </w:r>
    </w:p>
    <w:p w14:paraId="5E3E1239" w14:textId="0CB6B8A6" w:rsidR="003D3978" w:rsidRPr="00485F85" w:rsidRDefault="003D3978"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Todos esses investimentos e parcerias refletem nos indicadores acadêmicos da Universidade que a colocam </w:t>
      </w:r>
      <w:r w:rsidR="002740A1" w:rsidRPr="00485F85">
        <w:rPr>
          <w:rFonts w:asciiTheme="majorHAnsi" w:hAnsiTheme="majorHAnsi" w:cstheme="majorHAnsi"/>
        </w:rPr>
        <w:t xml:space="preserve">em primeiro lugar, </w:t>
      </w:r>
      <w:r w:rsidRPr="00485F85">
        <w:rPr>
          <w:rFonts w:asciiTheme="majorHAnsi" w:hAnsiTheme="majorHAnsi" w:cstheme="majorHAnsi"/>
        </w:rPr>
        <w:t>com</w:t>
      </w:r>
      <w:r w:rsidR="002740A1" w:rsidRPr="00485F85">
        <w:rPr>
          <w:rFonts w:asciiTheme="majorHAnsi" w:hAnsiTheme="majorHAnsi" w:cstheme="majorHAnsi"/>
        </w:rPr>
        <w:t>o</w:t>
      </w:r>
      <w:r w:rsidRPr="00485F85">
        <w:rPr>
          <w:rFonts w:asciiTheme="majorHAnsi" w:hAnsiTheme="majorHAnsi" w:cstheme="majorHAnsi"/>
        </w:rPr>
        <w:t xml:space="preserve"> a maior Universidade do mundo </w:t>
      </w:r>
      <w:r w:rsidR="006C4769" w:rsidRPr="00485F85">
        <w:rPr>
          <w:rFonts w:asciiTheme="majorHAnsi" w:hAnsiTheme="majorHAnsi" w:cstheme="majorHAnsi"/>
        </w:rPr>
        <w:t>em 2021</w:t>
      </w:r>
      <w:r w:rsidR="002740A1" w:rsidRPr="00485F85">
        <w:rPr>
          <w:rFonts w:asciiTheme="majorHAnsi" w:hAnsiTheme="majorHAnsi" w:cstheme="majorHAnsi"/>
        </w:rPr>
        <w:t>,</w:t>
      </w:r>
      <w:r w:rsidR="006C4769" w:rsidRPr="00485F85">
        <w:rPr>
          <w:rFonts w:asciiTheme="majorHAnsi" w:hAnsiTheme="majorHAnsi" w:cstheme="majorHAnsi"/>
        </w:rPr>
        <w:t xml:space="preserve"> </w:t>
      </w:r>
      <w:r w:rsidRPr="00485F85">
        <w:rPr>
          <w:rFonts w:asciiTheme="majorHAnsi" w:hAnsiTheme="majorHAnsi" w:cstheme="majorHAnsi"/>
        </w:rPr>
        <w:t>de acordo com</w:t>
      </w:r>
      <w:r w:rsidR="006C4769" w:rsidRPr="00485F85">
        <w:rPr>
          <w:rFonts w:asciiTheme="majorHAnsi" w:hAnsiTheme="majorHAnsi" w:cstheme="majorHAnsi"/>
        </w:rPr>
        <w:t xml:space="preserve"> o </w:t>
      </w:r>
      <w:r w:rsidR="006C4769" w:rsidRPr="00485F85">
        <w:rPr>
          <w:rFonts w:asciiTheme="majorHAnsi" w:hAnsiTheme="majorHAnsi" w:cstheme="majorHAnsi"/>
          <w:i/>
          <w:iCs/>
        </w:rPr>
        <w:t>ranking</w:t>
      </w:r>
      <w:r w:rsidR="006C4769" w:rsidRPr="00485F85">
        <w:rPr>
          <w:rFonts w:asciiTheme="majorHAnsi" w:hAnsiTheme="majorHAnsi" w:cstheme="majorHAnsi"/>
        </w:rPr>
        <w:t xml:space="preserve"> da </w:t>
      </w:r>
      <w:r w:rsidR="006C4769" w:rsidRPr="00485F85">
        <w:rPr>
          <w:rFonts w:asciiTheme="majorHAnsi" w:hAnsiTheme="majorHAnsi" w:cstheme="majorHAnsi"/>
          <w:i/>
          <w:iCs/>
        </w:rPr>
        <w:t>Times Higher Education World University Rankings 2021</w:t>
      </w:r>
      <w:r w:rsidRPr="00485F85">
        <w:rPr>
          <w:rFonts w:asciiTheme="majorHAnsi" w:hAnsiTheme="majorHAnsi" w:cstheme="majorHAnsi"/>
        </w:rPr>
        <w:t xml:space="preserve">. </w:t>
      </w:r>
    </w:p>
    <w:p w14:paraId="0D4D7C79" w14:textId="50CF3873" w:rsidR="00985F56" w:rsidRPr="00485F85" w:rsidRDefault="00985F56" w:rsidP="00485F85">
      <w:pPr>
        <w:spacing w:line="276" w:lineRule="auto"/>
        <w:ind w:firstLine="709"/>
        <w:jc w:val="both"/>
        <w:rPr>
          <w:rFonts w:asciiTheme="majorHAnsi" w:hAnsiTheme="majorHAnsi" w:cstheme="majorHAnsi"/>
        </w:rPr>
      </w:pPr>
      <w:r w:rsidRPr="00485F85">
        <w:rPr>
          <w:rFonts w:asciiTheme="majorHAnsi" w:hAnsiTheme="majorHAnsi" w:cstheme="majorHAnsi"/>
        </w:rPr>
        <w:t xml:space="preserve">Comparar a Universidade de Oxford com as universidades nacionais seria </w:t>
      </w:r>
      <w:r w:rsidR="002740A1" w:rsidRPr="00485F85">
        <w:rPr>
          <w:rFonts w:asciiTheme="majorHAnsi" w:hAnsiTheme="majorHAnsi" w:cstheme="majorHAnsi"/>
        </w:rPr>
        <w:t>um raciocínio complexo</w:t>
      </w:r>
      <w:r w:rsidRPr="00485F85">
        <w:rPr>
          <w:rFonts w:asciiTheme="majorHAnsi" w:hAnsiTheme="majorHAnsi" w:cstheme="majorHAnsi"/>
        </w:rPr>
        <w:t xml:space="preserve">. Tanto por sua trajetória histórica que remonta ao ano de 1.096 (e o Brasil só foi descoberto </w:t>
      </w:r>
      <w:r w:rsidR="002740A1" w:rsidRPr="00485F85">
        <w:rPr>
          <w:rFonts w:asciiTheme="majorHAnsi" w:hAnsiTheme="majorHAnsi" w:cstheme="majorHAnsi"/>
        </w:rPr>
        <w:t>em</w:t>
      </w:r>
      <w:r w:rsidRPr="00485F85">
        <w:rPr>
          <w:rFonts w:asciiTheme="majorHAnsi" w:hAnsiTheme="majorHAnsi" w:cstheme="majorHAnsi"/>
        </w:rPr>
        <w:t xml:space="preserve"> 1500) quanto por sua lógica acadêmica, que oportuniza a imersão total do estudante desde o aspecto de moradia até de atividades culturais e sociais no campus. Outro abismo marcante é a forma como o ensino está estruturado: as aulas são ministradas para grupos pequenos, de forma ativa, na qual o estudante é incentivado a desenvolver habilidades de autonomia e diálogo para construir o seu conhecimento de forma participativa e orientada.</w:t>
      </w:r>
    </w:p>
    <w:p w14:paraId="2DD218D8" w14:textId="7384B29A" w:rsidR="00985F56" w:rsidRPr="00485F85" w:rsidRDefault="00985F56" w:rsidP="00485F85">
      <w:pPr>
        <w:spacing w:line="276" w:lineRule="auto"/>
        <w:ind w:firstLine="709"/>
        <w:jc w:val="both"/>
        <w:rPr>
          <w:rFonts w:asciiTheme="majorHAnsi" w:hAnsiTheme="majorHAnsi" w:cstheme="majorHAnsi"/>
        </w:rPr>
      </w:pPr>
      <w:r w:rsidRPr="00485F85">
        <w:rPr>
          <w:rFonts w:asciiTheme="majorHAnsi" w:hAnsiTheme="majorHAnsi" w:cstheme="majorHAnsi"/>
        </w:rPr>
        <w:t>A transversalidade do conhecimento também é outra barreira a ser superada no Brasil. Oxford incentiva a interdisciplinaridade e oportuniza o conhecimento fluido, sem fronteiras demarcadas nas quais a matemática e a filosofia caminham juntas e sem rivalidade. A prioridade é desenvolver um estudante resolutivo, integrado no meio ambiente, preocupado com questões atuais</w:t>
      </w:r>
      <w:r w:rsidR="002740A1" w:rsidRPr="00485F85">
        <w:rPr>
          <w:rFonts w:asciiTheme="majorHAnsi" w:hAnsiTheme="majorHAnsi" w:cstheme="majorHAnsi"/>
        </w:rPr>
        <w:t xml:space="preserve"> e </w:t>
      </w:r>
      <w:r w:rsidRPr="00485F85">
        <w:rPr>
          <w:rFonts w:asciiTheme="majorHAnsi" w:hAnsiTheme="majorHAnsi" w:cstheme="majorHAnsi"/>
        </w:rPr>
        <w:t xml:space="preserve">que consiga trabalhar </w:t>
      </w:r>
      <w:r w:rsidR="002740A1" w:rsidRPr="00485F85">
        <w:rPr>
          <w:rFonts w:asciiTheme="majorHAnsi" w:hAnsiTheme="majorHAnsi" w:cstheme="majorHAnsi"/>
        </w:rPr>
        <w:t>em</w:t>
      </w:r>
      <w:r w:rsidRPr="00485F85">
        <w:rPr>
          <w:rFonts w:asciiTheme="majorHAnsi" w:hAnsiTheme="majorHAnsi" w:cstheme="majorHAnsi"/>
        </w:rPr>
        <w:t xml:space="preserve"> áreas diversas. </w:t>
      </w:r>
    </w:p>
    <w:p w14:paraId="333289BD" w14:textId="34DAD75A" w:rsidR="00985F56" w:rsidRPr="00485F85" w:rsidRDefault="00985F56" w:rsidP="00485F85">
      <w:pPr>
        <w:spacing w:line="276" w:lineRule="auto"/>
        <w:ind w:firstLine="709"/>
        <w:jc w:val="both"/>
        <w:rPr>
          <w:rFonts w:asciiTheme="majorHAnsi" w:hAnsiTheme="majorHAnsi" w:cstheme="majorHAnsi"/>
        </w:rPr>
      </w:pPr>
    </w:p>
    <w:p w14:paraId="4A845A4E" w14:textId="7566ACAC" w:rsidR="00985F56" w:rsidRPr="00485F85" w:rsidRDefault="00985F56" w:rsidP="00485F85">
      <w:pPr>
        <w:spacing w:line="276" w:lineRule="auto"/>
        <w:ind w:firstLine="709"/>
        <w:jc w:val="both"/>
        <w:rPr>
          <w:rFonts w:asciiTheme="majorHAnsi" w:hAnsiTheme="majorHAnsi" w:cstheme="majorHAnsi"/>
        </w:rPr>
      </w:pPr>
      <w:r w:rsidRPr="00485F85">
        <w:rPr>
          <w:rFonts w:asciiTheme="majorHAnsi" w:hAnsiTheme="majorHAnsi" w:cstheme="majorHAnsi"/>
        </w:rPr>
        <w:lastRenderedPageBreak/>
        <w:t xml:space="preserve">Desse modo, para compreendermos melhor o que a Universidade de Oxford oferece, </w:t>
      </w:r>
      <w:r w:rsidR="00642613" w:rsidRPr="00485F85">
        <w:rPr>
          <w:rFonts w:asciiTheme="majorHAnsi" w:hAnsiTheme="majorHAnsi" w:cstheme="majorHAnsi"/>
        </w:rPr>
        <w:t>delimitando os resultados do Benchmarking dessa pesquisa, foram elaboradas tabelas com pontos fortes e fracos de cada dimensão e, posteriormente, os dados foram transformados em infográficos que sintetizam as boas práticas da instituição; resultado esperado desse estudo.</w:t>
      </w:r>
    </w:p>
    <w:p w14:paraId="789119A7" w14:textId="0AB3D823" w:rsidR="0006609D" w:rsidRPr="00485F85" w:rsidRDefault="00642613" w:rsidP="00485F85">
      <w:pPr>
        <w:spacing w:line="276" w:lineRule="auto"/>
        <w:ind w:firstLine="709"/>
        <w:jc w:val="both"/>
        <w:rPr>
          <w:rFonts w:asciiTheme="majorHAnsi" w:hAnsiTheme="majorHAnsi" w:cstheme="majorHAnsi"/>
        </w:rPr>
      </w:pPr>
      <w:r w:rsidRPr="00485F85">
        <w:rPr>
          <w:rFonts w:asciiTheme="majorHAnsi" w:hAnsiTheme="majorHAnsi" w:cstheme="majorHAnsi"/>
        </w:rPr>
        <w:t>A seguir</w:t>
      </w:r>
      <w:r w:rsidR="002740A1" w:rsidRPr="00485F85">
        <w:rPr>
          <w:rFonts w:asciiTheme="majorHAnsi" w:hAnsiTheme="majorHAnsi" w:cstheme="majorHAnsi"/>
        </w:rPr>
        <w:t>, será apresentado essas</w:t>
      </w:r>
      <w:r w:rsidR="00967622" w:rsidRPr="00485F85">
        <w:rPr>
          <w:rFonts w:asciiTheme="majorHAnsi" w:hAnsiTheme="majorHAnsi" w:cstheme="majorHAnsi"/>
        </w:rPr>
        <w:t xml:space="preserve"> análises </w:t>
      </w:r>
      <w:r w:rsidRPr="00485F85">
        <w:rPr>
          <w:rFonts w:asciiTheme="majorHAnsi" w:hAnsiTheme="majorHAnsi" w:cstheme="majorHAnsi"/>
        </w:rPr>
        <w:t xml:space="preserve">com a </w:t>
      </w:r>
      <w:r w:rsidR="0018199C" w:rsidRPr="00485F85">
        <w:rPr>
          <w:rFonts w:asciiTheme="majorHAnsi" w:hAnsiTheme="majorHAnsi" w:cstheme="majorHAnsi"/>
        </w:rPr>
        <w:t>sequência</w:t>
      </w:r>
      <w:r w:rsidR="00552D82" w:rsidRPr="00485F85">
        <w:rPr>
          <w:rFonts w:asciiTheme="majorHAnsi" w:hAnsiTheme="majorHAnsi" w:cstheme="majorHAnsi"/>
        </w:rPr>
        <w:t xml:space="preserve"> </w:t>
      </w:r>
      <w:r w:rsidRPr="00485F85">
        <w:rPr>
          <w:rFonts w:asciiTheme="majorHAnsi" w:hAnsiTheme="majorHAnsi" w:cstheme="majorHAnsi"/>
        </w:rPr>
        <w:t>dos</w:t>
      </w:r>
      <w:r w:rsidR="00552D82" w:rsidRPr="00485F85">
        <w:rPr>
          <w:rFonts w:asciiTheme="majorHAnsi" w:hAnsiTheme="majorHAnsi" w:cstheme="majorHAnsi"/>
        </w:rPr>
        <w:t xml:space="preserve"> </w:t>
      </w:r>
      <w:r w:rsidR="00967622" w:rsidRPr="00485F85">
        <w:rPr>
          <w:rFonts w:asciiTheme="majorHAnsi" w:hAnsiTheme="majorHAnsi" w:cstheme="majorHAnsi"/>
        </w:rPr>
        <w:t xml:space="preserve">quadros </w:t>
      </w:r>
      <w:r w:rsidRPr="00485F85">
        <w:rPr>
          <w:rFonts w:asciiTheme="majorHAnsi" w:hAnsiTheme="majorHAnsi" w:cstheme="majorHAnsi"/>
        </w:rPr>
        <w:t xml:space="preserve">com os pontos fortes e fracos </w:t>
      </w:r>
      <w:r w:rsidR="00967622" w:rsidRPr="00485F85">
        <w:rPr>
          <w:rFonts w:asciiTheme="majorHAnsi" w:hAnsiTheme="majorHAnsi" w:cstheme="majorHAnsi"/>
        </w:rPr>
        <w:t>separados pelas 12 dimensões propostas.</w:t>
      </w:r>
    </w:p>
    <w:p w14:paraId="5950C164" w14:textId="031A87EF" w:rsidR="00F71F0E" w:rsidRPr="00485F85" w:rsidRDefault="00485F85" w:rsidP="00485F85">
      <w:pPr>
        <w:pStyle w:val="Ttulo3"/>
        <w:ind w:left="1276"/>
        <w:rPr>
          <w:rFonts w:asciiTheme="majorHAnsi" w:hAnsiTheme="majorHAnsi" w:cstheme="majorHAnsi"/>
        </w:rPr>
      </w:pPr>
      <w:bookmarkStart w:id="14" w:name="_Toc82101308"/>
      <w:r w:rsidRPr="00485F85">
        <w:rPr>
          <w:rFonts w:asciiTheme="majorHAnsi" w:hAnsiTheme="majorHAnsi" w:cstheme="majorHAnsi"/>
        </w:rPr>
        <w:t>DIMENSÃO 1. ESTRUTURA ACADÊMICA E ADMINISTRATIVA</w:t>
      </w:r>
      <w:bookmarkEnd w:id="14"/>
    </w:p>
    <w:p w14:paraId="62FC0D3F" w14:textId="77777777" w:rsidR="004B5F7C" w:rsidRPr="00485F85" w:rsidRDefault="004B5F7C" w:rsidP="004B5F7C">
      <w:pPr>
        <w:pStyle w:val="Legenda"/>
        <w:rPr>
          <w:rFonts w:asciiTheme="majorHAnsi" w:hAnsiTheme="majorHAnsi" w:cstheme="majorHAnsi"/>
        </w:rPr>
      </w:pPr>
      <w:bookmarkStart w:id="15" w:name="_Toc23175862"/>
    </w:p>
    <w:p w14:paraId="597444B7" w14:textId="3F8A134E" w:rsidR="004B5F7C" w:rsidRPr="00485F85" w:rsidRDefault="004B5F7C" w:rsidP="004B5F7C">
      <w:pPr>
        <w:pStyle w:val="Legenda"/>
        <w:rPr>
          <w:rFonts w:asciiTheme="majorHAnsi" w:hAnsiTheme="majorHAnsi" w:cstheme="majorHAnsi"/>
        </w:rPr>
      </w:pPr>
      <w:r w:rsidRPr="00485F85">
        <w:rPr>
          <w:rFonts w:asciiTheme="majorHAnsi" w:hAnsiTheme="majorHAnsi" w:cstheme="majorHAnsi"/>
        </w:rPr>
        <w:t xml:space="preserve">Quaro </w:t>
      </w:r>
      <w:r w:rsidR="00EA7CDD" w:rsidRPr="00485F85">
        <w:rPr>
          <w:rFonts w:asciiTheme="majorHAnsi" w:hAnsiTheme="majorHAnsi" w:cstheme="majorHAnsi"/>
        </w:rPr>
        <w:fldChar w:fldCharType="begin"/>
      </w:r>
      <w:r w:rsidR="00EA7CDD" w:rsidRPr="00485F85">
        <w:rPr>
          <w:rFonts w:asciiTheme="majorHAnsi" w:hAnsiTheme="majorHAnsi" w:cstheme="majorHAnsi"/>
        </w:rPr>
        <w:instrText xml:space="preserve"> SEQ Tabela \* ARABIC </w:instrText>
      </w:r>
      <w:r w:rsidR="00EA7CDD" w:rsidRPr="00485F85">
        <w:rPr>
          <w:rFonts w:asciiTheme="majorHAnsi" w:hAnsiTheme="majorHAnsi" w:cstheme="majorHAnsi"/>
        </w:rPr>
        <w:fldChar w:fldCharType="separate"/>
      </w:r>
      <w:r w:rsidR="000E6935" w:rsidRPr="00485F85">
        <w:rPr>
          <w:rFonts w:asciiTheme="majorHAnsi" w:hAnsiTheme="majorHAnsi" w:cstheme="majorHAnsi"/>
          <w:noProof/>
        </w:rPr>
        <w:t>1</w:t>
      </w:r>
      <w:r w:rsidR="00EA7CDD" w:rsidRPr="00485F85">
        <w:rPr>
          <w:rFonts w:asciiTheme="majorHAnsi" w:hAnsiTheme="majorHAnsi" w:cstheme="majorHAnsi"/>
          <w:noProof/>
        </w:rPr>
        <w:fldChar w:fldCharType="end"/>
      </w:r>
      <w:r w:rsidRPr="00485F85">
        <w:rPr>
          <w:rFonts w:asciiTheme="majorHAnsi" w:hAnsiTheme="majorHAnsi" w:cstheme="majorHAnsi"/>
        </w:rPr>
        <w:t xml:space="preserve"> – </w:t>
      </w:r>
      <w:bookmarkEnd w:id="15"/>
      <w:r w:rsidRPr="00485F85">
        <w:rPr>
          <w:rFonts w:asciiTheme="majorHAnsi" w:hAnsiTheme="majorHAnsi" w:cstheme="majorHAnsi"/>
        </w:rPr>
        <w:t>Dimensão 1 – Pontos Fortes e Fracos</w:t>
      </w:r>
    </w:p>
    <w:tbl>
      <w:tblPr>
        <w:tblStyle w:val="Tabelacomgrade"/>
        <w:tblW w:w="9628" w:type="dxa"/>
        <w:tblLook w:val="04A0" w:firstRow="1" w:lastRow="0" w:firstColumn="1" w:lastColumn="0" w:noHBand="0" w:noVBand="1"/>
      </w:tblPr>
      <w:tblGrid>
        <w:gridCol w:w="4814"/>
        <w:gridCol w:w="4814"/>
      </w:tblGrid>
      <w:tr w:rsidR="00485F85" w:rsidRPr="00485F85" w14:paraId="6C3CE61A" w14:textId="77777777" w:rsidTr="00485F85">
        <w:tc>
          <w:tcPr>
            <w:tcW w:w="4814" w:type="dxa"/>
            <w:shd w:val="clear" w:color="auto" w:fill="4875BD" w:themeFill="accent1"/>
          </w:tcPr>
          <w:p w14:paraId="27191B52" w14:textId="2B1AA020" w:rsidR="00F71F0E" w:rsidRPr="00485F85" w:rsidRDefault="00F71F0E" w:rsidP="00485F85">
            <w:pPr>
              <w:spacing w:line="360" w:lineRule="auto"/>
              <w:rPr>
                <w:rFonts w:asciiTheme="majorHAnsi" w:hAnsiTheme="majorHAnsi" w:cstheme="majorHAnsi"/>
                <w:color w:val="FFFFFF" w:themeColor="background1"/>
              </w:rPr>
            </w:pPr>
            <w:r w:rsidRPr="00485F85">
              <w:rPr>
                <w:rFonts w:asciiTheme="majorHAnsi" w:hAnsiTheme="majorHAnsi" w:cstheme="majorHAnsi"/>
                <w:b/>
                <w:color w:val="FFFFFF" w:themeColor="background1"/>
              </w:rPr>
              <w:t>Pontos Fortes</w:t>
            </w:r>
          </w:p>
        </w:tc>
        <w:tc>
          <w:tcPr>
            <w:tcW w:w="4814" w:type="dxa"/>
            <w:shd w:val="clear" w:color="auto" w:fill="4875BD" w:themeFill="accent1"/>
          </w:tcPr>
          <w:p w14:paraId="0939F002" w14:textId="377DB38F" w:rsidR="00F71F0E" w:rsidRPr="00485F85" w:rsidRDefault="00F71F0E" w:rsidP="00485F85">
            <w:pPr>
              <w:spacing w:line="360" w:lineRule="auto"/>
              <w:rPr>
                <w:rFonts w:asciiTheme="majorHAnsi" w:hAnsiTheme="majorHAnsi" w:cstheme="majorHAnsi"/>
                <w:color w:val="FFFFFF" w:themeColor="background1"/>
              </w:rPr>
            </w:pPr>
            <w:r w:rsidRPr="00485F85">
              <w:rPr>
                <w:rFonts w:asciiTheme="majorHAnsi" w:hAnsiTheme="majorHAnsi" w:cstheme="majorHAnsi"/>
                <w:b/>
                <w:color w:val="FFFFFF" w:themeColor="background1"/>
              </w:rPr>
              <w:t>Pontos Fracos (Fragilidades)</w:t>
            </w:r>
          </w:p>
        </w:tc>
      </w:tr>
      <w:tr w:rsidR="00F71F0E" w:rsidRPr="00485F85" w14:paraId="0190BA46" w14:textId="77777777" w:rsidTr="00F71F0E">
        <w:tc>
          <w:tcPr>
            <w:tcW w:w="4814" w:type="dxa"/>
          </w:tcPr>
          <w:p w14:paraId="6C5E36CF" w14:textId="77777777" w:rsidR="00F71F0E" w:rsidRPr="00485F85" w:rsidRDefault="00F71F0E" w:rsidP="00485F85">
            <w:pPr>
              <w:spacing w:after="160" w:line="360" w:lineRule="auto"/>
              <w:jc w:val="both"/>
              <w:rPr>
                <w:rFonts w:asciiTheme="majorHAnsi" w:hAnsiTheme="majorHAnsi" w:cstheme="majorHAnsi"/>
                <w:bCs/>
              </w:rPr>
            </w:pPr>
            <w:r w:rsidRPr="00485F85">
              <w:rPr>
                <w:rFonts w:asciiTheme="majorHAnsi" w:hAnsiTheme="majorHAnsi" w:cstheme="majorHAnsi"/>
                <w:bCs/>
              </w:rPr>
              <w:t>- Eleições participativas para postos importantes como o que incluem todas as camadas da instituição, envolvendo até ex-alunos nas votações.</w:t>
            </w:r>
          </w:p>
          <w:p w14:paraId="75699670" w14:textId="77777777" w:rsidR="00F71F0E" w:rsidRPr="00485F85" w:rsidRDefault="00F71F0E" w:rsidP="00485F85">
            <w:pPr>
              <w:spacing w:after="160" w:line="360" w:lineRule="auto"/>
              <w:jc w:val="both"/>
              <w:rPr>
                <w:rFonts w:asciiTheme="majorHAnsi" w:hAnsiTheme="majorHAnsi" w:cstheme="majorHAnsi"/>
                <w:bCs/>
              </w:rPr>
            </w:pPr>
            <w:r w:rsidRPr="00485F85">
              <w:rPr>
                <w:rFonts w:asciiTheme="majorHAnsi" w:hAnsiTheme="majorHAnsi" w:cstheme="majorHAnsi"/>
                <w:bCs/>
              </w:rPr>
              <w:t>- Documentos que primam por diretrizes simples e significativas.</w:t>
            </w:r>
          </w:p>
          <w:p w14:paraId="6EBD2E9C" w14:textId="77777777" w:rsidR="00F71F0E" w:rsidRPr="00485F85" w:rsidRDefault="00F71F0E" w:rsidP="00485F85">
            <w:pPr>
              <w:spacing w:after="160" w:line="360" w:lineRule="auto"/>
              <w:jc w:val="both"/>
              <w:rPr>
                <w:rFonts w:asciiTheme="majorHAnsi" w:hAnsiTheme="majorHAnsi" w:cstheme="majorHAnsi"/>
                <w:bCs/>
              </w:rPr>
            </w:pPr>
            <w:r w:rsidRPr="00485F85">
              <w:rPr>
                <w:rFonts w:asciiTheme="majorHAnsi" w:hAnsiTheme="majorHAnsi" w:cstheme="majorHAnsi"/>
                <w:bCs/>
              </w:rPr>
              <w:t>- Boa comunicação entre as esferas da universidade oportunizando uma gestão alinhada com a Universidade Central.</w:t>
            </w:r>
          </w:p>
          <w:p w14:paraId="4CC86542" w14:textId="77777777" w:rsidR="00F71F0E" w:rsidRPr="00485F85" w:rsidRDefault="00F71F0E" w:rsidP="00485F85">
            <w:pPr>
              <w:spacing w:after="160" w:line="360" w:lineRule="auto"/>
              <w:jc w:val="both"/>
              <w:rPr>
                <w:rFonts w:asciiTheme="majorHAnsi" w:hAnsiTheme="majorHAnsi" w:cstheme="majorHAnsi"/>
                <w:bCs/>
              </w:rPr>
            </w:pPr>
            <w:r w:rsidRPr="00485F85">
              <w:rPr>
                <w:rFonts w:asciiTheme="majorHAnsi" w:hAnsiTheme="majorHAnsi" w:cstheme="majorHAnsi"/>
                <w:bCs/>
              </w:rPr>
              <w:t>- Multiplicidade de vozes nas tomadas de decisão com certa autonomia e agilidade dos processos.</w:t>
            </w:r>
          </w:p>
          <w:p w14:paraId="73F3701C" w14:textId="77777777" w:rsidR="00F71F0E" w:rsidRPr="00485F85" w:rsidRDefault="00F71F0E" w:rsidP="00485F85">
            <w:pPr>
              <w:spacing w:line="360" w:lineRule="auto"/>
              <w:jc w:val="both"/>
              <w:rPr>
                <w:rFonts w:asciiTheme="majorHAnsi" w:hAnsiTheme="majorHAnsi" w:cstheme="majorHAnsi"/>
              </w:rPr>
            </w:pPr>
          </w:p>
        </w:tc>
        <w:tc>
          <w:tcPr>
            <w:tcW w:w="4814" w:type="dxa"/>
          </w:tcPr>
          <w:p w14:paraId="3EE1861E" w14:textId="19C9FE4A" w:rsidR="00F71F0E" w:rsidRPr="00485F85" w:rsidRDefault="00F71F0E" w:rsidP="00485F85">
            <w:pPr>
              <w:spacing w:line="360" w:lineRule="auto"/>
              <w:jc w:val="both"/>
              <w:rPr>
                <w:rFonts w:asciiTheme="majorHAnsi" w:hAnsiTheme="majorHAnsi" w:cstheme="majorHAnsi"/>
              </w:rPr>
            </w:pPr>
            <w:r w:rsidRPr="00485F85">
              <w:rPr>
                <w:rFonts w:asciiTheme="majorHAnsi" w:hAnsiTheme="majorHAnsi" w:cstheme="majorHAnsi"/>
              </w:rPr>
              <w:t xml:space="preserve">- O Ato regulatório da Universidade é muito emendado e descentralizado uma vez que foi sendo construído ao longo dos anos. Soma-se ao fato, também, cada </w:t>
            </w:r>
            <w:r w:rsidRPr="00485F85">
              <w:rPr>
                <w:rFonts w:asciiTheme="majorHAnsi" w:hAnsiTheme="majorHAnsi" w:cstheme="majorHAnsi"/>
                <w:i/>
                <w:iCs/>
              </w:rPr>
              <w:t>College</w:t>
            </w:r>
            <w:r w:rsidRPr="00485F85">
              <w:rPr>
                <w:rFonts w:asciiTheme="majorHAnsi" w:hAnsiTheme="majorHAnsi" w:cstheme="majorHAnsi"/>
              </w:rPr>
              <w:t xml:space="preserve"> possuir a sua carta de fundação. Gerando documentos fundacionais e diretrizes quase que independentes.</w:t>
            </w:r>
          </w:p>
          <w:p w14:paraId="752D1E11" w14:textId="77777777" w:rsidR="00552D82" w:rsidRPr="00485F85" w:rsidRDefault="00552D82" w:rsidP="00485F85">
            <w:pPr>
              <w:spacing w:line="360" w:lineRule="auto"/>
              <w:jc w:val="both"/>
              <w:rPr>
                <w:rFonts w:asciiTheme="majorHAnsi" w:hAnsiTheme="majorHAnsi" w:cstheme="majorHAnsi"/>
              </w:rPr>
            </w:pPr>
          </w:p>
          <w:p w14:paraId="6CE31160" w14:textId="5B2E2ADB" w:rsidR="00F71F0E" w:rsidRPr="00485F85" w:rsidRDefault="00F71F0E" w:rsidP="00485F85">
            <w:pPr>
              <w:spacing w:line="360" w:lineRule="auto"/>
              <w:jc w:val="both"/>
              <w:rPr>
                <w:rFonts w:asciiTheme="majorHAnsi" w:hAnsiTheme="majorHAnsi" w:cstheme="majorHAnsi"/>
              </w:rPr>
            </w:pPr>
            <w:r w:rsidRPr="00485F85">
              <w:rPr>
                <w:rFonts w:asciiTheme="majorHAnsi" w:hAnsiTheme="majorHAnsi" w:cstheme="majorHAnsi"/>
              </w:rPr>
              <w:t>- A estrutura de Governança é formada por muitos comitês o que acaba gerando a necessidade de contratação/nomeação de muitos postos.</w:t>
            </w:r>
          </w:p>
          <w:p w14:paraId="152EF365" w14:textId="14BA82C0" w:rsidR="00705E90" w:rsidRPr="00485F85" w:rsidRDefault="00705E90" w:rsidP="00485F85">
            <w:pPr>
              <w:spacing w:line="360" w:lineRule="auto"/>
              <w:jc w:val="both"/>
              <w:rPr>
                <w:rFonts w:asciiTheme="majorHAnsi" w:hAnsiTheme="majorHAnsi" w:cstheme="majorHAnsi"/>
              </w:rPr>
            </w:pPr>
          </w:p>
          <w:p w14:paraId="5236B626" w14:textId="426E90AC" w:rsidR="00BC6E65" w:rsidRPr="00485F85" w:rsidRDefault="00BC6E65" w:rsidP="00485F85">
            <w:pPr>
              <w:spacing w:line="360" w:lineRule="auto"/>
              <w:jc w:val="both"/>
              <w:rPr>
                <w:rFonts w:asciiTheme="majorHAnsi" w:hAnsiTheme="majorHAnsi" w:cstheme="majorHAnsi"/>
              </w:rPr>
            </w:pPr>
            <w:r w:rsidRPr="00485F85">
              <w:rPr>
                <w:rFonts w:asciiTheme="majorHAnsi" w:hAnsiTheme="majorHAnsi" w:cstheme="majorHAnsi"/>
                <w:bCs/>
              </w:rPr>
              <w:t>- Possui profissionais qualificados e alinhados com as suas responsabilidades. Isso pode se tornar uma fragilidade quando a Universidade</w:t>
            </w:r>
            <w:r w:rsidRPr="00485F85">
              <w:rPr>
                <w:rFonts w:asciiTheme="majorHAnsi" w:hAnsiTheme="majorHAnsi" w:cstheme="majorHAnsi"/>
              </w:rPr>
              <w:t xml:space="preserve"> perde seu papel de formar, à medida em que só contrata profissional extremamente qualificados e para de fazer a diferença também ao colaborador (professor e técnico). O bom é encontrar uma proporção adequada entre professores de alto rendimento e aqueles que podem aprender.</w:t>
            </w:r>
          </w:p>
          <w:p w14:paraId="6C193925" w14:textId="1EB243A5" w:rsidR="00BC6E65" w:rsidRPr="00485F85" w:rsidRDefault="00BC6E65" w:rsidP="00485F85">
            <w:pPr>
              <w:spacing w:line="360" w:lineRule="auto"/>
              <w:jc w:val="both"/>
              <w:rPr>
                <w:rFonts w:asciiTheme="majorHAnsi" w:hAnsiTheme="majorHAnsi" w:cstheme="majorHAnsi"/>
              </w:rPr>
            </w:pPr>
          </w:p>
          <w:p w14:paraId="37D9C684" w14:textId="77777777" w:rsidR="00BC6E65" w:rsidRPr="00485F85" w:rsidRDefault="00BC6E65" w:rsidP="00485F85">
            <w:pPr>
              <w:spacing w:line="360" w:lineRule="auto"/>
              <w:jc w:val="both"/>
              <w:rPr>
                <w:rFonts w:asciiTheme="majorHAnsi" w:hAnsiTheme="majorHAnsi" w:cstheme="majorHAnsi"/>
              </w:rPr>
            </w:pPr>
          </w:p>
          <w:p w14:paraId="5E1E7FF7" w14:textId="5EE7736D" w:rsidR="00F71F0E" w:rsidRPr="00485F85" w:rsidRDefault="00F71F0E" w:rsidP="00485F85">
            <w:pPr>
              <w:spacing w:line="360" w:lineRule="auto"/>
              <w:jc w:val="both"/>
              <w:rPr>
                <w:rFonts w:asciiTheme="majorHAnsi" w:hAnsiTheme="majorHAnsi" w:cstheme="majorHAnsi"/>
              </w:rPr>
            </w:pPr>
            <w:r w:rsidRPr="00485F85">
              <w:rPr>
                <w:rFonts w:asciiTheme="majorHAnsi" w:hAnsiTheme="majorHAnsi" w:cstheme="majorHAnsi"/>
              </w:rPr>
              <w:t xml:space="preserve">- Existem muitas posições de liderança para que seja possível conectar todas as esferas de trabalho </w:t>
            </w:r>
            <w:r w:rsidRPr="00485F85">
              <w:rPr>
                <w:rFonts w:asciiTheme="majorHAnsi" w:hAnsiTheme="majorHAnsi" w:cstheme="majorHAnsi"/>
              </w:rPr>
              <w:lastRenderedPageBreak/>
              <w:t>da Universidade.</w:t>
            </w:r>
          </w:p>
          <w:p w14:paraId="7044032C" w14:textId="77777777" w:rsidR="00552D82" w:rsidRPr="00485F85" w:rsidRDefault="00552D82" w:rsidP="00485F85">
            <w:pPr>
              <w:spacing w:line="360" w:lineRule="auto"/>
              <w:jc w:val="both"/>
              <w:rPr>
                <w:rFonts w:asciiTheme="majorHAnsi" w:hAnsiTheme="majorHAnsi" w:cstheme="majorHAnsi"/>
              </w:rPr>
            </w:pPr>
          </w:p>
          <w:p w14:paraId="5D20C9A5" w14:textId="26B0E0D1" w:rsidR="00F71F0E" w:rsidRPr="00485F85" w:rsidRDefault="00F71F0E" w:rsidP="00485F85">
            <w:pPr>
              <w:spacing w:line="360" w:lineRule="auto"/>
              <w:jc w:val="both"/>
              <w:rPr>
                <w:rFonts w:asciiTheme="majorHAnsi" w:hAnsiTheme="majorHAnsi" w:cstheme="majorHAnsi"/>
              </w:rPr>
            </w:pPr>
            <w:r w:rsidRPr="00485F85">
              <w:rPr>
                <w:rFonts w:asciiTheme="majorHAnsi" w:hAnsiTheme="majorHAnsi" w:cstheme="majorHAnsi"/>
              </w:rPr>
              <w:t>- O Reitor (</w:t>
            </w:r>
            <w:r w:rsidRPr="00485F85">
              <w:rPr>
                <w:rFonts w:asciiTheme="majorHAnsi" w:hAnsiTheme="majorHAnsi" w:cstheme="majorHAnsi"/>
                <w:i/>
                <w:iCs/>
              </w:rPr>
              <w:t>Chancellor</w:t>
            </w:r>
            <w:r w:rsidRPr="00485F85">
              <w:rPr>
                <w:rFonts w:asciiTheme="majorHAnsi" w:hAnsiTheme="majorHAnsi" w:cstheme="majorHAnsi"/>
              </w:rPr>
              <w:t>) possui um cargo vitalício e trata-se de um posto mais social do que executivo. Ele preside cerimônias e participa de eventos sociais. Geralmente é um professor sênior de renome na instituição.</w:t>
            </w:r>
            <w:r w:rsidR="00BC6E65" w:rsidRPr="00485F85">
              <w:rPr>
                <w:rFonts w:asciiTheme="majorHAnsi" w:hAnsiTheme="majorHAnsi" w:cstheme="majorHAnsi"/>
              </w:rPr>
              <w:t xml:space="preserve"> Foi classificado como uma fragilidade à medida em que seria uma prática difícil de ser executada em uma Instituição “nova” e no Brasil pode ser visto como algo não “aplicável”.</w:t>
            </w:r>
          </w:p>
        </w:tc>
      </w:tr>
    </w:tbl>
    <w:p w14:paraId="7BDAAE10" w14:textId="1E9C3B4F" w:rsidR="00F71F0E" w:rsidRPr="00485F85" w:rsidRDefault="004B5F7C" w:rsidP="00F71F0E">
      <w:pPr>
        <w:rPr>
          <w:rFonts w:asciiTheme="majorHAnsi" w:hAnsiTheme="majorHAnsi" w:cstheme="majorHAnsi"/>
        </w:rPr>
      </w:pPr>
      <w:r w:rsidRPr="00485F85">
        <w:rPr>
          <w:rFonts w:asciiTheme="majorHAnsi" w:hAnsiTheme="majorHAnsi" w:cstheme="majorHAnsi"/>
        </w:rPr>
        <w:lastRenderedPageBreak/>
        <w:t>Fonte: Autora</w:t>
      </w:r>
    </w:p>
    <w:p w14:paraId="70740C39" w14:textId="001E5B89" w:rsidR="00552D82" w:rsidRPr="00485F85" w:rsidRDefault="00552D82">
      <w:pPr>
        <w:tabs>
          <w:tab w:val="clear" w:pos="1615"/>
        </w:tabs>
        <w:spacing w:line="259" w:lineRule="auto"/>
        <w:rPr>
          <w:rFonts w:asciiTheme="majorHAnsi" w:hAnsiTheme="majorHAnsi" w:cstheme="majorHAnsi"/>
        </w:rPr>
      </w:pPr>
    </w:p>
    <w:p w14:paraId="4387B7AE" w14:textId="3443AF02" w:rsidR="00015AFE" w:rsidRPr="00485F85" w:rsidRDefault="00015AFE" w:rsidP="00E25EB7">
      <w:pPr>
        <w:tabs>
          <w:tab w:val="clear" w:pos="1615"/>
        </w:tabs>
        <w:spacing w:after="0" w:line="360"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w:t>
      </w:r>
      <w:r w:rsidR="001B7A58" w:rsidRPr="00485F85">
        <w:rPr>
          <w:rFonts w:asciiTheme="majorHAnsi" w:hAnsiTheme="majorHAnsi" w:cstheme="majorHAnsi"/>
          <w:b/>
          <w:bCs/>
          <w:sz w:val="28"/>
          <w:szCs w:val="28"/>
        </w:rPr>
        <w:t xml:space="preserve"> com Oxford</w:t>
      </w:r>
      <w:r w:rsidRPr="00485F85">
        <w:rPr>
          <w:rFonts w:asciiTheme="majorHAnsi" w:hAnsiTheme="majorHAnsi" w:cstheme="majorHAnsi"/>
          <w:b/>
          <w:bCs/>
          <w:sz w:val="28"/>
          <w:szCs w:val="28"/>
        </w:rPr>
        <w:t>:</w:t>
      </w:r>
    </w:p>
    <w:p w14:paraId="2E11A004" w14:textId="71905BB1" w:rsidR="00015AFE" w:rsidRPr="00485F85" w:rsidRDefault="00BC6E65" w:rsidP="00BF497F">
      <w:pPr>
        <w:pStyle w:val="PargrafodaLista"/>
        <w:numPr>
          <w:ilvl w:val="0"/>
          <w:numId w:val="3"/>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Importância</w:t>
      </w:r>
      <w:r w:rsidR="00015AFE" w:rsidRPr="00485F85">
        <w:rPr>
          <w:rFonts w:asciiTheme="majorHAnsi" w:hAnsiTheme="majorHAnsi" w:cstheme="majorHAnsi"/>
        </w:rPr>
        <w:t xml:space="preserve"> de melhorar o contato com egressos e fazê-los part</w:t>
      </w:r>
      <w:r w:rsidR="002740A1" w:rsidRPr="00485F85">
        <w:rPr>
          <w:rFonts w:asciiTheme="majorHAnsi" w:hAnsiTheme="majorHAnsi" w:cstheme="majorHAnsi"/>
        </w:rPr>
        <w:t>í</w:t>
      </w:r>
      <w:r w:rsidR="00015AFE" w:rsidRPr="00485F85">
        <w:rPr>
          <w:rFonts w:asciiTheme="majorHAnsi" w:hAnsiTheme="majorHAnsi" w:cstheme="majorHAnsi"/>
        </w:rPr>
        <w:t>cipes da comunidade acadêmica</w:t>
      </w:r>
      <w:r w:rsidRPr="00485F85">
        <w:rPr>
          <w:rFonts w:asciiTheme="majorHAnsi" w:hAnsiTheme="majorHAnsi" w:cstheme="majorHAnsi"/>
        </w:rPr>
        <w:t>;</w:t>
      </w:r>
    </w:p>
    <w:p w14:paraId="79B41B1E" w14:textId="55F00A8A" w:rsidR="00015AFE" w:rsidRPr="00485F85" w:rsidRDefault="00BC6E65" w:rsidP="00BF497F">
      <w:pPr>
        <w:pStyle w:val="PargrafodaLista"/>
        <w:numPr>
          <w:ilvl w:val="0"/>
          <w:numId w:val="3"/>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Zelar para a d</w:t>
      </w:r>
      <w:r w:rsidR="00015AFE" w:rsidRPr="00485F85">
        <w:rPr>
          <w:rFonts w:asciiTheme="majorHAnsi" w:hAnsiTheme="majorHAnsi" w:cstheme="majorHAnsi"/>
        </w:rPr>
        <w:t>iminui</w:t>
      </w:r>
      <w:r w:rsidRPr="00485F85">
        <w:rPr>
          <w:rFonts w:asciiTheme="majorHAnsi" w:hAnsiTheme="majorHAnsi" w:cstheme="majorHAnsi"/>
        </w:rPr>
        <w:t>ção d</w:t>
      </w:r>
      <w:r w:rsidR="00015AFE" w:rsidRPr="00485F85">
        <w:rPr>
          <w:rFonts w:asciiTheme="majorHAnsi" w:hAnsiTheme="majorHAnsi" w:cstheme="majorHAnsi"/>
        </w:rPr>
        <w:t>a burocratização</w:t>
      </w:r>
      <w:r w:rsidRPr="00485F85">
        <w:rPr>
          <w:rFonts w:asciiTheme="majorHAnsi" w:hAnsiTheme="majorHAnsi" w:cstheme="majorHAnsi"/>
        </w:rPr>
        <w:t>;</w:t>
      </w:r>
    </w:p>
    <w:p w14:paraId="4A1C9295" w14:textId="69F6C2E8" w:rsidR="00015AFE" w:rsidRPr="00485F85" w:rsidRDefault="002740A1" w:rsidP="00BF497F">
      <w:pPr>
        <w:pStyle w:val="PargrafodaLista"/>
        <w:numPr>
          <w:ilvl w:val="0"/>
          <w:numId w:val="3"/>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 xml:space="preserve">Mecanismos que </w:t>
      </w:r>
      <w:r w:rsidR="00015AFE" w:rsidRPr="00485F85">
        <w:rPr>
          <w:rFonts w:asciiTheme="majorHAnsi" w:hAnsiTheme="majorHAnsi" w:cstheme="majorHAnsi"/>
        </w:rPr>
        <w:t>permita</w:t>
      </w:r>
      <w:r w:rsidRPr="00485F85">
        <w:rPr>
          <w:rFonts w:asciiTheme="majorHAnsi" w:hAnsiTheme="majorHAnsi" w:cstheme="majorHAnsi"/>
        </w:rPr>
        <w:t>m</w:t>
      </w:r>
      <w:r w:rsidR="00015AFE" w:rsidRPr="00485F85">
        <w:rPr>
          <w:rFonts w:asciiTheme="majorHAnsi" w:hAnsiTheme="majorHAnsi" w:cstheme="majorHAnsi"/>
        </w:rPr>
        <w:t xml:space="preserve"> uma melhor comunicação entre unidades</w:t>
      </w:r>
      <w:r w:rsidR="00BC6E65" w:rsidRPr="00485F85">
        <w:rPr>
          <w:rFonts w:asciiTheme="majorHAnsi" w:hAnsiTheme="majorHAnsi" w:cstheme="majorHAnsi"/>
        </w:rPr>
        <w:t xml:space="preserve"> Acadêmicas.</w:t>
      </w:r>
    </w:p>
    <w:p w14:paraId="264FCEFA" w14:textId="77777777" w:rsidR="00015AFE" w:rsidRPr="00485F85" w:rsidRDefault="00015AFE" w:rsidP="00E25EB7">
      <w:pPr>
        <w:tabs>
          <w:tab w:val="clear" w:pos="1615"/>
        </w:tabs>
        <w:spacing w:after="0" w:line="360" w:lineRule="auto"/>
        <w:jc w:val="both"/>
        <w:rPr>
          <w:rFonts w:asciiTheme="majorHAnsi" w:hAnsiTheme="majorHAnsi" w:cstheme="majorHAnsi"/>
        </w:rPr>
      </w:pPr>
    </w:p>
    <w:p w14:paraId="5409F956" w14:textId="10D896DA" w:rsidR="00F71F0E" w:rsidRPr="00485F85" w:rsidRDefault="00485F85" w:rsidP="00485F85">
      <w:pPr>
        <w:pStyle w:val="Ttulo3"/>
        <w:ind w:left="1276"/>
        <w:rPr>
          <w:rFonts w:asciiTheme="majorHAnsi" w:hAnsiTheme="majorHAnsi" w:cstheme="majorHAnsi"/>
        </w:rPr>
      </w:pPr>
      <w:bookmarkStart w:id="16" w:name="_Toc82101309"/>
      <w:r w:rsidRPr="00485F85">
        <w:rPr>
          <w:rFonts w:asciiTheme="majorHAnsi" w:hAnsiTheme="majorHAnsi" w:cstheme="majorHAnsi"/>
        </w:rPr>
        <w:t>DIMENSÃO 2. INFRAESTRUTURA FÍSICA</w:t>
      </w:r>
      <w:bookmarkEnd w:id="16"/>
    </w:p>
    <w:p w14:paraId="75ABF3C8" w14:textId="77777777" w:rsidR="004B5F7C" w:rsidRPr="00485F85" w:rsidRDefault="004B5F7C" w:rsidP="004B5F7C">
      <w:pPr>
        <w:rPr>
          <w:rFonts w:asciiTheme="majorHAnsi" w:hAnsiTheme="majorHAnsi" w:cstheme="majorHAnsi"/>
        </w:rPr>
      </w:pPr>
    </w:p>
    <w:p w14:paraId="32ADA587" w14:textId="5786311C" w:rsidR="004B5F7C" w:rsidRPr="00485F85" w:rsidRDefault="004B5F7C" w:rsidP="004B5F7C">
      <w:pPr>
        <w:pStyle w:val="Legenda"/>
        <w:rPr>
          <w:rFonts w:asciiTheme="majorHAnsi" w:hAnsiTheme="majorHAnsi" w:cstheme="majorHAnsi"/>
        </w:rPr>
      </w:pPr>
      <w:bookmarkStart w:id="17" w:name="_Hlk80140400"/>
      <w:r w:rsidRPr="00485F85">
        <w:rPr>
          <w:rFonts w:asciiTheme="majorHAnsi" w:hAnsiTheme="majorHAnsi" w:cstheme="majorHAnsi"/>
        </w:rPr>
        <w:t>Quadro 2 – Dimensão 2 – Pontos Fortes e Fracos</w:t>
      </w:r>
    </w:p>
    <w:tbl>
      <w:tblPr>
        <w:tblStyle w:val="Tabelacomgrade"/>
        <w:tblW w:w="9628" w:type="dxa"/>
        <w:tblLook w:val="04A0" w:firstRow="1" w:lastRow="0" w:firstColumn="1" w:lastColumn="0" w:noHBand="0" w:noVBand="1"/>
      </w:tblPr>
      <w:tblGrid>
        <w:gridCol w:w="4814"/>
        <w:gridCol w:w="4814"/>
      </w:tblGrid>
      <w:tr w:rsidR="00485F85" w:rsidRPr="00485F85" w14:paraId="197B3C44" w14:textId="77777777" w:rsidTr="00485F85">
        <w:tc>
          <w:tcPr>
            <w:tcW w:w="4814" w:type="dxa"/>
            <w:shd w:val="clear" w:color="auto" w:fill="4875BD" w:themeFill="accent1"/>
          </w:tcPr>
          <w:bookmarkEnd w:id="17"/>
          <w:p w14:paraId="1B21EA69" w14:textId="77777777" w:rsidR="00F71F0E" w:rsidRPr="00485F85" w:rsidRDefault="00F71F0E" w:rsidP="00485F85">
            <w:pPr>
              <w:spacing w:after="160" w:line="360" w:lineRule="auto"/>
              <w:rPr>
                <w:rFonts w:asciiTheme="majorHAnsi" w:hAnsiTheme="majorHAnsi" w:cstheme="majorHAnsi"/>
                <w:b/>
                <w:color w:val="FFFFFF" w:themeColor="background1"/>
              </w:rPr>
            </w:pPr>
            <w:r w:rsidRPr="00485F85">
              <w:rPr>
                <w:rFonts w:asciiTheme="majorHAnsi" w:hAnsiTheme="majorHAnsi" w:cstheme="majorHAnsi"/>
                <w:b/>
                <w:color w:val="FFFFFF" w:themeColor="background1"/>
              </w:rPr>
              <w:t>Pontos Fortes</w:t>
            </w:r>
          </w:p>
        </w:tc>
        <w:tc>
          <w:tcPr>
            <w:tcW w:w="4814" w:type="dxa"/>
            <w:shd w:val="clear" w:color="auto" w:fill="4875BD" w:themeFill="accent1"/>
          </w:tcPr>
          <w:p w14:paraId="7F2A6BEC" w14:textId="77777777" w:rsidR="00F71F0E" w:rsidRPr="00485F85" w:rsidRDefault="00F71F0E" w:rsidP="00485F85">
            <w:pPr>
              <w:spacing w:after="160" w:line="360" w:lineRule="auto"/>
              <w:rPr>
                <w:rFonts w:asciiTheme="majorHAnsi" w:hAnsiTheme="majorHAnsi" w:cstheme="majorHAnsi"/>
                <w:b/>
                <w:color w:val="FFFFFF" w:themeColor="background1"/>
              </w:rPr>
            </w:pPr>
            <w:r w:rsidRPr="00485F85">
              <w:rPr>
                <w:rFonts w:asciiTheme="majorHAnsi" w:hAnsiTheme="majorHAnsi" w:cstheme="majorHAnsi"/>
                <w:b/>
                <w:color w:val="FFFFFF" w:themeColor="background1"/>
              </w:rPr>
              <w:t>Pontos Fracos (Fragilidades)</w:t>
            </w:r>
          </w:p>
        </w:tc>
      </w:tr>
      <w:tr w:rsidR="00F71F0E" w:rsidRPr="00485F85" w14:paraId="2CCA5879" w14:textId="77777777" w:rsidTr="00BB72C8">
        <w:tc>
          <w:tcPr>
            <w:tcW w:w="4814" w:type="dxa"/>
          </w:tcPr>
          <w:p w14:paraId="3B66D46D" w14:textId="06902087" w:rsidR="00F71F0E" w:rsidRPr="00485F85" w:rsidRDefault="00F71F0E" w:rsidP="00485F85">
            <w:pPr>
              <w:spacing w:after="160" w:line="360" w:lineRule="auto"/>
              <w:jc w:val="both"/>
              <w:rPr>
                <w:rFonts w:asciiTheme="majorHAnsi" w:hAnsiTheme="majorHAnsi" w:cstheme="majorHAnsi"/>
              </w:rPr>
            </w:pPr>
            <w:r w:rsidRPr="00485F85">
              <w:rPr>
                <w:rFonts w:asciiTheme="majorHAnsi" w:hAnsiTheme="majorHAnsi" w:cstheme="majorHAnsi"/>
              </w:rPr>
              <w:t xml:space="preserve">- A quantidade de </w:t>
            </w:r>
            <w:r w:rsidRPr="00485F85">
              <w:rPr>
                <w:rFonts w:asciiTheme="majorHAnsi" w:hAnsiTheme="majorHAnsi" w:cstheme="majorHAnsi"/>
                <w:i/>
                <w:iCs/>
              </w:rPr>
              <w:t>Colleges</w:t>
            </w:r>
            <w:r w:rsidRPr="00485F85">
              <w:rPr>
                <w:rFonts w:asciiTheme="majorHAnsi" w:hAnsiTheme="majorHAnsi" w:cstheme="majorHAnsi"/>
              </w:rPr>
              <w:t xml:space="preserve"> e Halls existentes bem como a diversidade de </w:t>
            </w:r>
            <w:r w:rsidR="001B7A58" w:rsidRPr="00485F85">
              <w:rPr>
                <w:rFonts w:asciiTheme="majorHAnsi" w:hAnsiTheme="majorHAnsi" w:cstheme="majorHAnsi"/>
              </w:rPr>
              <w:t xml:space="preserve">suas instalações </w:t>
            </w:r>
            <w:r w:rsidRPr="00485F85">
              <w:rPr>
                <w:rFonts w:asciiTheme="majorHAnsi" w:hAnsiTheme="majorHAnsi" w:cstheme="majorHAnsi"/>
              </w:rPr>
              <w:t>proporciona aos alunos da graduação e pós-g</w:t>
            </w:r>
            <w:r w:rsidR="00BC6E65" w:rsidRPr="00485F85">
              <w:rPr>
                <w:rFonts w:asciiTheme="majorHAnsi" w:hAnsiTheme="majorHAnsi" w:cstheme="majorHAnsi"/>
              </w:rPr>
              <w:t>r</w:t>
            </w:r>
            <w:r w:rsidRPr="00485F85">
              <w:rPr>
                <w:rFonts w:asciiTheme="majorHAnsi" w:hAnsiTheme="majorHAnsi" w:cstheme="majorHAnsi"/>
              </w:rPr>
              <w:t>aduação a oportunidade de espaços estimulantes para a aprendizagem e o convívio.</w:t>
            </w:r>
          </w:p>
          <w:p w14:paraId="1A5EF4C5" w14:textId="77777777" w:rsidR="00552D82" w:rsidRPr="00485F85" w:rsidRDefault="00552D82" w:rsidP="00485F85">
            <w:pPr>
              <w:spacing w:after="160" w:line="360" w:lineRule="auto"/>
              <w:jc w:val="both"/>
              <w:rPr>
                <w:rFonts w:asciiTheme="majorHAnsi" w:hAnsiTheme="majorHAnsi" w:cstheme="majorHAnsi"/>
              </w:rPr>
            </w:pPr>
          </w:p>
          <w:p w14:paraId="72F03D2D" w14:textId="47E0F53E" w:rsidR="00F71F0E" w:rsidRPr="00485F85" w:rsidRDefault="00F71F0E" w:rsidP="00485F85">
            <w:pPr>
              <w:spacing w:after="160" w:line="360" w:lineRule="auto"/>
              <w:jc w:val="both"/>
              <w:rPr>
                <w:rFonts w:asciiTheme="majorHAnsi" w:hAnsiTheme="majorHAnsi" w:cstheme="majorHAnsi"/>
              </w:rPr>
            </w:pPr>
            <w:r w:rsidRPr="00485F85">
              <w:rPr>
                <w:rFonts w:asciiTheme="majorHAnsi" w:hAnsiTheme="majorHAnsi" w:cstheme="majorHAnsi"/>
              </w:rPr>
              <w:t xml:space="preserve">- A criação do GLAM fortalece a aproximação com a comunidade e otimiza os serviços culturais e </w:t>
            </w:r>
            <w:r w:rsidRPr="00485F85">
              <w:rPr>
                <w:rFonts w:asciiTheme="majorHAnsi" w:hAnsiTheme="majorHAnsi" w:cstheme="majorHAnsi"/>
              </w:rPr>
              <w:lastRenderedPageBreak/>
              <w:t>informacionais da instituição</w:t>
            </w:r>
          </w:p>
          <w:p w14:paraId="1C2D36E6" w14:textId="77777777" w:rsidR="00552D82" w:rsidRPr="00485F85" w:rsidRDefault="00552D82" w:rsidP="00485F85">
            <w:pPr>
              <w:spacing w:after="160" w:line="360" w:lineRule="auto"/>
              <w:jc w:val="both"/>
              <w:rPr>
                <w:rFonts w:asciiTheme="majorHAnsi" w:hAnsiTheme="majorHAnsi" w:cstheme="majorHAnsi"/>
              </w:rPr>
            </w:pPr>
          </w:p>
          <w:p w14:paraId="0567D08D" w14:textId="77777777" w:rsidR="00F71F0E" w:rsidRPr="00485F85" w:rsidRDefault="00F71F0E" w:rsidP="00485F85">
            <w:pPr>
              <w:spacing w:after="160" w:line="360" w:lineRule="auto"/>
              <w:jc w:val="both"/>
              <w:rPr>
                <w:rFonts w:asciiTheme="majorHAnsi" w:hAnsiTheme="majorHAnsi" w:cstheme="majorHAnsi"/>
              </w:rPr>
            </w:pPr>
            <w:r w:rsidRPr="00485F85">
              <w:rPr>
                <w:rFonts w:asciiTheme="majorHAnsi" w:hAnsiTheme="majorHAnsi" w:cstheme="majorHAnsi"/>
              </w:rPr>
              <w:t>- Escritório que centraliza as ações de manutenção e serviços de refeições.</w:t>
            </w:r>
          </w:p>
          <w:p w14:paraId="7020C01A" w14:textId="77777777" w:rsidR="00F71F0E" w:rsidRPr="00485F85" w:rsidRDefault="00F71F0E" w:rsidP="00485F85">
            <w:pPr>
              <w:spacing w:after="160" w:line="360" w:lineRule="auto"/>
              <w:jc w:val="both"/>
              <w:rPr>
                <w:rFonts w:asciiTheme="majorHAnsi" w:hAnsiTheme="majorHAnsi" w:cstheme="majorHAnsi"/>
              </w:rPr>
            </w:pPr>
          </w:p>
        </w:tc>
        <w:tc>
          <w:tcPr>
            <w:tcW w:w="4814" w:type="dxa"/>
          </w:tcPr>
          <w:p w14:paraId="004758E0" w14:textId="72BD6D0C" w:rsidR="00F71F0E" w:rsidRPr="00485F85" w:rsidRDefault="00F71F0E" w:rsidP="00485F85">
            <w:pPr>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Apesar da Universidade </w:t>
            </w:r>
            <w:r w:rsidR="001B7A58" w:rsidRPr="00485F85">
              <w:rPr>
                <w:rFonts w:asciiTheme="majorHAnsi" w:hAnsiTheme="majorHAnsi" w:cstheme="majorHAnsi"/>
              </w:rPr>
              <w:t>fornece</w:t>
            </w:r>
            <w:r w:rsidR="00BC6E65" w:rsidRPr="00485F85">
              <w:rPr>
                <w:rFonts w:asciiTheme="majorHAnsi" w:hAnsiTheme="majorHAnsi" w:cstheme="majorHAnsi"/>
              </w:rPr>
              <w:t>r</w:t>
            </w:r>
            <w:r w:rsidRPr="00485F85">
              <w:rPr>
                <w:rFonts w:asciiTheme="majorHAnsi" w:hAnsiTheme="majorHAnsi" w:cstheme="majorHAnsi"/>
              </w:rPr>
              <w:t xml:space="preserve"> muitas informações para o público notou-se poucos relatos a respeito dos laboratórios e espaços de práticas de acadêmicas no site em geral. Tudo isso porque esses espaços estão espalhados por todas as esferas de Oxford. Sejam nos </w:t>
            </w:r>
            <w:r w:rsidRPr="00485F85">
              <w:rPr>
                <w:rFonts w:asciiTheme="majorHAnsi" w:hAnsiTheme="majorHAnsi" w:cstheme="majorHAnsi"/>
                <w:i/>
                <w:iCs/>
              </w:rPr>
              <w:t>Colleges</w:t>
            </w:r>
            <w:r w:rsidRPr="00485F85">
              <w:rPr>
                <w:rFonts w:asciiTheme="majorHAnsi" w:hAnsiTheme="majorHAnsi" w:cstheme="majorHAnsi"/>
              </w:rPr>
              <w:t xml:space="preserve">, Divisões Acadêmicas, </w:t>
            </w:r>
            <w:r w:rsidRPr="00485F85">
              <w:rPr>
                <w:rFonts w:asciiTheme="majorHAnsi" w:hAnsiTheme="majorHAnsi" w:cstheme="majorHAnsi"/>
                <w:i/>
                <w:iCs/>
              </w:rPr>
              <w:t>Facultes</w:t>
            </w:r>
            <w:r w:rsidRPr="00485F85">
              <w:rPr>
                <w:rFonts w:asciiTheme="majorHAnsi" w:hAnsiTheme="majorHAnsi" w:cstheme="majorHAnsi"/>
              </w:rPr>
              <w:t xml:space="preserve"> ou Departamentos. Assim, para conhecer melhor essas instalações, os alunos precisam navegar nos sites das diversas esferas da universidade, bem como conhecer os espaços de </w:t>
            </w:r>
            <w:r w:rsidRPr="00485F85">
              <w:rPr>
                <w:rFonts w:asciiTheme="majorHAnsi" w:hAnsiTheme="majorHAnsi" w:cstheme="majorHAnsi"/>
              </w:rPr>
              <w:lastRenderedPageBreak/>
              <w:t xml:space="preserve">trabalho </w:t>
            </w:r>
            <w:r w:rsidRPr="00485F85">
              <w:rPr>
                <w:rFonts w:asciiTheme="majorHAnsi" w:hAnsiTheme="majorHAnsi" w:cstheme="majorHAnsi"/>
                <w:i/>
                <w:iCs/>
              </w:rPr>
              <w:t>inloco</w:t>
            </w:r>
            <w:r w:rsidRPr="00485F85">
              <w:rPr>
                <w:rFonts w:asciiTheme="majorHAnsi" w:hAnsiTheme="majorHAnsi" w:cstheme="majorHAnsi"/>
              </w:rPr>
              <w:t>.</w:t>
            </w:r>
          </w:p>
          <w:p w14:paraId="5EB6FB0F" w14:textId="0F4FB7B5" w:rsidR="00F71F0E" w:rsidRPr="00485F85" w:rsidRDefault="00F71F0E" w:rsidP="00485F85">
            <w:pPr>
              <w:spacing w:after="160" w:line="360" w:lineRule="auto"/>
              <w:jc w:val="both"/>
              <w:rPr>
                <w:rFonts w:asciiTheme="majorHAnsi" w:hAnsiTheme="majorHAnsi" w:cstheme="majorHAnsi"/>
              </w:rPr>
            </w:pPr>
          </w:p>
        </w:tc>
      </w:tr>
    </w:tbl>
    <w:p w14:paraId="498C6D0E" w14:textId="77777777" w:rsidR="004B5F7C" w:rsidRPr="00485F85" w:rsidRDefault="004B5F7C" w:rsidP="004B5F7C">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556C0ADB" w14:textId="77777777" w:rsidR="00015AFE" w:rsidRPr="00485F85" w:rsidRDefault="00015AFE" w:rsidP="00015AFE">
      <w:pPr>
        <w:tabs>
          <w:tab w:val="clear" w:pos="1615"/>
        </w:tabs>
        <w:spacing w:line="259" w:lineRule="auto"/>
        <w:rPr>
          <w:rFonts w:asciiTheme="majorHAnsi" w:hAnsiTheme="majorHAnsi" w:cstheme="majorHAnsi"/>
        </w:rPr>
      </w:pPr>
    </w:p>
    <w:p w14:paraId="16D9ABEB" w14:textId="77777777" w:rsidR="00BC6E65" w:rsidRPr="00485F85" w:rsidRDefault="00BC6E65" w:rsidP="00485F85">
      <w:pPr>
        <w:tabs>
          <w:tab w:val="clear" w:pos="1615"/>
        </w:tabs>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0AD786EB" w14:textId="77777777" w:rsidR="00BC6E65" w:rsidRPr="00485F85" w:rsidRDefault="00015AFE" w:rsidP="00485F85">
      <w:pPr>
        <w:pStyle w:val="PargrafodaLista"/>
        <w:numPr>
          <w:ilvl w:val="0"/>
          <w:numId w:val="42"/>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Importância de criar espaços de trabalho coletivos</w:t>
      </w:r>
      <w:r w:rsidR="00BC6E65" w:rsidRPr="00485F85">
        <w:rPr>
          <w:rFonts w:asciiTheme="majorHAnsi" w:hAnsiTheme="majorHAnsi" w:cstheme="majorHAnsi"/>
        </w:rPr>
        <w:t xml:space="preserve"> que estimulem o convívio e a aprendizagem;</w:t>
      </w:r>
    </w:p>
    <w:p w14:paraId="0CC974D0" w14:textId="3AA03318" w:rsidR="00552D82" w:rsidRPr="00485F85" w:rsidRDefault="00015AFE" w:rsidP="00485F85">
      <w:pPr>
        <w:pStyle w:val="PargrafodaLista"/>
        <w:numPr>
          <w:ilvl w:val="0"/>
          <w:numId w:val="42"/>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 xml:space="preserve">A centralização das ações de manutenção e serviços podem </w:t>
      </w:r>
      <w:r w:rsidR="00112315" w:rsidRPr="00485F85">
        <w:rPr>
          <w:rFonts w:asciiTheme="majorHAnsi" w:hAnsiTheme="majorHAnsi" w:cstheme="majorHAnsi"/>
        </w:rPr>
        <w:t>ajudar a definir prioridades</w:t>
      </w:r>
      <w:r w:rsidR="00BC6E65" w:rsidRPr="00485F85">
        <w:rPr>
          <w:rFonts w:asciiTheme="majorHAnsi" w:hAnsiTheme="majorHAnsi" w:cstheme="majorHAnsi"/>
        </w:rPr>
        <w:t xml:space="preserve"> e manter a </w:t>
      </w:r>
      <w:r w:rsidR="00E25EB7" w:rsidRPr="00485F85">
        <w:rPr>
          <w:rFonts w:asciiTheme="majorHAnsi" w:hAnsiTheme="majorHAnsi" w:cstheme="majorHAnsi"/>
        </w:rPr>
        <w:t>infraestrutura</w:t>
      </w:r>
      <w:r w:rsidR="00BC6E65" w:rsidRPr="00485F85">
        <w:rPr>
          <w:rFonts w:asciiTheme="majorHAnsi" w:hAnsiTheme="majorHAnsi" w:cstheme="majorHAnsi"/>
        </w:rPr>
        <w:t xml:space="preserve"> da universidade sempre organizada permitindo que os professores se preocupem apenas com ensino e pesquisa.</w:t>
      </w:r>
    </w:p>
    <w:p w14:paraId="2ED50061" w14:textId="1158AD09" w:rsidR="002740A1" w:rsidRPr="00485F85" w:rsidRDefault="002740A1" w:rsidP="00485F85">
      <w:pPr>
        <w:pStyle w:val="PargrafodaLista"/>
        <w:numPr>
          <w:ilvl w:val="0"/>
          <w:numId w:val="42"/>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Autonomia para gestão de espaços que não são o “négocio” principal da instituição como bibliotecas, museus, espaços de eventos, etc.</w:t>
      </w:r>
    </w:p>
    <w:p w14:paraId="20507DB3" w14:textId="42AF8FEB" w:rsidR="00F71F0E" w:rsidRPr="00485F85" w:rsidRDefault="00485F85" w:rsidP="00A206D5">
      <w:pPr>
        <w:pStyle w:val="Ttulo3"/>
        <w:ind w:left="1276"/>
        <w:rPr>
          <w:rFonts w:asciiTheme="majorHAnsi" w:hAnsiTheme="majorHAnsi" w:cstheme="majorHAnsi"/>
        </w:rPr>
      </w:pPr>
      <w:bookmarkStart w:id="18" w:name="_Toc82101310"/>
      <w:r w:rsidRPr="00485F85">
        <w:rPr>
          <w:rFonts w:asciiTheme="majorHAnsi" w:hAnsiTheme="majorHAnsi" w:cstheme="majorHAnsi"/>
        </w:rPr>
        <w:t>DIMENSÃO 3. COMUNIDADE UNIVERSITÁRIA/ ACADÊMICA</w:t>
      </w:r>
      <w:bookmarkEnd w:id="18"/>
    </w:p>
    <w:p w14:paraId="3C4D44C2" w14:textId="77777777" w:rsidR="004B5F7C" w:rsidRPr="00485F85" w:rsidRDefault="004B5F7C" w:rsidP="004B5F7C">
      <w:pPr>
        <w:rPr>
          <w:rFonts w:asciiTheme="majorHAnsi" w:hAnsiTheme="majorHAnsi" w:cstheme="majorHAnsi"/>
        </w:rPr>
      </w:pPr>
    </w:p>
    <w:p w14:paraId="7C4CD0F5" w14:textId="3DE4D54B" w:rsidR="004B5F7C" w:rsidRPr="00485F85" w:rsidRDefault="004B5F7C" w:rsidP="004B5F7C">
      <w:pPr>
        <w:pStyle w:val="Legenda"/>
        <w:rPr>
          <w:rFonts w:asciiTheme="majorHAnsi" w:hAnsiTheme="majorHAnsi" w:cstheme="majorHAnsi"/>
        </w:rPr>
      </w:pPr>
      <w:bookmarkStart w:id="19" w:name="_Hlk80140463"/>
      <w:r w:rsidRPr="00485F85">
        <w:rPr>
          <w:rFonts w:asciiTheme="majorHAnsi" w:hAnsiTheme="majorHAnsi" w:cstheme="majorHAnsi"/>
        </w:rPr>
        <w:t>Quadro 3 – Dimensão 3 – Pontos Fortes e Fracos</w:t>
      </w:r>
    </w:p>
    <w:tbl>
      <w:tblPr>
        <w:tblStyle w:val="Tabelacomgrade"/>
        <w:tblW w:w="9628" w:type="dxa"/>
        <w:tblLook w:val="04A0" w:firstRow="1" w:lastRow="0" w:firstColumn="1" w:lastColumn="0" w:noHBand="0" w:noVBand="1"/>
      </w:tblPr>
      <w:tblGrid>
        <w:gridCol w:w="4361"/>
        <w:gridCol w:w="5267"/>
      </w:tblGrid>
      <w:tr w:rsidR="00AB53F3" w:rsidRPr="00AB53F3" w14:paraId="08D92B8E" w14:textId="77777777" w:rsidTr="00AB53F3">
        <w:tc>
          <w:tcPr>
            <w:tcW w:w="4361" w:type="dxa"/>
            <w:shd w:val="clear" w:color="auto" w:fill="4875BD" w:themeFill="accent1"/>
          </w:tcPr>
          <w:bookmarkEnd w:id="19"/>
          <w:p w14:paraId="2924CC18" w14:textId="5D14F597" w:rsidR="00F71F0E" w:rsidRPr="00AB53F3" w:rsidRDefault="004B5F7C"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w:t>
            </w:r>
            <w:r w:rsidR="00F71F0E" w:rsidRPr="00AB53F3">
              <w:rPr>
                <w:rFonts w:asciiTheme="majorHAnsi" w:hAnsiTheme="majorHAnsi" w:cstheme="majorHAnsi"/>
                <w:b/>
                <w:bCs/>
                <w:color w:val="FFFFFF" w:themeColor="background1"/>
              </w:rPr>
              <w:t>ontos Fortes</w:t>
            </w:r>
          </w:p>
        </w:tc>
        <w:tc>
          <w:tcPr>
            <w:tcW w:w="5267" w:type="dxa"/>
            <w:shd w:val="clear" w:color="auto" w:fill="4875BD" w:themeFill="accent1"/>
          </w:tcPr>
          <w:p w14:paraId="03B66F51"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F71F0E" w:rsidRPr="00485F85" w14:paraId="7D87C2A9" w14:textId="77777777" w:rsidTr="00AB53F3">
        <w:tc>
          <w:tcPr>
            <w:tcW w:w="4361" w:type="dxa"/>
          </w:tcPr>
          <w:p w14:paraId="6E11BC94" w14:textId="46D0BA55"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Turmas reduzidas com possibilidade de realizar aulas direcionadas.</w:t>
            </w:r>
          </w:p>
          <w:p w14:paraId="50893B39" w14:textId="77777777" w:rsidR="00F71F0E" w:rsidRPr="00485F85" w:rsidRDefault="00F71F0E" w:rsidP="00AB53F3">
            <w:pPr>
              <w:tabs>
                <w:tab w:val="clear" w:pos="1615"/>
              </w:tabs>
              <w:spacing w:line="360" w:lineRule="auto"/>
              <w:jc w:val="both"/>
              <w:rPr>
                <w:rFonts w:asciiTheme="majorHAnsi" w:hAnsiTheme="majorHAnsi" w:cstheme="majorHAnsi"/>
              </w:rPr>
            </w:pPr>
          </w:p>
          <w:p w14:paraId="397C61FE" w14:textId="3BB1EC93"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Processo Seletivo realizado de forma coletiva. Muitas portas de entrada na Instituição.</w:t>
            </w:r>
          </w:p>
          <w:p w14:paraId="33CD8856" w14:textId="77777777" w:rsidR="00F71F0E" w:rsidRPr="00485F85" w:rsidRDefault="00F71F0E" w:rsidP="00AB53F3">
            <w:pPr>
              <w:tabs>
                <w:tab w:val="clear" w:pos="1615"/>
              </w:tabs>
              <w:spacing w:line="360" w:lineRule="auto"/>
              <w:jc w:val="both"/>
              <w:rPr>
                <w:rFonts w:asciiTheme="majorHAnsi" w:hAnsiTheme="majorHAnsi" w:cstheme="majorHAnsi"/>
              </w:rPr>
            </w:pPr>
          </w:p>
          <w:p w14:paraId="73C81A39" w14:textId="6EF42946"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 Universidade de Oxford possui seus esforços voltados para excelência em Pós-Graduação uma vez que a quantidade de vagas ofertadas é quase 3 vezes maior (3.932 na Graduação e :9.213 na pós-graduação).</w:t>
            </w:r>
          </w:p>
          <w:p w14:paraId="27E0610F" w14:textId="77777777" w:rsidR="00F71F0E" w:rsidRPr="00485F85" w:rsidRDefault="00F71F0E" w:rsidP="00AB53F3">
            <w:pPr>
              <w:tabs>
                <w:tab w:val="clear" w:pos="1615"/>
              </w:tabs>
              <w:spacing w:line="360" w:lineRule="auto"/>
              <w:jc w:val="both"/>
              <w:rPr>
                <w:rFonts w:asciiTheme="majorHAnsi" w:hAnsiTheme="majorHAnsi" w:cstheme="majorHAnsi"/>
              </w:rPr>
            </w:pPr>
          </w:p>
          <w:p w14:paraId="2B2F869A" w14:textId="65F85563"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A quantidade de gestores nomeados abarca </w:t>
            </w:r>
            <w:r w:rsidRPr="00485F85">
              <w:rPr>
                <w:rFonts w:asciiTheme="majorHAnsi" w:hAnsiTheme="majorHAnsi" w:cstheme="majorHAnsi"/>
              </w:rPr>
              <w:lastRenderedPageBreak/>
              <w:t>suficientemente a gestão descentralizada proposta pela Universidade</w:t>
            </w:r>
          </w:p>
          <w:p w14:paraId="02F0A81C" w14:textId="77777777" w:rsidR="00F71F0E" w:rsidRPr="00485F85" w:rsidRDefault="00F71F0E" w:rsidP="00AB53F3">
            <w:pPr>
              <w:tabs>
                <w:tab w:val="clear" w:pos="1615"/>
              </w:tabs>
              <w:spacing w:line="360" w:lineRule="auto"/>
              <w:jc w:val="both"/>
              <w:rPr>
                <w:rFonts w:asciiTheme="majorHAnsi" w:hAnsiTheme="majorHAnsi" w:cstheme="majorHAnsi"/>
              </w:rPr>
            </w:pPr>
          </w:p>
          <w:p w14:paraId="23ADF768" w14:textId="183B5395" w:rsidR="00F71F0E" w:rsidRPr="00485F85" w:rsidRDefault="00F71F0E" w:rsidP="00AB53F3">
            <w:pPr>
              <w:tabs>
                <w:tab w:val="clear" w:pos="1615"/>
              </w:tabs>
              <w:spacing w:line="360" w:lineRule="auto"/>
              <w:jc w:val="both"/>
              <w:rPr>
                <w:rFonts w:asciiTheme="majorHAnsi" w:hAnsiTheme="majorHAnsi" w:cstheme="majorHAnsi"/>
                <w:b/>
                <w:bCs/>
              </w:rPr>
            </w:pPr>
            <w:r w:rsidRPr="00485F85">
              <w:rPr>
                <w:rFonts w:asciiTheme="majorHAnsi" w:hAnsiTheme="majorHAnsi" w:cstheme="majorHAnsi"/>
              </w:rPr>
              <w:t xml:space="preserve">- O processo de seleção considera a trajetória acadêmica </w:t>
            </w:r>
            <w:r w:rsidR="00112315" w:rsidRPr="00485F85">
              <w:rPr>
                <w:rFonts w:asciiTheme="majorHAnsi" w:hAnsiTheme="majorHAnsi" w:cstheme="majorHAnsi"/>
              </w:rPr>
              <w:t>dos alunos</w:t>
            </w:r>
            <w:r w:rsidRPr="00485F85">
              <w:rPr>
                <w:rFonts w:asciiTheme="majorHAnsi" w:hAnsiTheme="majorHAnsi" w:cstheme="majorHAnsi"/>
              </w:rPr>
              <w:t xml:space="preserve"> além de oportunizar entrevistas e cartas de recomendação proporcionando uma seleção mais holística do aluno.</w:t>
            </w:r>
          </w:p>
        </w:tc>
        <w:tc>
          <w:tcPr>
            <w:tcW w:w="5267" w:type="dxa"/>
          </w:tcPr>
          <w:p w14:paraId="7F1051FF" w14:textId="77777777" w:rsidR="00BC6E65"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lastRenderedPageBreak/>
              <w:t xml:space="preserve">- Apesar do grande número de aplicações foi observado que as vagas disponíveis não são completadas na totalidade. Ou seja, o número de aplicações é grande e ainda </w:t>
            </w:r>
            <w:r w:rsidR="00112315" w:rsidRPr="00485F85">
              <w:rPr>
                <w:rFonts w:asciiTheme="majorHAnsi" w:hAnsiTheme="majorHAnsi" w:cstheme="majorHAnsi"/>
              </w:rPr>
              <w:t>sobram vagas</w:t>
            </w:r>
            <w:r w:rsidRPr="00485F85">
              <w:rPr>
                <w:rFonts w:asciiTheme="majorHAnsi" w:hAnsiTheme="majorHAnsi" w:cstheme="majorHAnsi"/>
              </w:rPr>
              <w:t xml:space="preserve"> a serem preenchidas.</w:t>
            </w:r>
            <w:r w:rsidR="00BC6E65" w:rsidRPr="00485F85">
              <w:rPr>
                <w:rFonts w:asciiTheme="majorHAnsi" w:hAnsiTheme="majorHAnsi" w:cstheme="majorHAnsi"/>
              </w:rPr>
              <w:t xml:space="preserve"> O que pode ferir o princípio da economicidade na esfera pública no Brasil, de fazer mais com menos.</w:t>
            </w:r>
          </w:p>
          <w:p w14:paraId="14EBEAE9" w14:textId="302694DB" w:rsidR="00F71F0E" w:rsidRPr="00485F85" w:rsidRDefault="00F71F0E" w:rsidP="00AB53F3">
            <w:pPr>
              <w:tabs>
                <w:tab w:val="clear" w:pos="1615"/>
              </w:tabs>
              <w:spacing w:after="160" w:line="360" w:lineRule="auto"/>
              <w:jc w:val="both"/>
              <w:rPr>
                <w:rFonts w:asciiTheme="majorHAnsi" w:hAnsiTheme="majorHAnsi" w:cstheme="majorHAnsi"/>
              </w:rPr>
            </w:pPr>
          </w:p>
          <w:p w14:paraId="399FA883" w14:textId="24E2FF98"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Não foi encontrado no site o porquê dessa “sobra” de vagas.</w:t>
            </w:r>
            <w:r w:rsidR="00E25EB7" w:rsidRPr="00485F85">
              <w:rPr>
                <w:rFonts w:asciiTheme="majorHAnsi" w:hAnsiTheme="majorHAnsi" w:cstheme="majorHAnsi"/>
              </w:rPr>
              <w:t xml:space="preserve"> Mas a pesquisadora pôde observar que a Universidade de Oxford deixa claro a necessidade de um desempenho superior para pertencer ao seu corpo discente. Outro ponto importante a ser considerado é a perspectiva de avanço social (de onde saiu o estudante </w:t>
            </w:r>
            <w:r w:rsidR="00E25EB7" w:rsidRPr="00485F85">
              <w:rPr>
                <w:rFonts w:asciiTheme="majorHAnsi" w:hAnsiTheme="majorHAnsi" w:cstheme="majorHAnsi"/>
              </w:rPr>
              <w:lastRenderedPageBreak/>
              <w:t>e aonde ele chegou). Nessa perspectiva os resultados podem ser pífios.</w:t>
            </w:r>
          </w:p>
          <w:p w14:paraId="07717D35" w14:textId="77777777" w:rsidR="00E25EB7"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Apesar da maior quantidade de vagas da Instituição ser ofertada para a pós-graduação a maioria esmagadora de alunos tentantes é graduandos (23</w:t>
            </w:r>
            <w:r w:rsidR="00E25EB7" w:rsidRPr="00485F85">
              <w:rPr>
                <w:rFonts w:asciiTheme="majorHAnsi" w:hAnsiTheme="majorHAnsi" w:cstheme="majorHAnsi"/>
              </w:rPr>
              <w:t>.</w:t>
            </w:r>
            <w:r w:rsidRPr="00485F85">
              <w:rPr>
                <w:rFonts w:asciiTheme="majorHAnsi" w:hAnsiTheme="majorHAnsi" w:cstheme="majorHAnsi"/>
              </w:rPr>
              <w:t xml:space="preserve">414 graduandos inscritos para 3.932 vagas contra 30.861 candidatos da pós-graduação para 9.213 vagas) denotando que a estratégia de captação </w:t>
            </w:r>
            <w:r w:rsidR="00E25EB7" w:rsidRPr="00485F85">
              <w:rPr>
                <w:rFonts w:asciiTheme="majorHAnsi" w:hAnsiTheme="majorHAnsi" w:cstheme="majorHAnsi"/>
              </w:rPr>
              <w:t>pode ser revista para equilibrar um pouco mais a realidade.</w:t>
            </w:r>
          </w:p>
          <w:p w14:paraId="67DF5333" w14:textId="2DBDE990" w:rsidR="00F71F0E" w:rsidRPr="00485F85" w:rsidRDefault="00F71F0E" w:rsidP="00AB53F3">
            <w:pPr>
              <w:tabs>
                <w:tab w:val="clear" w:pos="1615"/>
              </w:tabs>
              <w:spacing w:after="160" w:line="360" w:lineRule="auto"/>
              <w:jc w:val="both"/>
              <w:rPr>
                <w:rFonts w:asciiTheme="majorHAnsi" w:hAnsiTheme="majorHAnsi" w:cstheme="majorHAnsi"/>
                <w:b/>
                <w:bCs/>
              </w:rPr>
            </w:pPr>
          </w:p>
        </w:tc>
      </w:tr>
    </w:tbl>
    <w:p w14:paraId="067395AB" w14:textId="77777777" w:rsidR="004B5F7C" w:rsidRPr="00485F85" w:rsidRDefault="004B5F7C" w:rsidP="004B5F7C">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4F1E89C9" w14:textId="77777777" w:rsidR="00E25EB7" w:rsidRPr="00485F85" w:rsidRDefault="00E25EB7" w:rsidP="00485F85">
      <w:pPr>
        <w:tabs>
          <w:tab w:val="clear" w:pos="1615"/>
        </w:tabs>
        <w:spacing w:line="276" w:lineRule="auto"/>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57ADDCD8" w14:textId="6970941A" w:rsidR="00112315" w:rsidRPr="00485F85" w:rsidRDefault="00112315" w:rsidP="00485F85">
      <w:pPr>
        <w:pStyle w:val="PargrafodaLista"/>
        <w:numPr>
          <w:ilvl w:val="0"/>
          <w:numId w:val="43"/>
        </w:numPr>
        <w:tabs>
          <w:tab w:val="clear" w:pos="1615"/>
        </w:tabs>
        <w:spacing w:line="276" w:lineRule="auto"/>
        <w:jc w:val="both"/>
        <w:rPr>
          <w:rFonts w:asciiTheme="majorHAnsi" w:hAnsiTheme="majorHAnsi" w:cstheme="majorHAnsi"/>
        </w:rPr>
      </w:pPr>
      <w:r w:rsidRPr="00485F85">
        <w:rPr>
          <w:rFonts w:asciiTheme="majorHAnsi" w:hAnsiTheme="majorHAnsi" w:cstheme="majorHAnsi"/>
        </w:rPr>
        <w:t>A educação de qualidade requer uma proporção razoável professor/aluno</w:t>
      </w:r>
      <w:r w:rsidR="00E25EB7" w:rsidRPr="00485F85">
        <w:rPr>
          <w:rFonts w:asciiTheme="majorHAnsi" w:hAnsiTheme="majorHAnsi" w:cstheme="majorHAnsi"/>
        </w:rPr>
        <w:t>;</w:t>
      </w:r>
    </w:p>
    <w:p w14:paraId="00D05539" w14:textId="1EEE97BE" w:rsidR="00112315" w:rsidRPr="00485F85" w:rsidRDefault="00FC2B9A" w:rsidP="00485F85">
      <w:pPr>
        <w:pStyle w:val="PargrafodaLista"/>
        <w:numPr>
          <w:ilvl w:val="0"/>
          <w:numId w:val="43"/>
        </w:numPr>
        <w:tabs>
          <w:tab w:val="clear" w:pos="1615"/>
        </w:tabs>
        <w:spacing w:line="276" w:lineRule="auto"/>
        <w:jc w:val="both"/>
        <w:rPr>
          <w:rFonts w:asciiTheme="majorHAnsi" w:hAnsiTheme="majorHAnsi" w:cstheme="majorHAnsi"/>
        </w:rPr>
      </w:pPr>
      <w:r w:rsidRPr="00485F85">
        <w:rPr>
          <w:rFonts w:asciiTheme="majorHAnsi" w:hAnsiTheme="majorHAnsi" w:cstheme="majorHAnsi"/>
        </w:rPr>
        <w:t>O processo seletivo deve contemplar um olhar mais múltiplo quanto</w:t>
      </w:r>
      <w:r w:rsidR="0090680C" w:rsidRPr="00485F85">
        <w:rPr>
          <w:rFonts w:asciiTheme="majorHAnsi" w:hAnsiTheme="majorHAnsi" w:cstheme="majorHAnsi"/>
        </w:rPr>
        <w:t xml:space="preserve"> as</w:t>
      </w:r>
      <w:r w:rsidRPr="00485F85">
        <w:rPr>
          <w:rFonts w:asciiTheme="majorHAnsi" w:hAnsiTheme="majorHAnsi" w:cstheme="majorHAnsi"/>
        </w:rPr>
        <w:t xml:space="preserve"> habilidades dos futuros estudantes</w:t>
      </w:r>
      <w:r w:rsidR="00E25EB7" w:rsidRPr="00485F85">
        <w:rPr>
          <w:rFonts w:asciiTheme="majorHAnsi" w:hAnsiTheme="majorHAnsi" w:cstheme="majorHAnsi"/>
        </w:rPr>
        <w:t>;</w:t>
      </w:r>
    </w:p>
    <w:p w14:paraId="6718A8FB" w14:textId="69B5F52E" w:rsidR="0090680C" w:rsidRPr="00485F85" w:rsidRDefault="0090680C" w:rsidP="00485F85">
      <w:pPr>
        <w:pStyle w:val="PargrafodaLista"/>
        <w:numPr>
          <w:ilvl w:val="0"/>
          <w:numId w:val="43"/>
        </w:numPr>
        <w:tabs>
          <w:tab w:val="clear" w:pos="1615"/>
        </w:tabs>
        <w:spacing w:line="276" w:lineRule="auto"/>
        <w:jc w:val="both"/>
        <w:rPr>
          <w:rFonts w:asciiTheme="majorHAnsi" w:hAnsiTheme="majorHAnsi" w:cstheme="majorHAnsi"/>
        </w:rPr>
      </w:pPr>
      <w:r w:rsidRPr="00485F85">
        <w:rPr>
          <w:rFonts w:asciiTheme="majorHAnsi" w:hAnsiTheme="majorHAnsi" w:cstheme="majorHAnsi"/>
        </w:rPr>
        <w:t>Uma universidade com foco na pesquisa, automaticamente gera resultados satisfatórios nos outros dois pilares (ensino e extensão).</w:t>
      </w:r>
    </w:p>
    <w:p w14:paraId="048BC493" w14:textId="1EED2646" w:rsidR="002740A1" w:rsidRPr="00485F85" w:rsidRDefault="002740A1" w:rsidP="00485F85">
      <w:pPr>
        <w:pStyle w:val="PargrafodaLista"/>
        <w:numPr>
          <w:ilvl w:val="0"/>
          <w:numId w:val="43"/>
        </w:numPr>
        <w:tabs>
          <w:tab w:val="clear" w:pos="1615"/>
        </w:tabs>
        <w:spacing w:line="276" w:lineRule="auto"/>
        <w:jc w:val="both"/>
        <w:rPr>
          <w:rFonts w:asciiTheme="majorHAnsi" w:hAnsiTheme="majorHAnsi" w:cstheme="majorHAnsi"/>
        </w:rPr>
      </w:pPr>
      <w:r w:rsidRPr="00485F85">
        <w:rPr>
          <w:rFonts w:asciiTheme="majorHAnsi" w:hAnsiTheme="majorHAnsi" w:cstheme="majorHAnsi"/>
        </w:rPr>
        <w:t xml:space="preserve">Oxford mostra que o não preenchimento da totalidade de vagas é uma prática aceitável e que seus resultados não são impactados por isso. </w:t>
      </w:r>
    </w:p>
    <w:p w14:paraId="683AF450" w14:textId="5B889547" w:rsidR="00F71F0E" w:rsidRPr="00485F85" w:rsidRDefault="00485F85" w:rsidP="00A206D5">
      <w:pPr>
        <w:pStyle w:val="Ttulo3"/>
        <w:ind w:left="1276"/>
        <w:rPr>
          <w:rFonts w:asciiTheme="majorHAnsi" w:hAnsiTheme="majorHAnsi" w:cstheme="majorHAnsi"/>
        </w:rPr>
      </w:pPr>
      <w:bookmarkStart w:id="20" w:name="_Toc82101311"/>
      <w:r w:rsidRPr="00485F85">
        <w:rPr>
          <w:rFonts w:asciiTheme="majorHAnsi" w:hAnsiTheme="majorHAnsi" w:cstheme="majorHAnsi"/>
        </w:rPr>
        <w:t>DIMENSÃO 4. ENSINO</w:t>
      </w:r>
      <w:bookmarkEnd w:id="20"/>
    </w:p>
    <w:p w14:paraId="13564C5E" w14:textId="098878EF" w:rsidR="00F71F0E" w:rsidRPr="00485F85" w:rsidRDefault="00F71F0E" w:rsidP="00F71F0E">
      <w:pPr>
        <w:rPr>
          <w:rFonts w:asciiTheme="majorHAnsi" w:hAnsiTheme="majorHAnsi" w:cstheme="majorHAnsi"/>
        </w:rPr>
      </w:pPr>
    </w:p>
    <w:p w14:paraId="0A61DCB7" w14:textId="63B9DEC7" w:rsidR="00904F9B" w:rsidRPr="00485F85" w:rsidRDefault="00904F9B" w:rsidP="00904F9B">
      <w:pPr>
        <w:pStyle w:val="Legenda"/>
        <w:rPr>
          <w:rFonts w:asciiTheme="majorHAnsi" w:hAnsiTheme="majorHAnsi" w:cstheme="majorHAnsi"/>
        </w:rPr>
      </w:pPr>
      <w:bookmarkStart w:id="21" w:name="_Hlk80140872"/>
      <w:r w:rsidRPr="00485F85">
        <w:rPr>
          <w:rFonts w:asciiTheme="majorHAnsi" w:hAnsiTheme="majorHAnsi" w:cstheme="majorHAnsi"/>
        </w:rPr>
        <w:t>Quadro 4 – Dimensão 4 – Pontos Fortes e Fracos</w:t>
      </w:r>
    </w:p>
    <w:tbl>
      <w:tblPr>
        <w:tblStyle w:val="Tabelacomgrade"/>
        <w:tblW w:w="9628" w:type="dxa"/>
        <w:tblLook w:val="04A0" w:firstRow="1" w:lastRow="0" w:firstColumn="1" w:lastColumn="0" w:noHBand="0" w:noVBand="1"/>
      </w:tblPr>
      <w:tblGrid>
        <w:gridCol w:w="6771"/>
        <w:gridCol w:w="2857"/>
      </w:tblGrid>
      <w:tr w:rsidR="00AB53F3" w:rsidRPr="00AB53F3" w14:paraId="15CFA113" w14:textId="77777777" w:rsidTr="00AB53F3">
        <w:tc>
          <w:tcPr>
            <w:tcW w:w="6771" w:type="dxa"/>
            <w:shd w:val="clear" w:color="auto" w:fill="4875BD" w:themeFill="accent1"/>
          </w:tcPr>
          <w:bookmarkEnd w:id="21"/>
          <w:p w14:paraId="53249F23"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2857" w:type="dxa"/>
            <w:shd w:val="clear" w:color="auto" w:fill="4875BD" w:themeFill="accent1"/>
          </w:tcPr>
          <w:p w14:paraId="3EF9F242"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F71F0E" w:rsidRPr="00485F85" w14:paraId="363B831A" w14:textId="77777777" w:rsidTr="00AB53F3">
        <w:tc>
          <w:tcPr>
            <w:tcW w:w="6771" w:type="dxa"/>
          </w:tcPr>
          <w:p w14:paraId="6B74799B" w14:textId="3175C11A" w:rsidR="00B00E21" w:rsidRPr="00485F85" w:rsidRDefault="00B00E2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Cursos de graduação concentrados na Divisão Acadêmica Humanities Division, com 22 cursos ofertados seguido da </w:t>
            </w:r>
            <w:r w:rsidR="00E25EB7" w:rsidRPr="00485F85">
              <w:rPr>
                <w:rFonts w:asciiTheme="majorHAnsi" w:hAnsiTheme="majorHAnsi" w:cstheme="majorHAnsi"/>
              </w:rPr>
              <w:t>Divisão</w:t>
            </w:r>
            <w:r w:rsidRPr="00485F85">
              <w:rPr>
                <w:rFonts w:asciiTheme="majorHAnsi" w:hAnsiTheme="majorHAnsi" w:cstheme="majorHAnsi"/>
              </w:rPr>
              <w:t xml:space="preserve"> </w:t>
            </w:r>
            <w:r w:rsidR="00E25EB7" w:rsidRPr="00485F85">
              <w:rPr>
                <w:rFonts w:asciiTheme="majorHAnsi" w:hAnsiTheme="majorHAnsi" w:cstheme="majorHAnsi"/>
              </w:rPr>
              <w:t>M</w:t>
            </w:r>
            <w:r w:rsidRPr="00485F85">
              <w:rPr>
                <w:rFonts w:asciiTheme="majorHAnsi" w:hAnsiTheme="majorHAnsi" w:cstheme="majorHAnsi"/>
              </w:rPr>
              <w:t>athematical, Physical and Life Sciences Division com 10 cursos.</w:t>
            </w:r>
          </w:p>
          <w:p w14:paraId="77776B52" w14:textId="77777777" w:rsidR="00B00E21" w:rsidRPr="00485F85" w:rsidRDefault="00B00E2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Cursos de pós-graduação concentrados na Divisão Acadêmica Social Sciences Division com 148 cursos seguida da Divisão Acadêmica Humanities Division, com 117.</w:t>
            </w:r>
          </w:p>
          <w:p w14:paraId="3B5D24F2" w14:textId="6728F977" w:rsidR="00B00E21" w:rsidRPr="00485F85" w:rsidRDefault="00B00E2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- 39 tipos de Bolsas de Estudo diferentes para alunos de Graduação. Oxford gasta centralmente cerca de £ 8 milhões anualmente em apoio </w:t>
            </w:r>
            <w:r w:rsidRPr="00485F85">
              <w:rPr>
                <w:rFonts w:asciiTheme="majorHAnsi" w:hAnsiTheme="majorHAnsi" w:cstheme="majorHAnsi"/>
              </w:rPr>
              <w:lastRenderedPageBreak/>
              <w:t>financeiro para alunos de graduação.</w:t>
            </w:r>
          </w:p>
          <w:p w14:paraId="01E7CC15" w14:textId="77777777" w:rsidR="00B00E21" w:rsidRPr="00485F85" w:rsidRDefault="00B00E2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-77 tipos de Bolsa de Estudo automáticas as quais o candidato já concorre assim que faz a sua aplicação e mais 12 tipos de Bolsas de Estudo que requerem inscrição do aluno.</w:t>
            </w:r>
          </w:p>
          <w:p w14:paraId="3CA74F36" w14:textId="2836E20C" w:rsidR="00F71F0E" w:rsidRPr="00485F85" w:rsidRDefault="00B00E2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Para o ano acadêmico de 2019-20, pouco mais da metade de nossos novos alunos de pós-graduação receberam financiamento total ou parcial da Universidade ou de</w:t>
            </w:r>
            <w:r w:rsidR="00920024" w:rsidRPr="00485F85">
              <w:rPr>
                <w:rFonts w:asciiTheme="majorHAnsi" w:hAnsiTheme="majorHAnsi" w:cstheme="majorHAnsi"/>
              </w:rPr>
              <w:t xml:space="preserve"> </w:t>
            </w:r>
            <w:r w:rsidR="00F71F0E" w:rsidRPr="00485F85">
              <w:rPr>
                <w:rFonts w:asciiTheme="majorHAnsi" w:hAnsiTheme="majorHAnsi" w:cstheme="majorHAnsi"/>
              </w:rPr>
              <w:t>Oferta de Bolsas e Financiamentos para graduação e pós-graduação.</w:t>
            </w:r>
          </w:p>
          <w:p w14:paraId="7996A401" w14:textId="77777777"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w:t>
            </w:r>
            <w:r w:rsidRPr="00485F85">
              <w:rPr>
                <w:rFonts w:asciiTheme="majorHAnsi" w:hAnsiTheme="majorHAnsi" w:cstheme="majorHAnsi"/>
                <w:i/>
                <w:iCs/>
              </w:rPr>
              <w:t>Colleges</w:t>
            </w:r>
            <w:r w:rsidRPr="00485F85">
              <w:rPr>
                <w:rFonts w:asciiTheme="majorHAnsi" w:hAnsiTheme="majorHAnsi" w:cstheme="majorHAnsi"/>
              </w:rPr>
              <w:t xml:space="preserve">, </w:t>
            </w:r>
            <w:r w:rsidRPr="00485F85">
              <w:rPr>
                <w:rFonts w:asciiTheme="majorHAnsi" w:hAnsiTheme="majorHAnsi" w:cstheme="majorHAnsi"/>
                <w:i/>
                <w:iCs/>
              </w:rPr>
              <w:t>Faculties</w:t>
            </w:r>
            <w:r w:rsidRPr="00485F85">
              <w:rPr>
                <w:rFonts w:asciiTheme="majorHAnsi" w:hAnsiTheme="majorHAnsi" w:cstheme="majorHAnsi"/>
              </w:rPr>
              <w:t xml:space="preserve">, e Divisões Acadêmicas podem oferecer os mesmos cursos porém com abordagens diferentes sem gerar concorrência interna, mas trazendo a oportunidade de se pensar a disciplina/cursos por abordagens diferentes </w:t>
            </w:r>
            <w:hyperlink r:id="rId18" w:history="1">
              <w:r w:rsidRPr="00485F85">
                <w:rPr>
                  <w:rStyle w:val="Hyperlink"/>
                  <w:rFonts w:asciiTheme="majorHAnsi" w:hAnsiTheme="majorHAnsi" w:cstheme="majorHAnsi"/>
                </w:rPr>
                <w:t>https://www.ox.ac.uk/admissions/undergraduate/colleges/which-oxford-colleges-offer-my-course</w:t>
              </w:r>
            </w:hyperlink>
            <w:r w:rsidRPr="00485F85">
              <w:rPr>
                <w:rFonts w:asciiTheme="majorHAnsi" w:hAnsiTheme="majorHAnsi" w:cstheme="majorHAnsi"/>
              </w:rPr>
              <w:t xml:space="preserve"> </w:t>
            </w:r>
          </w:p>
          <w:p w14:paraId="6B2A9264" w14:textId="77777777"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Não há alinhamento de área dos </w:t>
            </w:r>
            <w:r w:rsidRPr="00485F85">
              <w:rPr>
                <w:rFonts w:asciiTheme="majorHAnsi" w:hAnsiTheme="majorHAnsi" w:cstheme="majorHAnsi"/>
                <w:i/>
                <w:iCs/>
              </w:rPr>
              <w:t>Colleges</w:t>
            </w:r>
            <w:r w:rsidRPr="00485F85">
              <w:rPr>
                <w:rFonts w:asciiTheme="majorHAnsi" w:hAnsiTheme="majorHAnsi" w:cstheme="majorHAnsi"/>
              </w:rPr>
              <w:t xml:space="preserve"> sendo possível que no mesmo </w:t>
            </w:r>
            <w:r w:rsidRPr="00485F85">
              <w:rPr>
                <w:rFonts w:asciiTheme="majorHAnsi" w:hAnsiTheme="majorHAnsi" w:cstheme="majorHAnsi"/>
                <w:i/>
                <w:iCs/>
              </w:rPr>
              <w:t>College</w:t>
            </w:r>
            <w:r w:rsidRPr="00485F85">
              <w:rPr>
                <w:rFonts w:asciiTheme="majorHAnsi" w:hAnsiTheme="majorHAnsi" w:cstheme="majorHAnsi"/>
              </w:rPr>
              <w:t xml:space="preserve"> se encontre alunos de diferentes divisões acadêmicas. O que favorece a interdisciplinaridade dos conhecimentos. </w:t>
            </w:r>
          </w:p>
          <w:p w14:paraId="7BC08D9F" w14:textId="64804CBA"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A metodologia ativa disciplina o aluno e promove um conhecimento construtivista.</w:t>
            </w:r>
          </w:p>
          <w:p w14:paraId="25060F5D" w14:textId="77777777"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A quantidade de gestores nomeados abarca suficientemente a gestão descentralizada proposta pela Universidade</w:t>
            </w:r>
          </w:p>
          <w:p w14:paraId="2740322E" w14:textId="5C8AA0BA" w:rsidR="00F71F0E" w:rsidRPr="00485F85" w:rsidRDefault="00F71F0E" w:rsidP="00AB53F3">
            <w:pPr>
              <w:tabs>
                <w:tab w:val="clear" w:pos="1615"/>
              </w:tabs>
              <w:spacing w:after="160" w:line="360" w:lineRule="auto"/>
              <w:jc w:val="both"/>
              <w:rPr>
                <w:rFonts w:asciiTheme="majorHAnsi" w:hAnsiTheme="majorHAnsi" w:cstheme="majorHAnsi"/>
                <w:b/>
                <w:bCs/>
              </w:rPr>
            </w:pPr>
            <w:r w:rsidRPr="00485F85">
              <w:rPr>
                <w:rFonts w:asciiTheme="majorHAnsi" w:hAnsiTheme="majorHAnsi" w:cstheme="majorHAnsi"/>
              </w:rPr>
              <w:t>- O processo de seleção considera a trajetória acadêmica do</w:t>
            </w:r>
            <w:r w:rsidR="00920024" w:rsidRPr="00485F85">
              <w:rPr>
                <w:rFonts w:asciiTheme="majorHAnsi" w:hAnsiTheme="majorHAnsi" w:cstheme="majorHAnsi"/>
              </w:rPr>
              <w:t>s</w:t>
            </w:r>
            <w:r w:rsidRPr="00485F85">
              <w:rPr>
                <w:rFonts w:asciiTheme="majorHAnsi" w:hAnsiTheme="majorHAnsi" w:cstheme="majorHAnsi"/>
              </w:rPr>
              <w:t xml:space="preserve"> alunos além de oportunizar entrevistas e cartas de recomendação proporcionando uma seleção mais holística do aluno.</w:t>
            </w:r>
          </w:p>
        </w:tc>
        <w:tc>
          <w:tcPr>
            <w:tcW w:w="2857" w:type="dxa"/>
          </w:tcPr>
          <w:p w14:paraId="683261D6" w14:textId="2F947258"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w:t>
            </w:r>
            <w:r w:rsidR="00E25EB7" w:rsidRPr="00485F85">
              <w:rPr>
                <w:rFonts w:asciiTheme="majorHAnsi" w:hAnsiTheme="majorHAnsi" w:cstheme="majorHAnsi"/>
              </w:rPr>
              <w:t xml:space="preserve">- </w:t>
            </w:r>
            <w:r w:rsidR="00920024" w:rsidRPr="00485F85">
              <w:rPr>
                <w:rFonts w:asciiTheme="majorHAnsi" w:hAnsiTheme="majorHAnsi" w:cstheme="majorHAnsi"/>
              </w:rPr>
              <w:t>O sistema de alto desempenho na entrada pode comprometer o papel social institucional.</w:t>
            </w:r>
          </w:p>
          <w:p w14:paraId="7B27AA2C" w14:textId="4B21B472" w:rsidR="00920024" w:rsidRPr="00485F85" w:rsidRDefault="00E25EB7"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w:t>
            </w:r>
            <w:r w:rsidR="00920024" w:rsidRPr="00485F85">
              <w:rPr>
                <w:rFonts w:asciiTheme="majorHAnsi" w:hAnsiTheme="majorHAnsi" w:cstheme="majorHAnsi"/>
              </w:rPr>
              <w:t>Altos gastos realizados com bolsas</w:t>
            </w:r>
            <w:r w:rsidRPr="00485F85">
              <w:rPr>
                <w:rFonts w:asciiTheme="majorHAnsi" w:hAnsiTheme="majorHAnsi" w:cstheme="majorHAnsi"/>
              </w:rPr>
              <w:t xml:space="preserve"> podem ser </w:t>
            </w:r>
            <w:r w:rsidR="00920024" w:rsidRPr="00485F85">
              <w:rPr>
                <w:rFonts w:asciiTheme="majorHAnsi" w:hAnsiTheme="majorHAnsi" w:cstheme="majorHAnsi"/>
              </w:rPr>
              <w:t>um ponto fraco para uma instituição pública nacional</w:t>
            </w:r>
            <w:r w:rsidRPr="00485F85">
              <w:rPr>
                <w:rFonts w:asciiTheme="majorHAnsi" w:hAnsiTheme="majorHAnsi" w:cstheme="majorHAnsi"/>
              </w:rPr>
              <w:t xml:space="preserve">. Já que o governo é quem deveria dar </w:t>
            </w:r>
            <w:r w:rsidRPr="00485F85">
              <w:rPr>
                <w:rFonts w:asciiTheme="majorHAnsi" w:hAnsiTheme="majorHAnsi" w:cstheme="majorHAnsi"/>
              </w:rPr>
              <w:lastRenderedPageBreak/>
              <w:t>conta de todos os subsídios.</w:t>
            </w:r>
          </w:p>
          <w:p w14:paraId="75DCE49E" w14:textId="12858DE2" w:rsidR="00920024" w:rsidRPr="00485F85" w:rsidRDefault="00E25EB7"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xml:space="preserve">- </w:t>
            </w:r>
            <w:r w:rsidR="00920024" w:rsidRPr="00485F85">
              <w:rPr>
                <w:rFonts w:asciiTheme="majorHAnsi" w:hAnsiTheme="majorHAnsi" w:cstheme="majorHAnsi"/>
              </w:rPr>
              <w:t>Cursos com abordagens diferentes</w:t>
            </w:r>
            <w:r w:rsidR="003C7CA9" w:rsidRPr="00485F85">
              <w:rPr>
                <w:rFonts w:asciiTheme="majorHAnsi" w:hAnsiTheme="majorHAnsi" w:cstheme="majorHAnsi"/>
              </w:rPr>
              <w:t>, interdisciplinares ainda é um problema no Brasil.</w:t>
            </w:r>
          </w:p>
        </w:tc>
      </w:tr>
    </w:tbl>
    <w:p w14:paraId="7AD8757F"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5EEA3481" w14:textId="2501DA4B" w:rsidR="00E25EB7" w:rsidRDefault="00E25EB7" w:rsidP="00E25EB7">
      <w:pPr>
        <w:tabs>
          <w:tab w:val="clear" w:pos="1615"/>
        </w:tabs>
        <w:spacing w:after="0" w:line="360" w:lineRule="auto"/>
        <w:jc w:val="both"/>
        <w:rPr>
          <w:rFonts w:asciiTheme="majorHAnsi" w:hAnsiTheme="majorHAnsi" w:cstheme="majorHAnsi"/>
        </w:rPr>
      </w:pPr>
    </w:p>
    <w:p w14:paraId="43FF0857" w14:textId="0486B84C" w:rsidR="00E25EB7" w:rsidRPr="00485F85" w:rsidRDefault="00E25EB7" w:rsidP="00AB53F3">
      <w:pPr>
        <w:tabs>
          <w:tab w:val="clear" w:pos="1615"/>
        </w:tabs>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37FD01D0" w14:textId="323B594F" w:rsidR="00E10B2A" w:rsidRPr="00485F85" w:rsidRDefault="00E10B2A" w:rsidP="00AB53F3">
      <w:pPr>
        <w:pStyle w:val="PargrafodaLista"/>
        <w:numPr>
          <w:ilvl w:val="0"/>
          <w:numId w:val="50"/>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 xml:space="preserve">O sistema de bolsa de Oxford ocorre para muitos estudantes, alguns que não podem custear os estudos e alguns em situação de vulnerabilidade, </w:t>
      </w:r>
      <w:r w:rsidR="0067159B" w:rsidRPr="00485F85">
        <w:rPr>
          <w:rFonts w:asciiTheme="majorHAnsi" w:hAnsiTheme="majorHAnsi" w:cstheme="majorHAnsi"/>
        </w:rPr>
        <w:t>contudo</w:t>
      </w:r>
      <w:r w:rsidRPr="00485F85">
        <w:rPr>
          <w:rFonts w:asciiTheme="majorHAnsi" w:hAnsiTheme="majorHAnsi" w:cstheme="majorHAnsi"/>
        </w:rPr>
        <w:t xml:space="preserve"> o fator em comum é a alta performance do aluno, considerando toda </w:t>
      </w:r>
      <w:r w:rsidR="0067159B" w:rsidRPr="00485F85">
        <w:rPr>
          <w:rFonts w:asciiTheme="majorHAnsi" w:hAnsiTheme="majorHAnsi" w:cstheme="majorHAnsi"/>
        </w:rPr>
        <w:t xml:space="preserve">sua </w:t>
      </w:r>
      <w:r w:rsidRPr="00485F85">
        <w:rPr>
          <w:rFonts w:asciiTheme="majorHAnsi" w:hAnsiTheme="majorHAnsi" w:cstheme="majorHAnsi"/>
        </w:rPr>
        <w:t>uma trajetória</w:t>
      </w:r>
      <w:r w:rsidR="0067159B" w:rsidRPr="00485F85">
        <w:rPr>
          <w:rFonts w:asciiTheme="majorHAnsi" w:hAnsiTheme="majorHAnsi" w:cstheme="majorHAnsi"/>
        </w:rPr>
        <w:t xml:space="preserve"> acadêmica</w:t>
      </w:r>
      <w:r w:rsidRPr="00485F85">
        <w:rPr>
          <w:rFonts w:asciiTheme="majorHAnsi" w:hAnsiTheme="majorHAnsi" w:cstheme="majorHAnsi"/>
        </w:rPr>
        <w:t xml:space="preserve">. </w:t>
      </w:r>
      <w:r w:rsidR="0067159B" w:rsidRPr="00485F85">
        <w:rPr>
          <w:rFonts w:asciiTheme="majorHAnsi" w:hAnsiTheme="majorHAnsi" w:cstheme="majorHAnsi"/>
        </w:rPr>
        <w:t>No processo de concessão de bolsas n</w:t>
      </w:r>
      <w:r w:rsidRPr="00485F85">
        <w:rPr>
          <w:rFonts w:asciiTheme="majorHAnsi" w:hAnsiTheme="majorHAnsi" w:cstheme="majorHAnsi"/>
        </w:rPr>
        <w:t xml:space="preserve">ão </w:t>
      </w:r>
      <w:r w:rsidR="0067159B" w:rsidRPr="00485F85">
        <w:rPr>
          <w:rFonts w:asciiTheme="majorHAnsi" w:hAnsiTheme="majorHAnsi" w:cstheme="majorHAnsi"/>
        </w:rPr>
        <w:t xml:space="preserve">é avaliado </w:t>
      </w:r>
      <w:r w:rsidRPr="00485F85">
        <w:rPr>
          <w:rFonts w:asciiTheme="majorHAnsi" w:hAnsiTheme="majorHAnsi" w:cstheme="majorHAnsi"/>
        </w:rPr>
        <w:t xml:space="preserve">apenas </w:t>
      </w:r>
      <w:r w:rsidR="0067159B" w:rsidRPr="00485F85">
        <w:rPr>
          <w:rFonts w:asciiTheme="majorHAnsi" w:hAnsiTheme="majorHAnsi" w:cstheme="majorHAnsi"/>
        </w:rPr>
        <w:t>a</w:t>
      </w:r>
      <w:r w:rsidRPr="00485F85">
        <w:rPr>
          <w:rFonts w:asciiTheme="majorHAnsi" w:hAnsiTheme="majorHAnsi" w:cstheme="majorHAnsi"/>
        </w:rPr>
        <w:t xml:space="preserve"> sua condição </w:t>
      </w:r>
      <w:r w:rsidR="0067159B" w:rsidRPr="00485F85">
        <w:rPr>
          <w:rFonts w:asciiTheme="majorHAnsi" w:hAnsiTheme="majorHAnsi" w:cstheme="majorHAnsi"/>
        </w:rPr>
        <w:t xml:space="preserve">(desfavorecido socialmente, BME, maturidade, deficiente, </w:t>
      </w:r>
      <w:r w:rsidR="0067159B" w:rsidRPr="00485F85">
        <w:rPr>
          <w:rFonts w:asciiTheme="majorHAnsi" w:hAnsiTheme="majorHAnsi" w:cstheme="majorHAnsi"/>
        </w:rPr>
        <w:lastRenderedPageBreak/>
        <w:t xml:space="preserve">etc...) mas </w:t>
      </w:r>
      <w:r w:rsidRPr="00485F85">
        <w:rPr>
          <w:rFonts w:asciiTheme="majorHAnsi" w:hAnsiTheme="majorHAnsi" w:cstheme="majorHAnsi"/>
        </w:rPr>
        <w:t xml:space="preserve"> sim pela promessa </w:t>
      </w:r>
      <w:r w:rsidR="0067159B" w:rsidRPr="00485F85">
        <w:rPr>
          <w:rFonts w:asciiTheme="majorHAnsi" w:hAnsiTheme="majorHAnsi" w:cstheme="majorHAnsi"/>
        </w:rPr>
        <w:t xml:space="preserve">de desenvolvimento acadêmico </w:t>
      </w:r>
      <w:r w:rsidRPr="00485F85">
        <w:rPr>
          <w:rFonts w:asciiTheme="majorHAnsi" w:hAnsiTheme="majorHAnsi" w:cstheme="majorHAnsi"/>
        </w:rPr>
        <w:t>que já se avista (ponto complexo no Brasil, dada o papel social da universidade, com foco em inclusão).</w:t>
      </w:r>
    </w:p>
    <w:p w14:paraId="497A11A7" w14:textId="77777777" w:rsidR="00E25EB7" w:rsidRPr="00485F85" w:rsidRDefault="00E25EB7" w:rsidP="00AB53F3">
      <w:pPr>
        <w:pStyle w:val="PargrafodaLista"/>
        <w:tabs>
          <w:tab w:val="clear" w:pos="1615"/>
        </w:tabs>
        <w:spacing w:after="0" w:line="276" w:lineRule="auto"/>
        <w:jc w:val="both"/>
        <w:rPr>
          <w:rFonts w:asciiTheme="majorHAnsi" w:hAnsiTheme="majorHAnsi" w:cstheme="majorHAnsi"/>
        </w:rPr>
      </w:pPr>
    </w:p>
    <w:p w14:paraId="003B4DE0" w14:textId="40C6A77D" w:rsidR="00E10B2A" w:rsidRPr="00485F85" w:rsidRDefault="00E10B2A" w:rsidP="00AB53F3">
      <w:pPr>
        <w:pStyle w:val="PargrafodaLista"/>
        <w:numPr>
          <w:ilvl w:val="0"/>
          <w:numId w:val="44"/>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Embora exista divisão de áreas</w:t>
      </w:r>
      <w:r w:rsidR="0067159B" w:rsidRPr="00485F85">
        <w:rPr>
          <w:rFonts w:asciiTheme="majorHAnsi" w:hAnsiTheme="majorHAnsi" w:cstheme="majorHAnsi"/>
        </w:rPr>
        <w:t xml:space="preserve"> (</w:t>
      </w:r>
      <w:r w:rsidR="0067159B" w:rsidRPr="00485F85">
        <w:rPr>
          <w:rFonts w:asciiTheme="majorHAnsi" w:hAnsiTheme="majorHAnsi" w:cstheme="majorHAnsi"/>
          <w:i/>
          <w:iCs/>
        </w:rPr>
        <w:t>Humanities Division, Mathematical, Physical and Life Sciences Division, Medical Sciences Divisione Social Sciences Division</w:t>
      </w:r>
      <w:r w:rsidR="0067159B" w:rsidRPr="00485F85">
        <w:rPr>
          <w:rFonts w:asciiTheme="majorHAnsi" w:hAnsiTheme="majorHAnsi" w:cstheme="majorHAnsi"/>
        </w:rPr>
        <w:t xml:space="preserve">) </w:t>
      </w:r>
      <w:r w:rsidRPr="00485F85">
        <w:rPr>
          <w:rFonts w:asciiTheme="majorHAnsi" w:hAnsiTheme="majorHAnsi" w:cstheme="majorHAnsi"/>
        </w:rPr>
        <w:t xml:space="preserve">, </w:t>
      </w:r>
      <w:r w:rsidR="0067159B" w:rsidRPr="00485F85">
        <w:rPr>
          <w:rFonts w:asciiTheme="majorHAnsi" w:hAnsiTheme="majorHAnsi" w:cstheme="majorHAnsi"/>
        </w:rPr>
        <w:t>Oxford</w:t>
      </w:r>
      <w:r w:rsidRPr="00485F85">
        <w:rPr>
          <w:rFonts w:asciiTheme="majorHAnsi" w:hAnsiTheme="majorHAnsi" w:cstheme="majorHAnsi"/>
        </w:rPr>
        <w:t xml:space="preserve"> entende o conhecimento como fluido, “sem um dono”, diferentemente do</w:t>
      </w:r>
      <w:r w:rsidR="001B7A58" w:rsidRPr="00485F85">
        <w:rPr>
          <w:rFonts w:asciiTheme="majorHAnsi" w:hAnsiTheme="majorHAnsi" w:cstheme="majorHAnsi"/>
        </w:rPr>
        <w:t xml:space="preserve"> </w:t>
      </w:r>
      <w:r w:rsidRPr="00485F85">
        <w:rPr>
          <w:rFonts w:asciiTheme="majorHAnsi" w:hAnsiTheme="majorHAnsi" w:cstheme="majorHAnsi"/>
        </w:rPr>
        <w:t>que ocorre no Brasil, em que determinadas áreas toma</w:t>
      </w:r>
      <w:r w:rsidR="0067159B" w:rsidRPr="00485F85">
        <w:rPr>
          <w:rFonts w:asciiTheme="majorHAnsi" w:hAnsiTheme="majorHAnsi" w:cstheme="majorHAnsi"/>
        </w:rPr>
        <w:t>m</w:t>
      </w:r>
      <w:r w:rsidRPr="00485F85">
        <w:rPr>
          <w:rFonts w:asciiTheme="majorHAnsi" w:hAnsiTheme="majorHAnsi" w:cstheme="majorHAnsi"/>
        </w:rPr>
        <w:t xml:space="preserve"> o conhecimento </w:t>
      </w:r>
      <w:r w:rsidR="0067159B" w:rsidRPr="00485F85">
        <w:rPr>
          <w:rFonts w:asciiTheme="majorHAnsi" w:hAnsiTheme="majorHAnsi" w:cstheme="majorHAnsi"/>
        </w:rPr>
        <w:t>apenas do seu campo de saber</w:t>
      </w:r>
      <w:r w:rsidRPr="00485F85">
        <w:rPr>
          <w:rFonts w:asciiTheme="majorHAnsi" w:hAnsiTheme="majorHAnsi" w:cstheme="majorHAnsi"/>
        </w:rPr>
        <w:t>. Um exemplo bem visível é a questão de estudos comportamentais de consumo pelo marketing, que ocorrem na administração e na psicologia. Fala</w:t>
      </w:r>
      <w:r w:rsidR="00A31938" w:rsidRPr="00485F85">
        <w:rPr>
          <w:rFonts w:asciiTheme="majorHAnsi" w:hAnsiTheme="majorHAnsi" w:cstheme="majorHAnsi"/>
        </w:rPr>
        <w:t>r</w:t>
      </w:r>
      <w:r w:rsidRPr="00485F85">
        <w:rPr>
          <w:rFonts w:asciiTheme="majorHAnsi" w:hAnsiTheme="majorHAnsi" w:cstheme="majorHAnsi"/>
        </w:rPr>
        <w:t xml:space="preserve"> de estudos de comportamento fora da psicologia no Brasil, ou não realizado por um psicólogo é muitas vezes um tabu. Embora esses estudos possam ser realizados por um administrador ou profissional de marketing (com a especialidade).</w:t>
      </w:r>
    </w:p>
    <w:p w14:paraId="15A6A47B" w14:textId="77777777" w:rsidR="00E25EB7" w:rsidRPr="00485F85" w:rsidRDefault="00E25EB7" w:rsidP="00AB53F3">
      <w:pPr>
        <w:pStyle w:val="PargrafodaLista"/>
        <w:tabs>
          <w:tab w:val="clear" w:pos="1615"/>
        </w:tabs>
        <w:spacing w:after="0" w:line="276" w:lineRule="auto"/>
        <w:jc w:val="both"/>
        <w:rPr>
          <w:rFonts w:asciiTheme="majorHAnsi" w:hAnsiTheme="majorHAnsi" w:cstheme="majorHAnsi"/>
        </w:rPr>
      </w:pPr>
    </w:p>
    <w:p w14:paraId="7E273E86" w14:textId="7AE4C295" w:rsidR="00E10B2A" w:rsidRPr="00485F85" w:rsidRDefault="0067159B" w:rsidP="00AB53F3">
      <w:pPr>
        <w:pStyle w:val="PargrafodaLista"/>
        <w:numPr>
          <w:ilvl w:val="0"/>
          <w:numId w:val="44"/>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Resultados positivos com o u</w:t>
      </w:r>
      <w:r w:rsidR="00E10B2A" w:rsidRPr="00485F85">
        <w:rPr>
          <w:rFonts w:asciiTheme="majorHAnsi" w:hAnsiTheme="majorHAnsi" w:cstheme="majorHAnsi"/>
        </w:rPr>
        <w:t>so de metodologias ativas para a construção do conhecimento (normalmente essa prática está associada a quantidade de aluno por professor, possibilitando que seja possível melhores resultados)</w:t>
      </w:r>
      <w:r w:rsidRPr="00485F85">
        <w:rPr>
          <w:rFonts w:asciiTheme="majorHAnsi" w:hAnsiTheme="majorHAnsi" w:cstheme="majorHAnsi"/>
        </w:rPr>
        <w:t>.</w:t>
      </w:r>
    </w:p>
    <w:p w14:paraId="78824EC7" w14:textId="77777777" w:rsidR="00E25EB7" w:rsidRPr="00485F85" w:rsidRDefault="00E25EB7" w:rsidP="00AB53F3">
      <w:pPr>
        <w:pStyle w:val="PargrafodaLista"/>
        <w:spacing w:line="276" w:lineRule="auto"/>
        <w:rPr>
          <w:rFonts w:asciiTheme="majorHAnsi" w:hAnsiTheme="majorHAnsi" w:cstheme="majorHAnsi"/>
        </w:rPr>
      </w:pPr>
    </w:p>
    <w:p w14:paraId="39F26C75" w14:textId="23E80E4D" w:rsidR="00920024" w:rsidRPr="00485F85" w:rsidRDefault="00920024" w:rsidP="00AB53F3">
      <w:pPr>
        <w:pStyle w:val="PargrafodaLista"/>
        <w:numPr>
          <w:ilvl w:val="0"/>
          <w:numId w:val="44"/>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Ao trabalhar com um sistema que prioriza o alto desempenho, a universidade realiza uma seleção muito detalhada. Deste modo um estudante que não atinja a pontuação necessária não entra, mesmo que ainda possuam vagas. Se perde um pouco a essência da transformação do indivíduo. Pois ao trabalhar com alto desempenho já na entrada, o processo é quase uma predição do esperado.</w:t>
      </w:r>
    </w:p>
    <w:p w14:paraId="18795B2B" w14:textId="77777777" w:rsidR="00E25EB7" w:rsidRPr="00485F85" w:rsidRDefault="00E25EB7" w:rsidP="00AB53F3">
      <w:pPr>
        <w:pStyle w:val="PargrafodaLista"/>
        <w:tabs>
          <w:tab w:val="clear" w:pos="1615"/>
        </w:tabs>
        <w:spacing w:after="0" w:line="276" w:lineRule="auto"/>
        <w:jc w:val="both"/>
        <w:rPr>
          <w:rFonts w:asciiTheme="majorHAnsi" w:hAnsiTheme="majorHAnsi" w:cstheme="majorHAnsi"/>
        </w:rPr>
      </w:pPr>
    </w:p>
    <w:p w14:paraId="1EE1538D" w14:textId="38976EFC" w:rsidR="003C7CA9" w:rsidRPr="00485F85" w:rsidRDefault="003C7CA9" w:rsidP="00AB53F3">
      <w:pPr>
        <w:pStyle w:val="PargrafodaLista"/>
        <w:numPr>
          <w:ilvl w:val="0"/>
          <w:numId w:val="44"/>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Cursos com abordagens diferentes são sempre bem-vindos, porém o mercado deve estar aberto a esses profissionais. O Brasil trouxe nos anos 2000 uma s</w:t>
      </w:r>
      <w:r w:rsidR="0067159B" w:rsidRPr="00485F85">
        <w:rPr>
          <w:rFonts w:asciiTheme="majorHAnsi" w:hAnsiTheme="majorHAnsi" w:cstheme="majorHAnsi"/>
        </w:rPr>
        <w:t>é</w:t>
      </w:r>
      <w:r w:rsidRPr="00485F85">
        <w:rPr>
          <w:rFonts w:asciiTheme="majorHAnsi" w:hAnsiTheme="majorHAnsi" w:cstheme="majorHAnsi"/>
        </w:rPr>
        <w:t>ri</w:t>
      </w:r>
      <w:r w:rsidR="0067159B" w:rsidRPr="00485F85">
        <w:rPr>
          <w:rFonts w:asciiTheme="majorHAnsi" w:hAnsiTheme="majorHAnsi" w:cstheme="majorHAnsi"/>
        </w:rPr>
        <w:t>e</w:t>
      </w:r>
      <w:r w:rsidRPr="00485F85">
        <w:rPr>
          <w:rFonts w:asciiTheme="majorHAnsi" w:hAnsiTheme="majorHAnsi" w:cstheme="majorHAnsi"/>
        </w:rPr>
        <w:t xml:space="preserve"> de cursos com diferentes tipos de conhecimento, porém o mercado nunca procurou por esses profissionais, nem abriu vagas para eles em concursos públicos etc. Na própria universidade pública, que possuem mestrados e doutorados interdisciplinares, são escassos os concursos que tenham como pré-requisito Doutorado interdisciplinar. Sempre devem encontrar a área mais próxima ao que cursou e aguardar a solicitação por “áreas afins”</w:t>
      </w:r>
      <w:r w:rsidR="0067159B" w:rsidRPr="00485F85">
        <w:rPr>
          <w:rFonts w:asciiTheme="majorHAnsi" w:hAnsiTheme="majorHAnsi" w:cstheme="majorHAnsi"/>
        </w:rPr>
        <w:t>.</w:t>
      </w:r>
    </w:p>
    <w:p w14:paraId="15E9E5F4" w14:textId="5062A86B" w:rsidR="00F71F0E" w:rsidRPr="00485F85" w:rsidRDefault="00AB53F3" w:rsidP="00A206D5">
      <w:pPr>
        <w:pStyle w:val="Ttulo3"/>
        <w:ind w:left="1276"/>
        <w:rPr>
          <w:rFonts w:asciiTheme="majorHAnsi" w:hAnsiTheme="majorHAnsi" w:cstheme="majorHAnsi"/>
        </w:rPr>
      </w:pPr>
      <w:bookmarkStart w:id="22" w:name="_Toc82101312"/>
      <w:r w:rsidRPr="00485F85">
        <w:rPr>
          <w:rFonts w:asciiTheme="majorHAnsi" w:hAnsiTheme="majorHAnsi" w:cstheme="majorHAnsi"/>
        </w:rPr>
        <w:t>DIMENSÃO 5. PESQUISA E DESENVOLVIMENTO</w:t>
      </w:r>
      <w:bookmarkEnd w:id="22"/>
    </w:p>
    <w:p w14:paraId="0659FF63" w14:textId="25E0A703" w:rsidR="00F71F0E" w:rsidRPr="00485F85" w:rsidRDefault="00F71F0E" w:rsidP="00F71F0E">
      <w:pPr>
        <w:tabs>
          <w:tab w:val="clear" w:pos="1615"/>
        </w:tabs>
        <w:spacing w:line="259" w:lineRule="auto"/>
        <w:rPr>
          <w:rFonts w:asciiTheme="majorHAnsi" w:hAnsiTheme="majorHAnsi" w:cstheme="majorHAnsi"/>
          <w:b/>
          <w:bCs/>
        </w:rPr>
      </w:pPr>
    </w:p>
    <w:p w14:paraId="0F1BA49A" w14:textId="58FC0041"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Quadro 5 – Dimensão 5 – Pontos Fortes e Fracos</w:t>
      </w:r>
    </w:p>
    <w:tbl>
      <w:tblPr>
        <w:tblStyle w:val="Tabelacomgrade"/>
        <w:tblW w:w="9628" w:type="dxa"/>
        <w:tblLook w:val="04A0" w:firstRow="1" w:lastRow="0" w:firstColumn="1" w:lastColumn="0" w:noHBand="0" w:noVBand="1"/>
      </w:tblPr>
      <w:tblGrid>
        <w:gridCol w:w="4814"/>
        <w:gridCol w:w="4814"/>
      </w:tblGrid>
      <w:tr w:rsidR="00AB53F3" w:rsidRPr="00AB53F3" w14:paraId="3D48765B" w14:textId="77777777" w:rsidTr="00AB53F3">
        <w:tc>
          <w:tcPr>
            <w:tcW w:w="4814" w:type="dxa"/>
            <w:shd w:val="clear" w:color="auto" w:fill="4875BD" w:themeFill="accent1"/>
          </w:tcPr>
          <w:p w14:paraId="45213F5C"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4814" w:type="dxa"/>
            <w:shd w:val="clear" w:color="auto" w:fill="4875BD" w:themeFill="accent1"/>
          </w:tcPr>
          <w:p w14:paraId="278891A7"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F71F0E" w:rsidRPr="00485F85" w14:paraId="487424AF" w14:textId="77777777" w:rsidTr="00BB72C8">
        <w:tc>
          <w:tcPr>
            <w:tcW w:w="4814" w:type="dxa"/>
          </w:tcPr>
          <w:p w14:paraId="304D1CDA" w14:textId="77777777"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 Universidade atua em rede e possui fortes alianças internacionais.</w:t>
            </w:r>
          </w:p>
          <w:p w14:paraId="1958A8DF" w14:textId="77777777" w:rsidR="00F71F0E" w:rsidRPr="00485F85" w:rsidRDefault="00F71F0E" w:rsidP="00AB53F3">
            <w:pPr>
              <w:tabs>
                <w:tab w:val="clear" w:pos="1615"/>
              </w:tabs>
              <w:spacing w:line="360" w:lineRule="auto"/>
              <w:jc w:val="both"/>
              <w:rPr>
                <w:rFonts w:asciiTheme="majorHAnsi" w:hAnsiTheme="majorHAnsi" w:cstheme="majorHAnsi"/>
              </w:rPr>
            </w:pPr>
          </w:p>
          <w:p w14:paraId="79532609" w14:textId="77777777"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As ações de pesquisa e inovação se refletem nas patentes registradas pela Instituição.</w:t>
            </w:r>
          </w:p>
          <w:p w14:paraId="05E71BDD" w14:textId="77777777" w:rsidR="00F71F0E" w:rsidRPr="00485F85" w:rsidRDefault="00F71F0E" w:rsidP="00AB53F3">
            <w:pPr>
              <w:tabs>
                <w:tab w:val="clear" w:pos="1615"/>
              </w:tabs>
              <w:spacing w:line="360" w:lineRule="auto"/>
              <w:jc w:val="both"/>
              <w:rPr>
                <w:rFonts w:asciiTheme="majorHAnsi" w:hAnsiTheme="majorHAnsi" w:cstheme="majorHAnsi"/>
              </w:rPr>
            </w:pPr>
          </w:p>
          <w:p w14:paraId="0E2492AE" w14:textId="65E31AD9"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lastRenderedPageBreak/>
              <w:t xml:space="preserve">- Programas de incentivo a pesquisa por meio de </w:t>
            </w:r>
            <w:r w:rsidR="0070644A" w:rsidRPr="00485F85">
              <w:rPr>
                <w:rFonts w:asciiTheme="majorHAnsi" w:hAnsiTheme="majorHAnsi" w:cstheme="majorHAnsi"/>
              </w:rPr>
              <w:t xml:space="preserve">ações de </w:t>
            </w:r>
            <w:r w:rsidRPr="00485F85">
              <w:rPr>
                <w:rFonts w:asciiTheme="majorHAnsi" w:hAnsiTheme="majorHAnsi" w:cstheme="majorHAnsi"/>
              </w:rPr>
              <w:t>engajamento e premiações.</w:t>
            </w:r>
          </w:p>
          <w:p w14:paraId="2C1BC2D4" w14:textId="77777777" w:rsidR="00F71F0E" w:rsidRPr="00485F85" w:rsidRDefault="00F71F0E" w:rsidP="00AB53F3">
            <w:pPr>
              <w:tabs>
                <w:tab w:val="clear" w:pos="1615"/>
              </w:tabs>
              <w:spacing w:line="360" w:lineRule="auto"/>
              <w:jc w:val="both"/>
              <w:rPr>
                <w:rFonts w:asciiTheme="majorHAnsi" w:hAnsiTheme="majorHAnsi" w:cstheme="majorHAnsi"/>
              </w:rPr>
            </w:pPr>
          </w:p>
          <w:p w14:paraId="400DF989" w14:textId="5489DA0A"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Produção de Patentes </w:t>
            </w:r>
            <w:r w:rsidR="0070644A" w:rsidRPr="00485F85">
              <w:rPr>
                <w:rFonts w:asciiTheme="majorHAnsi" w:hAnsiTheme="majorHAnsi" w:cstheme="majorHAnsi"/>
              </w:rPr>
              <w:t>.</w:t>
            </w:r>
          </w:p>
          <w:p w14:paraId="732AD149" w14:textId="77777777" w:rsidR="00F71F0E" w:rsidRPr="00485F85" w:rsidRDefault="00F71F0E" w:rsidP="00AB53F3">
            <w:pPr>
              <w:tabs>
                <w:tab w:val="clear" w:pos="1615"/>
              </w:tabs>
              <w:spacing w:line="360" w:lineRule="auto"/>
              <w:jc w:val="both"/>
              <w:rPr>
                <w:rFonts w:asciiTheme="majorHAnsi" w:hAnsiTheme="majorHAnsi" w:cstheme="majorHAnsi"/>
              </w:rPr>
            </w:pPr>
          </w:p>
          <w:p w14:paraId="4CABD987" w14:textId="477E8EFE"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Oferta de Fontes de financiamento</w:t>
            </w:r>
            <w:r w:rsidR="0070644A" w:rsidRPr="00485F85">
              <w:rPr>
                <w:rFonts w:asciiTheme="majorHAnsi" w:hAnsiTheme="majorHAnsi" w:cstheme="majorHAnsi"/>
              </w:rPr>
              <w:t>.</w:t>
            </w:r>
          </w:p>
          <w:p w14:paraId="1EE6CD32" w14:textId="50A23914" w:rsidR="00F71F0E" w:rsidRPr="00485F85" w:rsidRDefault="00F71F0E" w:rsidP="00AB53F3">
            <w:pPr>
              <w:tabs>
                <w:tab w:val="clear" w:pos="1615"/>
              </w:tabs>
              <w:spacing w:after="160" w:line="360" w:lineRule="auto"/>
              <w:jc w:val="both"/>
              <w:rPr>
                <w:rFonts w:asciiTheme="majorHAnsi" w:hAnsiTheme="majorHAnsi" w:cstheme="majorHAnsi"/>
                <w:b/>
                <w:bCs/>
              </w:rPr>
            </w:pPr>
          </w:p>
        </w:tc>
        <w:tc>
          <w:tcPr>
            <w:tcW w:w="4814" w:type="dxa"/>
          </w:tcPr>
          <w:p w14:paraId="40A9AD8F" w14:textId="3451EB52" w:rsidR="00F71F0E" w:rsidRPr="00485F85" w:rsidRDefault="00F71F0E"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w:t>
            </w:r>
            <w:r w:rsidR="0067159B" w:rsidRPr="00485F85">
              <w:rPr>
                <w:rFonts w:asciiTheme="majorHAnsi" w:hAnsiTheme="majorHAnsi" w:cstheme="majorHAnsi"/>
              </w:rPr>
              <w:t>A pesquisadora não</w:t>
            </w:r>
            <w:r w:rsidRPr="00485F85">
              <w:rPr>
                <w:rFonts w:asciiTheme="majorHAnsi" w:hAnsiTheme="majorHAnsi" w:cstheme="majorHAnsi"/>
              </w:rPr>
              <w:t xml:space="preserve"> encontr</w:t>
            </w:r>
            <w:r w:rsidR="0067159B" w:rsidRPr="00485F85">
              <w:rPr>
                <w:rFonts w:asciiTheme="majorHAnsi" w:hAnsiTheme="majorHAnsi" w:cstheme="majorHAnsi"/>
              </w:rPr>
              <w:t>ou</w:t>
            </w:r>
            <w:r w:rsidRPr="00485F85">
              <w:rPr>
                <w:rFonts w:asciiTheme="majorHAnsi" w:hAnsiTheme="majorHAnsi" w:cstheme="majorHAnsi"/>
              </w:rPr>
              <w:t xml:space="preserve"> os dados de </w:t>
            </w:r>
            <w:r w:rsidR="0067159B" w:rsidRPr="00485F85">
              <w:rPr>
                <w:rFonts w:asciiTheme="majorHAnsi" w:hAnsiTheme="majorHAnsi" w:cstheme="majorHAnsi"/>
              </w:rPr>
              <w:t>anuários de pesquisa</w:t>
            </w:r>
            <w:r w:rsidRPr="00485F85">
              <w:rPr>
                <w:rFonts w:asciiTheme="majorHAnsi" w:hAnsiTheme="majorHAnsi" w:cstheme="majorHAnsi"/>
              </w:rPr>
              <w:t xml:space="preserve"> da universidade </w:t>
            </w:r>
            <w:r w:rsidR="0067159B" w:rsidRPr="00485F85">
              <w:rPr>
                <w:rFonts w:asciiTheme="majorHAnsi" w:hAnsiTheme="majorHAnsi" w:cstheme="majorHAnsi"/>
              </w:rPr>
              <w:t>em um local que reunisse todos os materiais de pesquisa sendo realizadas. No</w:t>
            </w:r>
            <w:r w:rsidR="00FE40F3" w:rsidRPr="00485F85">
              <w:rPr>
                <w:rFonts w:asciiTheme="majorHAnsi" w:hAnsiTheme="majorHAnsi" w:cstheme="majorHAnsi"/>
              </w:rPr>
              <w:t xml:space="preserve"> site </w:t>
            </w:r>
            <w:r w:rsidRPr="00485F85">
              <w:rPr>
                <w:rFonts w:asciiTheme="majorHAnsi" w:hAnsiTheme="majorHAnsi" w:cstheme="majorHAnsi"/>
              </w:rPr>
              <w:t>eles se apresentaram descentralizados</w:t>
            </w:r>
            <w:r w:rsidR="0067159B" w:rsidRPr="00485F85">
              <w:rPr>
                <w:rFonts w:asciiTheme="majorHAnsi" w:hAnsiTheme="majorHAnsi" w:cstheme="majorHAnsi"/>
              </w:rPr>
              <w:t xml:space="preserve">. </w:t>
            </w:r>
            <w:r w:rsidRPr="00485F85">
              <w:rPr>
                <w:rFonts w:asciiTheme="majorHAnsi" w:hAnsiTheme="majorHAnsi" w:cstheme="majorHAnsi"/>
              </w:rPr>
              <w:t xml:space="preserve"> </w:t>
            </w:r>
            <w:r w:rsidR="0067159B" w:rsidRPr="00485F85">
              <w:rPr>
                <w:rFonts w:asciiTheme="majorHAnsi" w:hAnsiTheme="majorHAnsi" w:cstheme="majorHAnsi"/>
              </w:rPr>
              <w:t>N</w:t>
            </w:r>
            <w:r w:rsidRPr="00485F85">
              <w:rPr>
                <w:rFonts w:asciiTheme="majorHAnsi" w:hAnsiTheme="majorHAnsi" w:cstheme="majorHAnsi"/>
              </w:rPr>
              <w:t xml:space="preserve">a </w:t>
            </w:r>
            <w:r w:rsidR="0067159B" w:rsidRPr="00485F85">
              <w:rPr>
                <w:rFonts w:asciiTheme="majorHAnsi" w:hAnsiTheme="majorHAnsi" w:cstheme="majorHAnsi"/>
              </w:rPr>
              <w:t>coleta de dados</w:t>
            </w:r>
            <w:r w:rsidRPr="00485F85">
              <w:rPr>
                <w:rFonts w:asciiTheme="majorHAnsi" w:hAnsiTheme="majorHAnsi" w:cstheme="majorHAnsi"/>
              </w:rPr>
              <w:t xml:space="preserve"> da pesquisadora os registros de publicação</w:t>
            </w:r>
            <w:r w:rsidR="0067159B" w:rsidRPr="00485F85">
              <w:rPr>
                <w:rFonts w:asciiTheme="majorHAnsi" w:hAnsiTheme="majorHAnsi" w:cstheme="majorHAnsi"/>
              </w:rPr>
              <w:t xml:space="preserve"> de </w:t>
            </w:r>
            <w:r w:rsidR="0067159B" w:rsidRPr="00485F85">
              <w:rPr>
                <w:rFonts w:asciiTheme="majorHAnsi" w:hAnsiTheme="majorHAnsi" w:cstheme="majorHAnsi"/>
              </w:rPr>
              <w:lastRenderedPageBreak/>
              <w:t xml:space="preserve">anuários compilados foram encontrados </w:t>
            </w:r>
            <w:r w:rsidRPr="00485F85">
              <w:rPr>
                <w:rFonts w:asciiTheme="majorHAnsi" w:hAnsiTheme="majorHAnsi" w:cstheme="majorHAnsi"/>
              </w:rPr>
              <w:t>apenas</w:t>
            </w:r>
            <w:r w:rsidR="0067159B" w:rsidRPr="00485F85">
              <w:rPr>
                <w:rFonts w:asciiTheme="majorHAnsi" w:hAnsiTheme="majorHAnsi" w:cstheme="majorHAnsi"/>
              </w:rPr>
              <w:t xml:space="preserve"> nos sites dos </w:t>
            </w:r>
            <w:r w:rsidRPr="00485F85">
              <w:rPr>
                <w:rFonts w:asciiTheme="majorHAnsi" w:hAnsiTheme="majorHAnsi" w:cstheme="majorHAnsi"/>
              </w:rPr>
              <w:t xml:space="preserve">departamentos ou </w:t>
            </w:r>
            <w:r w:rsidRPr="00485F85">
              <w:rPr>
                <w:rFonts w:asciiTheme="majorHAnsi" w:hAnsiTheme="majorHAnsi" w:cstheme="majorHAnsi"/>
                <w:i/>
                <w:iCs/>
              </w:rPr>
              <w:t>faculties</w:t>
            </w:r>
            <w:r w:rsidRPr="00485F85">
              <w:rPr>
                <w:rFonts w:asciiTheme="majorHAnsi" w:hAnsiTheme="majorHAnsi" w:cstheme="majorHAnsi"/>
              </w:rPr>
              <w:t>.</w:t>
            </w:r>
          </w:p>
        </w:tc>
      </w:tr>
    </w:tbl>
    <w:p w14:paraId="5D74006B"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3A2FB369" w14:textId="4075362A" w:rsidR="00F71F0E" w:rsidRPr="00485F85" w:rsidRDefault="00F71F0E" w:rsidP="00F71F0E">
      <w:pPr>
        <w:tabs>
          <w:tab w:val="clear" w:pos="1615"/>
        </w:tabs>
        <w:spacing w:line="259" w:lineRule="auto"/>
        <w:rPr>
          <w:rFonts w:asciiTheme="majorHAnsi" w:hAnsiTheme="majorHAnsi" w:cstheme="majorHAnsi"/>
          <w:b/>
          <w:bCs/>
        </w:rPr>
      </w:pPr>
    </w:p>
    <w:p w14:paraId="6BABAE7D" w14:textId="77777777" w:rsidR="0067159B" w:rsidRPr="00485F85" w:rsidRDefault="0067159B" w:rsidP="00F71F0E">
      <w:pPr>
        <w:tabs>
          <w:tab w:val="clear" w:pos="1615"/>
        </w:tabs>
        <w:spacing w:line="259" w:lineRule="auto"/>
        <w:rPr>
          <w:rFonts w:asciiTheme="majorHAnsi" w:hAnsiTheme="majorHAnsi" w:cstheme="majorHAnsi"/>
          <w:b/>
          <w:bCs/>
        </w:rPr>
      </w:pPr>
    </w:p>
    <w:p w14:paraId="11D1EC67" w14:textId="77777777" w:rsidR="00E25EB7" w:rsidRPr="00485F85" w:rsidRDefault="00E25EB7" w:rsidP="00E25EB7">
      <w:pPr>
        <w:tabs>
          <w:tab w:val="clear" w:pos="1615"/>
        </w:tabs>
        <w:spacing w:after="0" w:line="360"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7170B9CE" w14:textId="0C950069" w:rsidR="00FE40F3" w:rsidRPr="00485F85" w:rsidRDefault="00FE40F3" w:rsidP="00E25EB7">
      <w:pPr>
        <w:tabs>
          <w:tab w:val="clear" w:pos="1615"/>
        </w:tabs>
        <w:spacing w:after="0" w:line="360" w:lineRule="auto"/>
        <w:jc w:val="both"/>
        <w:rPr>
          <w:rFonts w:asciiTheme="majorHAnsi" w:hAnsiTheme="majorHAnsi" w:cstheme="majorHAnsi"/>
        </w:rPr>
      </w:pPr>
    </w:p>
    <w:p w14:paraId="4B3D7743" w14:textId="3D854464" w:rsidR="00FE40F3" w:rsidRPr="00485F85" w:rsidRDefault="00FE40F3" w:rsidP="00BF497F">
      <w:pPr>
        <w:pStyle w:val="PargrafodaLista"/>
        <w:numPr>
          <w:ilvl w:val="0"/>
          <w:numId w:val="45"/>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 xml:space="preserve">Analisando as bases de dados </w:t>
      </w:r>
      <w:r w:rsidRPr="00485F85">
        <w:rPr>
          <w:rFonts w:asciiTheme="majorHAnsi" w:hAnsiTheme="majorHAnsi" w:cstheme="majorHAnsi"/>
          <w:i/>
          <w:iCs/>
        </w:rPr>
        <w:t>Scopus</w:t>
      </w:r>
      <w:r w:rsidRPr="00485F85">
        <w:rPr>
          <w:rFonts w:asciiTheme="majorHAnsi" w:hAnsiTheme="majorHAnsi" w:cstheme="majorHAnsi"/>
        </w:rPr>
        <w:t xml:space="preserve"> e </w:t>
      </w:r>
      <w:r w:rsidRPr="00485F85">
        <w:rPr>
          <w:rFonts w:asciiTheme="majorHAnsi" w:hAnsiTheme="majorHAnsi" w:cstheme="majorHAnsi"/>
          <w:i/>
          <w:iCs/>
        </w:rPr>
        <w:t>Web of Science</w:t>
      </w:r>
      <w:r w:rsidRPr="00485F85">
        <w:rPr>
          <w:rFonts w:asciiTheme="majorHAnsi" w:hAnsiTheme="majorHAnsi" w:cstheme="majorHAnsi"/>
        </w:rPr>
        <w:t>, ‘(</w:t>
      </w:r>
      <w:r w:rsidR="00431E83" w:rsidRPr="00485F85">
        <w:rPr>
          <w:rFonts w:asciiTheme="majorHAnsi" w:hAnsiTheme="majorHAnsi" w:cstheme="majorHAnsi"/>
        </w:rPr>
        <w:t>ANEXOS</w:t>
      </w:r>
      <w:r w:rsidRPr="00485F85">
        <w:rPr>
          <w:rFonts w:asciiTheme="majorHAnsi" w:hAnsiTheme="majorHAnsi" w:cstheme="majorHAnsi"/>
        </w:rPr>
        <w:t xml:space="preserve"> </w:t>
      </w:r>
      <w:r w:rsidR="0067159B" w:rsidRPr="00485F85">
        <w:rPr>
          <w:rFonts w:asciiTheme="majorHAnsi" w:hAnsiTheme="majorHAnsi" w:cstheme="majorHAnsi"/>
        </w:rPr>
        <w:t>1, e</w:t>
      </w:r>
      <w:r w:rsidR="002740A1" w:rsidRPr="00485F85">
        <w:rPr>
          <w:rFonts w:asciiTheme="majorHAnsi" w:hAnsiTheme="majorHAnsi" w:cstheme="majorHAnsi"/>
        </w:rPr>
        <w:t xml:space="preserve"> </w:t>
      </w:r>
      <w:r w:rsidR="0067159B" w:rsidRPr="00485F85">
        <w:rPr>
          <w:rFonts w:asciiTheme="majorHAnsi" w:hAnsiTheme="majorHAnsi" w:cstheme="majorHAnsi"/>
        </w:rPr>
        <w:t>2</w:t>
      </w:r>
      <w:r w:rsidR="00431E83" w:rsidRPr="00485F85">
        <w:rPr>
          <w:rFonts w:asciiTheme="majorHAnsi" w:hAnsiTheme="majorHAnsi" w:cstheme="majorHAnsi"/>
        </w:rPr>
        <w:t xml:space="preserve">) </w:t>
      </w:r>
      <w:r w:rsidRPr="00485F85">
        <w:rPr>
          <w:rFonts w:asciiTheme="majorHAnsi" w:hAnsiTheme="majorHAnsi" w:cstheme="majorHAnsi"/>
        </w:rPr>
        <w:t>pode-se observar que a instituição prioriza artigos publicados em revistas de alto fator de impacto, o que impacta no tempo, esforço e qualidade dos trabalhos produzidos, que vai impactar no ensino de qualidade</w:t>
      </w:r>
      <w:r w:rsidR="0070644A" w:rsidRPr="00485F85">
        <w:rPr>
          <w:rFonts w:asciiTheme="majorHAnsi" w:hAnsiTheme="majorHAnsi" w:cstheme="majorHAnsi"/>
        </w:rPr>
        <w:t>;</w:t>
      </w:r>
    </w:p>
    <w:p w14:paraId="3CA52E5E" w14:textId="221179C0" w:rsidR="00FE40F3" w:rsidRPr="00485F85" w:rsidRDefault="00FE40F3" w:rsidP="00BF497F">
      <w:pPr>
        <w:pStyle w:val="PargrafodaLista"/>
        <w:numPr>
          <w:ilvl w:val="0"/>
          <w:numId w:val="45"/>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A universidade usa sua chancela para premiar os logros de estudantes e professores, o que motiva a seguir no caminho “quem não quer ter uma premiação de Oxford no currículo?”</w:t>
      </w:r>
      <w:r w:rsidR="0070644A" w:rsidRPr="00485F85">
        <w:rPr>
          <w:rFonts w:asciiTheme="majorHAnsi" w:hAnsiTheme="majorHAnsi" w:cstheme="majorHAnsi"/>
        </w:rPr>
        <w:t>;</w:t>
      </w:r>
    </w:p>
    <w:p w14:paraId="73516205" w14:textId="13787340" w:rsidR="00FE40F3" w:rsidRPr="00485F85" w:rsidRDefault="00FE40F3" w:rsidP="00BF497F">
      <w:pPr>
        <w:pStyle w:val="PargrafodaLista"/>
        <w:numPr>
          <w:ilvl w:val="0"/>
          <w:numId w:val="45"/>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Incentivo a patentes</w:t>
      </w:r>
      <w:r w:rsidR="0070644A" w:rsidRPr="00485F85">
        <w:rPr>
          <w:rFonts w:asciiTheme="majorHAnsi" w:hAnsiTheme="majorHAnsi" w:cstheme="majorHAnsi"/>
        </w:rPr>
        <w:t>.</w:t>
      </w:r>
    </w:p>
    <w:p w14:paraId="4520071F" w14:textId="3F43EAA3" w:rsidR="00D15266" w:rsidRPr="00AB53F3" w:rsidRDefault="0070644A" w:rsidP="00AB53F3">
      <w:pPr>
        <w:pStyle w:val="PargrafodaLista"/>
        <w:numPr>
          <w:ilvl w:val="0"/>
          <w:numId w:val="45"/>
        </w:numPr>
        <w:tabs>
          <w:tab w:val="clear" w:pos="1615"/>
        </w:tabs>
        <w:spacing w:after="0" w:line="360" w:lineRule="auto"/>
        <w:jc w:val="both"/>
        <w:rPr>
          <w:rFonts w:asciiTheme="majorHAnsi" w:hAnsiTheme="majorHAnsi" w:cstheme="majorHAnsi"/>
        </w:rPr>
      </w:pPr>
      <w:r w:rsidRPr="00485F85">
        <w:rPr>
          <w:rFonts w:asciiTheme="majorHAnsi" w:hAnsiTheme="majorHAnsi" w:cstheme="majorHAnsi"/>
        </w:rPr>
        <w:t>Proatividade da instituição em conectar as fontes de financiamento da pesquisa e o pesquisador.</w:t>
      </w:r>
    </w:p>
    <w:p w14:paraId="3EFA97EF" w14:textId="2561292C" w:rsidR="00F71F0E" w:rsidRPr="00485F85" w:rsidRDefault="00AB53F3" w:rsidP="00A206D5">
      <w:pPr>
        <w:pStyle w:val="Ttulo3"/>
        <w:ind w:left="1276"/>
        <w:rPr>
          <w:rFonts w:asciiTheme="majorHAnsi" w:hAnsiTheme="majorHAnsi" w:cstheme="majorHAnsi"/>
        </w:rPr>
      </w:pPr>
      <w:bookmarkStart w:id="23" w:name="_Toc82101313"/>
      <w:r w:rsidRPr="00485F85">
        <w:rPr>
          <w:rFonts w:asciiTheme="majorHAnsi" w:hAnsiTheme="majorHAnsi" w:cstheme="majorHAnsi"/>
        </w:rPr>
        <w:t>DIMENSÃO 6. POLÍTICAS DE EXTENSÃO</w:t>
      </w:r>
      <w:bookmarkEnd w:id="23"/>
    </w:p>
    <w:p w14:paraId="7FD493E7" w14:textId="708308E0" w:rsidR="00E25EB7" w:rsidRPr="00485F85" w:rsidRDefault="00E25EB7" w:rsidP="00E25EB7">
      <w:pPr>
        <w:rPr>
          <w:rFonts w:asciiTheme="majorHAnsi" w:hAnsiTheme="majorHAnsi" w:cstheme="majorHAnsi"/>
        </w:rPr>
      </w:pPr>
    </w:p>
    <w:p w14:paraId="032316D6" w14:textId="31634FF2"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Quadro 6 – Dimensão 6– Pontos Fortes e Fracos</w:t>
      </w:r>
    </w:p>
    <w:tbl>
      <w:tblPr>
        <w:tblStyle w:val="Tabelacomgrade"/>
        <w:tblW w:w="9628" w:type="dxa"/>
        <w:tblLook w:val="04A0" w:firstRow="1" w:lastRow="0" w:firstColumn="1" w:lastColumn="0" w:noHBand="0" w:noVBand="1"/>
      </w:tblPr>
      <w:tblGrid>
        <w:gridCol w:w="4814"/>
        <w:gridCol w:w="4814"/>
      </w:tblGrid>
      <w:tr w:rsidR="00AB53F3" w:rsidRPr="00AB53F3" w14:paraId="314EA815" w14:textId="77777777" w:rsidTr="00AB53F3">
        <w:tc>
          <w:tcPr>
            <w:tcW w:w="4814" w:type="dxa"/>
            <w:shd w:val="clear" w:color="auto" w:fill="4875BD" w:themeFill="accent1"/>
          </w:tcPr>
          <w:p w14:paraId="2491B302"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4814" w:type="dxa"/>
            <w:shd w:val="clear" w:color="auto" w:fill="4875BD" w:themeFill="accent1"/>
          </w:tcPr>
          <w:p w14:paraId="048D06E8"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F71F0E" w:rsidRPr="00485F85" w14:paraId="31BA273A" w14:textId="77777777" w:rsidTr="00BB72C8">
        <w:tc>
          <w:tcPr>
            <w:tcW w:w="4814" w:type="dxa"/>
          </w:tcPr>
          <w:p w14:paraId="0B6D5D65" w14:textId="545A367E"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A Universidade possui uma política de extensão </w:t>
            </w:r>
            <w:r w:rsidR="00B90A36" w:rsidRPr="00485F85">
              <w:rPr>
                <w:rFonts w:asciiTheme="majorHAnsi" w:hAnsiTheme="majorHAnsi" w:cstheme="majorHAnsi"/>
              </w:rPr>
              <w:t>desde 1878</w:t>
            </w:r>
            <w:r w:rsidRPr="00485F85">
              <w:rPr>
                <w:rFonts w:asciiTheme="majorHAnsi" w:hAnsiTheme="majorHAnsi" w:cstheme="majorHAnsi"/>
              </w:rPr>
              <w:t>, um programa que via tutores de Oxford viaja</w:t>
            </w:r>
            <w:r w:rsidR="0070644A" w:rsidRPr="00485F85">
              <w:rPr>
                <w:rFonts w:asciiTheme="majorHAnsi" w:hAnsiTheme="majorHAnsi" w:cstheme="majorHAnsi"/>
              </w:rPr>
              <w:t>va</w:t>
            </w:r>
            <w:r w:rsidRPr="00485F85">
              <w:rPr>
                <w:rFonts w:asciiTheme="majorHAnsi" w:hAnsiTheme="majorHAnsi" w:cstheme="majorHAnsi"/>
              </w:rPr>
              <w:t xml:space="preserve"> para vilas e cidades em todo o país para dar palestras sobre uma ampla gama de tópicos. Foi um esforço inovador, porque permitiu o acesso à educação a grupos em grande parte excluídos - nomeadamente homens e mulheres trabalhadores. </w:t>
            </w:r>
          </w:p>
          <w:p w14:paraId="7DA4AB74" w14:textId="77777777" w:rsidR="00F71F0E" w:rsidRPr="00485F85" w:rsidRDefault="00F71F0E" w:rsidP="00AB53F3">
            <w:pPr>
              <w:tabs>
                <w:tab w:val="clear" w:pos="1615"/>
              </w:tabs>
              <w:spacing w:line="360" w:lineRule="auto"/>
              <w:jc w:val="both"/>
              <w:rPr>
                <w:rFonts w:asciiTheme="majorHAnsi" w:hAnsiTheme="majorHAnsi" w:cstheme="majorHAnsi"/>
                <w:b/>
                <w:bCs/>
              </w:rPr>
            </w:pPr>
          </w:p>
          <w:p w14:paraId="31527116" w14:textId="675B24AC" w:rsidR="00F71F0E" w:rsidRPr="00485F85" w:rsidRDefault="00F71F0E"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Divi</w:t>
            </w:r>
            <w:r w:rsidR="0070644A" w:rsidRPr="00485F85">
              <w:rPr>
                <w:rFonts w:asciiTheme="majorHAnsi" w:hAnsiTheme="majorHAnsi" w:cstheme="majorHAnsi"/>
              </w:rPr>
              <w:t>s</w:t>
            </w:r>
            <w:r w:rsidRPr="00485F85">
              <w:rPr>
                <w:rFonts w:asciiTheme="majorHAnsi" w:hAnsiTheme="majorHAnsi" w:cstheme="majorHAnsi"/>
              </w:rPr>
              <w:t>ões</w:t>
            </w:r>
            <w:r w:rsidR="0070644A" w:rsidRPr="00485F85">
              <w:rPr>
                <w:rFonts w:asciiTheme="majorHAnsi" w:hAnsiTheme="majorHAnsi" w:cstheme="majorHAnsi"/>
              </w:rPr>
              <w:t xml:space="preserve"> Acadêmicas</w:t>
            </w:r>
            <w:r w:rsidRPr="00485F85">
              <w:rPr>
                <w:rFonts w:asciiTheme="majorHAnsi" w:hAnsiTheme="majorHAnsi" w:cstheme="majorHAnsi"/>
              </w:rPr>
              <w:t xml:space="preserve">, </w:t>
            </w:r>
            <w:r w:rsidRPr="00485F85">
              <w:rPr>
                <w:rFonts w:asciiTheme="majorHAnsi" w:hAnsiTheme="majorHAnsi" w:cstheme="majorHAnsi"/>
                <w:i/>
                <w:iCs/>
              </w:rPr>
              <w:t>Colleges</w:t>
            </w:r>
            <w:r w:rsidRPr="00485F85">
              <w:rPr>
                <w:rFonts w:asciiTheme="majorHAnsi" w:hAnsiTheme="majorHAnsi" w:cstheme="majorHAnsi"/>
              </w:rPr>
              <w:t xml:space="preserve"> e </w:t>
            </w:r>
            <w:r w:rsidRPr="00485F85">
              <w:rPr>
                <w:rFonts w:asciiTheme="majorHAnsi" w:hAnsiTheme="majorHAnsi" w:cstheme="majorHAnsi"/>
                <w:i/>
                <w:iCs/>
              </w:rPr>
              <w:t>faculties</w:t>
            </w:r>
            <w:r w:rsidRPr="00485F85">
              <w:rPr>
                <w:rFonts w:asciiTheme="majorHAnsi" w:hAnsiTheme="majorHAnsi" w:cstheme="majorHAnsi"/>
              </w:rPr>
              <w:t xml:space="preserve"> e outras são incentivados a fazerem suas ações voltadas para a comunidade.</w:t>
            </w:r>
          </w:p>
          <w:p w14:paraId="42C91ADB" w14:textId="77777777" w:rsidR="00F71F0E" w:rsidRPr="00485F85" w:rsidRDefault="00F71F0E" w:rsidP="00AB53F3">
            <w:pPr>
              <w:tabs>
                <w:tab w:val="clear" w:pos="1615"/>
              </w:tabs>
              <w:spacing w:line="360" w:lineRule="auto"/>
              <w:jc w:val="both"/>
              <w:rPr>
                <w:rFonts w:asciiTheme="majorHAnsi" w:hAnsiTheme="majorHAnsi" w:cstheme="majorHAnsi"/>
                <w:b/>
                <w:bCs/>
              </w:rPr>
            </w:pPr>
          </w:p>
          <w:p w14:paraId="38181070" w14:textId="77777777" w:rsidR="00F71F0E" w:rsidRPr="00485F85" w:rsidRDefault="00F71F0E" w:rsidP="00AB53F3">
            <w:pPr>
              <w:tabs>
                <w:tab w:val="clear" w:pos="1615"/>
              </w:tabs>
              <w:spacing w:line="360" w:lineRule="auto"/>
              <w:jc w:val="both"/>
              <w:rPr>
                <w:rFonts w:asciiTheme="majorHAnsi" w:hAnsiTheme="majorHAnsi" w:cstheme="majorHAnsi"/>
                <w:b/>
                <w:bCs/>
              </w:rPr>
            </w:pPr>
          </w:p>
          <w:p w14:paraId="0E3B5A1A" w14:textId="77777777" w:rsidR="00F71F0E" w:rsidRPr="00485F85" w:rsidRDefault="00F71F0E" w:rsidP="00AB53F3">
            <w:pPr>
              <w:tabs>
                <w:tab w:val="clear" w:pos="1615"/>
              </w:tabs>
              <w:spacing w:line="360" w:lineRule="auto"/>
              <w:jc w:val="both"/>
              <w:rPr>
                <w:rFonts w:asciiTheme="majorHAnsi" w:hAnsiTheme="majorHAnsi" w:cstheme="majorHAnsi"/>
                <w:b/>
                <w:bCs/>
              </w:rPr>
            </w:pPr>
          </w:p>
          <w:p w14:paraId="15FC60E1" w14:textId="77777777" w:rsidR="00F71F0E" w:rsidRPr="00485F85" w:rsidRDefault="00F71F0E" w:rsidP="00AB53F3">
            <w:pPr>
              <w:tabs>
                <w:tab w:val="clear" w:pos="1615"/>
              </w:tabs>
              <w:spacing w:line="360" w:lineRule="auto"/>
              <w:jc w:val="both"/>
              <w:rPr>
                <w:rFonts w:asciiTheme="majorHAnsi" w:hAnsiTheme="majorHAnsi" w:cstheme="majorHAnsi"/>
                <w:b/>
                <w:bCs/>
              </w:rPr>
            </w:pPr>
          </w:p>
          <w:p w14:paraId="64B23E7A" w14:textId="77777777" w:rsidR="00F71F0E" w:rsidRPr="00485F85" w:rsidRDefault="00F71F0E" w:rsidP="00AB53F3">
            <w:pPr>
              <w:tabs>
                <w:tab w:val="clear" w:pos="1615"/>
              </w:tabs>
              <w:spacing w:after="160" w:line="360" w:lineRule="auto"/>
              <w:jc w:val="both"/>
              <w:rPr>
                <w:rFonts w:asciiTheme="majorHAnsi" w:hAnsiTheme="majorHAnsi" w:cstheme="majorHAnsi"/>
                <w:b/>
                <w:bCs/>
              </w:rPr>
            </w:pPr>
          </w:p>
          <w:p w14:paraId="024BAED9" w14:textId="77777777" w:rsidR="00F71F0E" w:rsidRPr="00485F85" w:rsidRDefault="00F71F0E" w:rsidP="00AB53F3">
            <w:pPr>
              <w:tabs>
                <w:tab w:val="clear" w:pos="1615"/>
              </w:tabs>
              <w:spacing w:line="360" w:lineRule="auto"/>
              <w:jc w:val="both"/>
              <w:rPr>
                <w:rFonts w:asciiTheme="majorHAnsi" w:hAnsiTheme="majorHAnsi" w:cstheme="majorHAnsi"/>
                <w:b/>
                <w:bCs/>
              </w:rPr>
            </w:pPr>
          </w:p>
        </w:tc>
        <w:tc>
          <w:tcPr>
            <w:tcW w:w="4814" w:type="dxa"/>
          </w:tcPr>
          <w:p w14:paraId="0B4C9C93" w14:textId="41C4C3F7" w:rsidR="00F71F0E" w:rsidRPr="00485F85" w:rsidRDefault="00F71F0E" w:rsidP="00AB53F3">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xml:space="preserve">- As políticas de extensão não estão centralizadas em uma divisão acadêmica, </w:t>
            </w:r>
            <w:r w:rsidRPr="00485F85">
              <w:rPr>
                <w:rFonts w:asciiTheme="majorHAnsi" w:hAnsiTheme="majorHAnsi" w:cstheme="majorHAnsi"/>
                <w:bCs/>
                <w:i/>
                <w:iCs/>
              </w:rPr>
              <w:t>College</w:t>
            </w:r>
            <w:r w:rsidRPr="00485F85">
              <w:rPr>
                <w:rFonts w:asciiTheme="majorHAnsi" w:hAnsiTheme="majorHAnsi" w:cstheme="majorHAnsi"/>
                <w:bCs/>
              </w:rPr>
              <w:t xml:space="preserve"> ou departamento. Desse modo, o site é um sistema centralizados das ações que ocorrem na comunidade encabeçadas pela </w:t>
            </w:r>
            <w:r w:rsidR="00B90A36" w:rsidRPr="00485F85">
              <w:rPr>
                <w:rFonts w:asciiTheme="majorHAnsi" w:hAnsiTheme="majorHAnsi" w:cstheme="majorHAnsi"/>
                <w:bCs/>
              </w:rPr>
              <w:t>Universidade</w:t>
            </w:r>
            <w:r w:rsidRPr="00485F85">
              <w:rPr>
                <w:rFonts w:asciiTheme="majorHAnsi" w:hAnsiTheme="majorHAnsi" w:cstheme="majorHAnsi"/>
                <w:bCs/>
              </w:rPr>
              <w:t xml:space="preserve">. E por esse motivo as informações que não aparecem na seção “Comunidade Local” se encontram “perdidas” pelos diversos sites da Instituição e não </w:t>
            </w:r>
            <w:r w:rsidRPr="00485F85">
              <w:rPr>
                <w:rFonts w:asciiTheme="majorHAnsi" w:hAnsiTheme="majorHAnsi" w:cstheme="majorHAnsi"/>
                <w:bCs/>
              </w:rPr>
              <w:lastRenderedPageBreak/>
              <w:t>puderam ser recuperadas.</w:t>
            </w:r>
          </w:p>
          <w:p w14:paraId="6EC0AE2B" w14:textId="6A0A373F" w:rsidR="00F71F0E" w:rsidRPr="00485F85" w:rsidRDefault="00F71F0E" w:rsidP="00AB53F3">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princípio, pelo que pode ser pesquisado, a maioria da comunidade precisa se relacionar ou ter ao menos um contato virtual com a instituição para que tenha acesso às suas possibilidades de atendimento. E, nesse caso, acaba limitando o atendimento somente a pessoas que possuem tecnologia (computador, </w:t>
            </w:r>
            <w:r w:rsidR="00B90A36" w:rsidRPr="00485F85">
              <w:rPr>
                <w:rFonts w:asciiTheme="majorHAnsi" w:hAnsiTheme="majorHAnsi" w:cstheme="majorHAnsi"/>
                <w:bCs/>
              </w:rPr>
              <w:t>celular e internet</w:t>
            </w:r>
            <w:r w:rsidRPr="00485F85">
              <w:rPr>
                <w:rFonts w:asciiTheme="majorHAnsi" w:hAnsiTheme="majorHAnsi" w:cstheme="majorHAnsi"/>
                <w:bCs/>
              </w:rPr>
              <w:t>)</w:t>
            </w:r>
          </w:p>
          <w:p w14:paraId="2C7F7BB9" w14:textId="70E6A3C6" w:rsidR="00F71F0E" w:rsidRPr="00485F85" w:rsidRDefault="00F71F0E" w:rsidP="00AB53F3">
            <w:pPr>
              <w:tabs>
                <w:tab w:val="clear" w:pos="1615"/>
              </w:tabs>
              <w:spacing w:after="160" w:line="360" w:lineRule="auto"/>
              <w:jc w:val="both"/>
              <w:rPr>
                <w:rFonts w:asciiTheme="majorHAnsi" w:hAnsiTheme="majorHAnsi" w:cstheme="majorHAnsi"/>
                <w:b/>
                <w:bCs/>
              </w:rPr>
            </w:pPr>
            <w:r w:rsidRPr="00485F85">
              <w:rPr>
                <w:rFonts w:asciiTheme="majorHAnsi" w:hAnsiTheme="majorHAnsi" w:cstheme="majorHAnsi"/>
                <w:bCs/>
              </w:rPr>
              <w:t xml:space="preserve">- Não foi detectado um departamento físico que atendesse a demanda da comunidade. </w:t>
            </w:r>
          </w:p>
        </w:tc>
      </w:tr>
    </w:tbl>
    <w:p w14:paraId="6137CCDB"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6A26402B" w14:textId="77777777" w:rsidR="00E25EB7" w:rsidRPr="00485F85" w:rsidRDefault="00E25EB7" w:rsidP="00F71F0E">
      <w:pPr>
        <w:tabs>
          <w:tab w:val="clear" w:pos="1615"/>
        </w:tabs>
        <w:spacing w:line="259" w:lineRule="auto"/>
        <w:rPr>
          <w:rFonts w:asciiTheme="majorHAnsi" w:hAnsiTheme="majorHAnsi" w:cstheme="majorHAnsi"/>
          <w:b/>
          <w:bCs/>
        </w:rPr>
      </w:pPr>
    </w:p>
    <w:p w14:paraId="6602EAD1" w14:textId="77777777" w:rsidR="00E25EB7" w:rsidRPr="00485F85" w:rsidRDefault="00E25EB7" w:rsidP="00E25EB7">
      <w:pPr>
        <w:tabs>
          <w:tab w:val="clear" w:pos="1615"/>
        </w:tabs>
        <w:spacing w:after="0" w:line="360"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4AC2E4E4" w14:textId="63DCAA4C" w:rsidR="00B90A36" w:rsidRPr="00AB53F3" w:rsidRDefault="00B90A36" w:rsidP="00AB53F3">
      <w:pPr>
        <w:pStyle w:val="PargrafodaLista"/>
        <w:numPr>
          <w:ilvl w:val="0"/>
          <w:numId w:val="46"/>
        </w:numPr>
        <w:tabs>
          <w:tab w:val="clear" w:pos="1615"/>
        </w:tabs>
        <w:spacing w:after="0" w:line="360" w:lineRule="auto"/>
        <w:ind w:left="714" w:hanging="357"/>
        <w:jc w:val="both"/>
        <w:rPr>
          <w:rFonts w:asciiTheme="majorHAnsi" w:hAnsiTheme="majorHAnsi" w:cstheme="majorHAnsi"/>
        </w:rPr>
      </w:pPr>
      <w:r w:rsidRPr="00485F85">
        <w:rPr>
          <w:rFonts w:asciiTheme="majorHAnsi" w:hAnsiTheme="majorHAnsi" w:cstheme="majorHAnsi"/>
        </w:rPr>
        <w:t>Ações extensionistas fora no campus da universidade projeta</w:t>
      </w:r>
      <w:r w:rsidR="0070644A" w:rsidRPr="00485F85">
        <w:rPr>
          <w:rFonts w:asciiTheme="majorHAnsi" w:hAnsiTheme="majorHAnsi" w:cstheme="majorHAnsi"/>
        </w:rPr>
        <w:t>m</w:t>
      </w:r>
      <w:r w:rsidRPr="00485F85">
        <w:rPr>
          <w:rFonts w:asciiTheme="majorHAnsi" w:hAnsiTheme="majorHAnsi" w:cstheme="majorHAnsi"/>
        </w:rPr>
        <w:t xml:space="preserve"> a marca institucional e ajuda</w:t>
      </w:r>
      <w:r w:rsidR="0070644A" w:rsidRPr="00485F85">
        <w:rPr>
          <w:rFonts w:asciiTheme="majorHAnsi" w:hAnsiTheme="majorHAnsi" w:cstheme="majorHAnsi"/>
        </w:rPr>
        <w:t>m</w:t>
      </w:r>
      <w:r w:rsidRPr="00485F85">
        <w:rPr>
          <w:rFonts w:asciiTheme="majorHAnsi" w:hAnsiTheme="majorHAnsi" w:cstheme="majorHAnsi"/>
        </w:rPr>
        <w:t xml:space="preserve"> na relação com a comunidade. Algumas ações no Brasil também ocorrem na comunidade, mas muitas ações ocorrem dentro do campus.</w:t>
      </w:r>
    </w:p>
    <w:p w14:paraId="511975CF" w14:textId="278B7DDD" w:rsidR="00F71F0E" w:rsidRPr="00485F85" w:rsidRDefault="00AB53F3" w:rsidP="00A206D5">
      <w:pPr>
        <w:pStyle w:val="Ttulo3"/>
        <w:ind w:left="1276"/>
        <w:rPr>
          <w:rFonts w:asciiTheme="majorHAnsi" w:hAnsiTheme="majorHAnsi" w:cstheme="majorHAnsi"/>
        </w:rPr>
      </w:pPr>
      <w:bookmarkStart w:id="24" w:name="_Toc82101314"/>
      <w:r w:rsidRPr="00485F85">
        <w:rPr>
          <w:rFonts w:asciiTheme="majorHAnsi" w:hAnsiTheme="majorHAnsi" w:cstheme="majorHAnsi"/>
        </w:rPr>
        <w:t>DIMENSÃO 7. FINANCIAMENTO</w:t>
      </w:r>
      <w:bookmarkEnd w:id="24"/>
    </w:p>
    <w:p w14:paraId="576AA264" w14:textId="608CC518" w:rsidR="00F71F0E" w:rsidRPr="00485F85" w:rsidRDefault="00F71F0E" w:rsidP="00F71F0E">
      <w:pPr>
        <w:rPr>
          <w:rFonts w:asciiTheme="majorHAnsi" w:hAnsiTheme="majorHAnsi" w:cstheme="majorHAnsi"/>
        </w:rPr>
      </w:pPr>
    </w:p>
    <w:p w14:paraId="5DDC7E49" w14:textId="18E7EBCE"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7</w:t>
      </w:r>
      <w:r w:rsidRPr="00485F85">
        <w:rPr>
          <w:rFonts w:asciiTheme="majorHAnsi" w:hAnsiTheme="majorHAnsi" w:cstheme="majorHAnsi"/>
        </w:rPr>
        <w:t xml:space="preserve"> – Dimensão </w:t>
      </w:r>
      <w:r w:rsidR="00E72FE1" w:rsidRPr="00485F85">
        <w:rPr>
          <w:rFonts w:asciiTheme="majorHAnsi" w:hAnsiTheme="majorHAnsi" w:cstheme="majorHAnsi"/>
        </w:rPr>
        <w:t>7</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4814"/>
        <w:gridCol w:w="4814"/>
      </w:tblGrid>
      <w:tr w:rsidR="00AB53F3" w:rsidRPr="00AB53F3" w14:paraId="53E08358" w14:textId="77777777" w:rsidTr="00AB53F3">
        <w:tc>
          <w:tcPr>
            <w:tcW w:w="4814" w:type="dxa"/>
            <w:shd w:val="clear" w:color="auto" w:fill="4875BD" w:themeFill="accent1"/>
          </w:tcPr>
          <w:p w14:paraId="7A001E4C" w14:textId="77777777" w:rsidR="00F71F0E" w:rsidRPr="00AB53F3" w:rsidRDefault="00F71F0E" w:rsidP="00AB53F3">
            <w:pPr>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4814" w:type="dxa"/>
            <w:shd w:val="clear" w:color="auto" w:fill="4875BD" w:themeFill="accent1"/>
          </w:tcPr>
          <w:p w14:paraId="71974936" w14:textId="77777777" w:rsidR="00F71F0E" w:rsidRPr="00AB53F3" w:rsidRDefault="00F71F0E" w:rsidP="00AB53F3">
            <w:pPr>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F71F0E" w:rsidRPr="00485F85" w14:paraId="57C36AB6" w14:textId="77777777" w:rsidTr="00BB72C8">
        <w:tc>
          <w:tcPr>
            <w:tcW w:w="4814" w:type="dxa"/>
          </w:tcPr>
          <w:p w14:paraId="5625F108" w14:textId="0D9FD433"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Independência de matrículas dos alunos para saúde financeira. Parcerias e contratos de pesquisa são a maior fonte de renda da universidade. (24,9% no período de 19/20)</w:t>
            </w:r>
          </w:p>
          <w:p w14:paraId="479C564F" w14:textId="77777777" w:rsidR="00552D82" w:rsidRPr="00485F85" w:rsidRDefault="00552D82" w:rsidP="00AB53F3">
            <w:pPr>
              <w:spacing w:line="360" w:lineRule="auto"/>
              <w:jc w:val="both"/>
              <w:rPr>
                <w:rFonts w:asciiTheme="majorHAnsi" w:hAnsiTheme="majorHAnsi" w:cstheme="majorHAnsi"/>
              </w:rPr>
            </w:pPr>
          </w:p>
          <w:p w14:paraId="089CB493" w14:textId="6B15C5A0"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Comitês e planejamento de alocação de recursos para a alocação financeira da Instituição</w:t>
            </w:r>
          </w:p>
          <w:p w14:paraId="3D4B73A7" w14:textId="77777777" w:rsidR="0070644A" w:rsidRPr="00485F85" w:rsidRDefault="0070644A" w:rsidP="00AB53F3">
            <w:pPr>
              <w:spacing w:line="360" w:lineRule="auto"/>
              <w:jc w:val="both"/>
              <w:rPr>
                <w:rFonts w:asciiTheme="majorHAnsi" w:hAnsiTheme="majorHAnsi" w:cstheme="majorHAnsi"/>
              </w:rPr>
            </w:pPr>
          </w:p>
          <w:p w14:paraId="7EC817C2" w14:textId="53A7EDDD"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xml:space="preserve">- Um escritório dedicado a captação e doações para que sua missão caritativa se consolide. </w:t>
            </w:r>
          </w:p>
          <w:p w14:paraId="6C5D16F7" w14:textId="77777777" w:rsidR="00552D82" w:rsidRPr="00485F85" w:rsidRDefault="00552D82" w:rsidP="00AB53F3">
            <w:pPr>
              <w:spacing w:line="360" w:lineRule="auto"/>
              <w:jc w:val="both"/>
              <w:rPr>
                <w:rFonts w:asciiTheme="majorHAnsi" w:hAnsiTheme="majorHAnsi" w:cstheme="majorHAnsi"/>
              </w:rPr>
            </w:pPr>
          </w:p>
          <w:p w14:paraId="5D445BB2" w14:textId="4A470036"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Transparência com o seu balanço financeiro.</w:t>
            </w:r>
          </w:p>
          <w:p w14:paraId="20DFE279" w14:textId="77777777" w:rsidR="00552D82" w:rsidRPr="00485F85" w:rsidRDefault="00552D82" w:rsidP="00AB53F3">
            <w:pPr>
              <w:spacing w:line="360" w:lineRule="auto"/>
              <w:jc w:val="both"/>
              <w:rPr>
                <w:rFonts w:asciiTheme="majorHAnsi" w:hAnsiTheme="majorHAnsi" w:cstheme="majorHAnsi"/>
              </w:rPr>
            </w:pPr>
          </w:p>
          <w:p w14:paraId="227E9CFF" w14:textId="77777777"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xml:space="preserve">- Suas ações de execução financeira estão alinhadas com as propostas do Planejamento Estratégico da Instituição. </w:t>
            </w:r>
          </w:p>
          <w:p w14:paraId="353EF340" w14:textId="77777777" w:rsidR="00F71F0E" w:rsidRPr="00485F85" w:rsidRDefault="00F71F0E" w:rsidP="00AB53F3">
            <w:pPr>
              <w:spacing w:line="360" w:lineRule="auto"/>
              <w:jc w:val="both"/>
              <w:rPr>
                <w:rFonts w:asciiTheme="majorHAnsi" w:hAnsiTheme="majorHAnsi" w:cstheme="majorHAnsi"/>
                <w:b/>
                <w:bCs/>
              </w:rPr>
            </w:pPr>
          </w:p>
        </w:tc>
        <w:tc>
          <w:tcPr>
            <w:tcW w:w="4814" w:type="dxa"/>
          </w:tcPr>
          <w:p w14:paraId="00FFCBCD" w14:textId="77777777"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lastRenderedPageBreak/>
              <w:t>- Os serviços de publicação da universidade relacionados à Oxford University Press representam uma parte considerável da entrada de recurso de Oxford representando no período de 19/20 mais de 40% de sua renda.</w:t>
            </w:r>
          </w:p>
          <w:p w14:paraId="703A2148" w14:textId="77777777" w:rsidR="00F71F0E" w:rsidRPr="00485F85" w:rsidRDefault="00F71F0E" w:rsidP="00AB53F3">
            <w:pPr>
              <w:spacing w:line="360" w:lineRule="auto"/>
              <w:jc w:val="both"/>
              <w:rPr>
                <w:rFonts w:asciiTheme="majorHAnsi" w:hAnsiTheme="majorHAnsi" w:cstheme="majorHAnsi"/>
              </w:rPr>
            </w:pPr>
          </w:p>
          <w:p w14:paraId="4BFCE3C4" w14:textId="77777777" w:rsidR="00F71F0E" w:rsidRPr="00485F85" w:rsidRDefault="00F71F0E" w:rsidP="00AB53F3">
            <w:pPr>
              <w:spacing w:line="360" w:lineRule="auto"/>
              <w:jc w:val="both"/>
              <w:rPr>
                <w:rFonts w:asciiTheme="majorHAnsi" w:hAnsiTheme="majorHAnsi" w:cstheme="majorHAnsi"/>
              </w:rPr>
            </w:pPr>
            <w:r w:rsidRPr="00485F85">
              <w:rPr>
                <w:rFonts w:asciiTheme="majorHAnsi" w:hAnsiTheme="majorHAnsi" w:cstheme="majorHAnsi"/>
              </w:rPr>
              <w:t xml:space="preserve">- A Independência contábil entre a Universidade e seus Colleges que possuem relatórios financeiros distintos não possibilita ver de uma maneira agregada todos os recursos que circulam na </w:t>
            </w:r>
            <w:r w:rsidRPr="00485F85">
              <w:rPr>
                <w:rFonts w:asciiTheme="majorHAnsi" w:hAnsiTheme="majorHAnsi" w:cstheme="majorHAnsi"/>
              </w:rPr>
              <w:lastRenderedPageBreak/>
              <w:t xml:space="preserve">Instituição. No relatório geral da </w:t>
            </w:r>
            <w:r w:rsidR="00B90A36" w:rsidRPr="00485F85">
              <w:rPr>
                <w:rFonts w:asciiTheme="majorHAnsi" w:hAnsiTheme="majorHAnsi" w:cstheme="majorHAnsi"/>
              </w:rPr>
              <w:t>Universidade disponibilizado</w:t>
            </w:r>
            <w:r w:rsidRPr="00485F85">
              <w:rPr>
                <w:rFonts w:asciiTheme="majorHAnsi" w:hAnsiTheme="majorHAnsi" w:cstheme="majorHAnsi"/>
              </w:rPr>
              <w:t xml:space="preserve"> inclusive na HESA foi possível ver uma circulação de £2.536.311 em libras no ano de 19/20 </w:t>
            </w:r>
            <w:r w:rsidR="004125DF" w:rsidRPr="00485F85">
              <w:rPr>
                <w:rFonts w:asciiTheme="majorHAnsi" w:hAnsiTheme="majorHAnsi" w:cstheme="majorHAnsi"/>
              </w:rPr>
              <w:t>enquanto</w:t>
            </w:r>
            <w:r w:rsidRPr="00485F85">
              <w:rPr>
                <w:rFonts w:asciiTheme="majorHAnsi" w:hAnsiTheme="majorHAnsi" w:cstheme="majorHAnsi"/>
              </w:rPr>
              <w:t xml:space="preserve"> nos Colleges foi possível encontrar números como £254 milhões de libras nos relatórios emitidos em 31 de julho de 2020.</w:t>
            </w:r>
          </w:p>
          <w:p w14:paraId="4B069D0A" w14:textId="33A7EB5B" w:rsidR="0070644A" w:rsidRPr="00485F85" w:rsidRDefault="0070644A" w:rsidP="00AB53F3">
            <w:pPr>
              <w:spacing w:line="360" w:lineRule="auto"/>
              <w:jc w:val="both"/>
              <w:rPr>
                <w:rFonts w:asciiTheme="majorHAnsi" w:hAnsiTheme="majorHAnsi" w:cstheme="majorHAnsi"/>
              </w:rPr>
            </w:pPr>
          </w:p>
        </w:tc>
      </w:tr>
    </w:tbl>
    <w:p w14:paraId="50FC829E" w14:textId="77777777" w:rsidR="00904F9B" w:rsidRPr="00485F85" w:rsidRDefault="00904F9B" w:rsidP="00904F9B">
      <w:pPr>
        <w:rPr>
          <w:rFonts w:asciiTheme="majorHAnsi" w:hAnsiTheme="majorHAnsi" w:cstheme="majorHAnsi"/>
        </w:rPr>
      </w:pPr>
      <w:r w:rsidRPr="00485F85">
        <w:rPr>
          <w:rFonts w:asciiTheme="majorHAnsi" w:hAnsiTheme="majorHAnsi" w:cstheme="majorHAnsi"/>
        </w:rPr>
        <w:lastRenderedPageBreak/>
        <w:t>Fonte: Autora</w:t>
      </w:r>
    </w:p>
    <w:p w14:paraId="78EAAD2A" w14:textId="77777777" w:rsidR="0070644A" w:rsidRPr="00485F85" w:rsidRDefault="0070644A" w:rsidP="00F71F0E">
      <w:pPr>
        <w:rPr>
          <w:rFonts w:asciiTheme="majorHAnsi" w:hAnsiTheme="majorHAnsi" w:cstheme="majorHAnsi"/>
        </w:rPr>
      </w:pPr>
    </w:p>
    <w:p w14:paraId="4569BC97" w14:textId="77777777" w:rsidR="00E25EB7" w:rsidRPr="00485F85" w:rsidRDefault="00E25EB7" w:rsidP="00AB53F3">
      <w:pPr>
        <w:tabs>
          <w:tab w:val="clear" w:pos="1615"/>
        </w:tabs>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6EC8DD53" w14:textId="12A09022" w:rsidR="00B90A36" w:rsidRPr="00485F85" w:rsidRDefault="0070644A" w:rsidP="00AB53F3">
      <w:pPr>
        <w:pStyle w:val="PargrafodaLista"/>
        <w:numPr>
          <w:ilvl w:val="0"/>
          <w:numId w:val="46"/>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A g</w:t>
      </w:r>
      <w:r w:rsidR="004125DF" w:rsidRPr="00485F85">
        <w:rPr>
          <w:rFonts w:asciiTheme="majorHAnsi" w:hAnsiTheme="majorHAnsi" w:cstheme="majorHAnsi"/>
        </w:rPr>
        <w:t>estão continuada e planejada dos recursos financeiros é necessária</w:t>
      </w:r>
      <w:r w:rsidRPr="00485F85">
        <w:rPr>
          <w:rFonts w:asciiTheme="majorHAnsi" w:hAnsiTheme="majorHAnsi" w:cstheme="majorHAnsi"/>
        </w:rPr>
        <w:t>. Com documentos e acompanhamento sistemático por meio de comitês ou grupos de trabalho as ações de financiamento são acordadas e implementadas independentemente da troca de reitores ou outros funcionários de alta gestão que resolvem mudar as prioridades que estavam sendo encaminhadas até então, reduzindo esforços e aumentando a assertividade do direcionamento do dinheiro devido a sua linearidade e planejamento constantes.</w:t>
      </w:r>
    </w:p>
    <w:p w14:paraId="34C62040" w14:textId="1A99D27B" w:rsidR="0070644A" w:rsidRPr="00485F85" w:rsidRDefault="0070644A" w:rsidP="00AB53F3">
      <w:pPr>
        <w:pStyle w:val="PargrafodaLista"/>
        <w:numPr>
          <w:ilvl w:val="0"/>
          <w:numId w:val="46"/>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É importante que se sejam pensadas novas formas de incremento de receitas, seja por meio de doações, parcerias com empresas para além do dinheiro público como é o caso do Brasil.</w:t>
      </w:r>
    </w:p>
    <w:p w14:paraId="2BAF9B79" w14:textId="55EEB891" w:rsidR="0070644A" w:rsidRPr="00485F85" w:rsidRDefault="0070644A" w:rsidP="00AB53F3">
      <w:pPr>
        <w:pStyle w:val="PargrafodaLista"/>
        <w:numPr>
          <w:ilvl w:val="0"/>
          <w:numId w:val="46"/>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Apesar de ser uma forte instituição de ensino superior e pesquisa 40% da sua renda ainda advêm de sua subsidiária de impressões de livros para ensino da língua inglesa no mundo. Desse modo, se abrem possibilidades de ampliação da gama de negócios de sucesso em áreas afins, como é o caso da gráfica da Universidade de Oxford.</w:t>
      </w:r>
    </w:p>
    <w:p w14:paraId="627B18E3" w14:textId="43F68CE3" w:rsidR="004125DF" w:rsidRPr="00485F85" w:rsidRDefault="0070644A" w:rsidP="00AB53F3">
      <w:pPr>
        <w:pStyle w:val="PargrafodaLista"/>
        <w:numPr>
          <w:ilvl w:val="0"/>
          <w:numId w:val="46"/>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Relatórios financeiros devem ser simples, unificados, transparentes e devem </w:t>
      </w:r>
      <w:r w:rsidR="000A0074" w:rsidRPr="00485F85">
        <w:rPr>
          <w:rFonts w:asciiTheme="majorHAnsi" w:hAnsiTheme="majorHAnsi" w:cstheme="majorHAnsi"/>
        </w:rPr>
        <w:t>possuir</w:t>
      </w:r>
      <w:r w:rsidRPr="00485F85">
        <w:rPr>
          <w:rFonts w:asciiTheme="majorHAnsi" w:hAnsiTheme="majorHAnsi" w:cstheme="majorHAnsi"/>
        </w:rPr>
        <w:t xml:space="preserve"> série histórica.</w:t>
      </w:r>
    </w:p>
    <w:p w14:paraId="7824BF5D" w14:textId="77777777" w:rsidR="004125DF" w:rsidRPr="00485F85" w:rsidRDefault="004125DF">
      <w:pPr>
        <w:tabs>
          <w:tab w:val="clear" w:pos="1615"/>
        </w:tabs>
        <w:spacing w:line="259" w:lineRule="auto"/>
        <w:rPr>
          <w:rFonts w:asciiTheme="majorHAnsi" w:hAnsiTheme="majorHAnsi" w:cstheme="majorHAnsi"/>
        </w:rPr>
      </w:pPr>
    </w:p>
    <w:p w14:paraId="1C31F33B" w14:textId="4AFCF5E9" w:rsidR="00F71F0E" w:rsidRPr="00485F85" w:rsidRDefault="00AB53F3" w:rsidP="00A206D5">
      <w:pPr>
        <w:pStyle w:val="Ttulo3"/>
        <w:ind w:left="1276"/>
        <w:rPr>
          <w:rFonts w:asciiTheme="majorHAnsi" w:hAnsiTheme="majorHAnsi" w:cstheme="majorHAnsi"/>
        </w:rPr>
      </w:pPr>
      <w:bookmarkStart w:id="25" w:name="_Toc82101315"/>
      <w:r w:rsidRPr="00485F85">
        <w:rPr>
          <w:rFonts w:asciiTheme="majorHAnsi" w:hAnsiTheme="majorHAnsi" w:cstheme="majorHAnsi"/>
        </w:rPr>
        <w:t>DIMENSÃO 8. POLÍTICA DE RELACIONAMENTO EXTERNO</w:t>
      </w:r>
      <w:bookmarkEnd w:id="25"/>
    </w:p>
    <w:p w14:paraId="7280A096" w14:textId="4B9D93A7" w:rsidR="003A735A" w:rsidRPr="00485F85" w:rsidRDefault="003A735A" w:rsidP="003A735A">
      <w:pPr>
        <w:rPr>
          <w:rFonts w:asciiTheme="majorHAnsi" w:hAnsiTheme="majorHAnsi" w:cstheme="majorHAnsi"/>
        </w:rPr>
      </w:pPr>
    </w:p>
    <w:p w14:paraId="76BE6AC7" w14:textId="755CB82E"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Quadro</w:t>
      </w:r>
      <w:r w:rsidR="00E72FE1" w:rsidRPr="00485F85">
        <w:rPr>
          <w:rFonts w:asciiTheme="majorHAnsi" w:hAnsiTheme="majorHAnsi" w:cstheme="majorHAnsi"/>
        </w:rPr>
        <w:t xml:space="preserve">8 </w:t>
      </w:r>
      <w:r w:rsidRPr="00485F85">
        <w:rPr>
          <w:rFonts w:asciiTheme="majorHAnsi" w:hAnsiTheme="majorHAnsi" w:cstheme="majorHAnsi"/>
        </w:rPr>
        <w:t xml:space="preserve"> – Dimensão </w:t>
      </w:r>
      <w:r w:rsidR="00E72FE1" w:rsidRPr="00485F85">
        <w:rPr>
          <w:rFonts w:asciiTheme="majorHAnsi" w:hAnsiTheme="majorHAnsi" w:cstheme="majorHAnsi"/>
        </w:rPr>
        <w:t>8</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4814"/>
        <w:gridCol w:w="4814"/>
      </w:tblGrid>
      <w:tr w:rsidR="00AB53F3" w:rsidRPr="00AB53F3" w14:paraId="4C26A9E6" w14:textId="77777777" w:rsidTr="00AB53F3">
        <w:tc>
          <w:tcPr>
            <w:tcW w:w="4814" w:type="dxa"/>
            <w:shd w:val="clear" w:color="auto" w:fill="4875BD" w:themeFill="accent1"/>
          </w:tcPr>
          <w:p w14:paraId="4A73944E"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4814" w:type="dxa"/>
            <w:shd w:val="clear" w:color="auto" w:fill="4875BD" w:themeFill="accent1"/>
          </w:tcPr>
          <w:p w14:paraId="4F0D4BED" w14:textId="77777777" w:rsidR="00F71F0E" w:rsidRPr="00AB53F3" w:rsidRDefault="00F71F0E"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D15266" w:rsidRPr="00485F85" w14:paraId="15870EE8" w14:textId="77777777" w:rsidTr="00BB72C8">
        <w:tc>
          <w:tcPr>
            <w:tcW w:w="4814" w:type="dxa"/>
          </w:tcPr>
          <w:p w14:paraId="7BD332D7" w14:textId="77777777"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 busca por parcerias com as empresas acontece desde a esfera de pequenas empresas locais até grandes empresas internacionais. Assim empresas de diferentes portes e áreas têm espaço para participarem da comunidade de Oxford.</w:t>
            </w:r>
          </w:p>
          <w:p w14:paraId="7052659A" w14:textId="77777777" w:rsidR="00D15266" w:rsidRPr="00485F85" w:rsidRDefault="00D15266" w:rsidP="00AB53F3">
            <w:pPr>
              <w:tabs>
                <w:tab w:val="clear" w:pos="1615"/>
              </w:tabs>
              <w:spacing w:line="360" w:lineRule="auto"/>
              <w:jc w:val="both"/>
              <w:rPr>
                <w:rFonts w:asciiTheme="majorHAnsi" w:hAnsiTheme="majorHAnsi" w:cstheme="majorHAnsi"/>
              </w:rPr>
            </w:pPr>
          </w:p>
          <w:p w14:paraId="2410BCC2" w14:textId="3FAAA631"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O escritório de estágios oferece opções que </w:t>
            </w:r>
            <w:r w:rsidRPr="00485F85">
              <w:rPr>
                <w:rFonts w:asciiTheme="majorHAnsi" w:hAnsiTheme="majorHAnsi" w:cstheme="majorHAnsi"/>
              </w:rPr>
              <w:lastRenderedPageBreak/>
              <w:t>contemplam todas as áreas de ensino da instituição</w:t>
            </w:r>
            <w:r w:rsidR="00176B7E" w:rsidRPr="00485F85">
              <w:rPr>
                <w:rFonts w:asciiTheme="majorHAnsi" w:hAnsiTheme="majorHAnsi" w:cstheme="majorHAnsi"/>
              </w:rPr>
              <w:t xml:space="preserve">, além de contarem com uma ampla rede de ex-alunos e network aprimorado para absorver essa demanda, inclusive internamente </w:t>
            </w:r>
            <w:r w:rsidRPr="00485F85">
              <w:rPr>
                <w:rFonts w:asciiTheme="majorHAnsi" w:hAnsiTheme="majorHAnsi" w:cstheme="majorHAnsi"/>
              </w:rPr>
              <w:t>.</w:t>
            </w:r>
          </w:p>
          <w:p w14:paraId="3126230A" w14:textId="77777777" w:rsidR="00D15266" w:rsidRPr="00485F85" w:rsidRDefault="00D15266" w:rsidP="00AB53F3">
            <w:pPr>
              <w:tabs>
                <w:tab w:val="clear" w:pos="1615"/>
              </w:tabs>
              <w:spacing w:line="360" w:lineRule="auto"/>
              <w:jc w:val="both"/>
              <w:rPr>
                <w:rFonts w:asciiTheme="majorHAnsi" w:hAnsiTheme="majorHAnsi" w:cstheme="majorHAnsi"/>
              </w:rPr>
            </w:pPr>
          </w:p>
          <w:p w14:paraId="1F1AF1D4" w14:textId="2078D604"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Intercâmbios, oportunidades de viagens são incentivadas na Instituição com financiamentos, inclusive.</w:t>
            </w:r>
          </w:p>
          <w:p w14:paraId="56B71126" w14:textId="77777777" w:rsidR="00452080" w:rsidRPr="00485F85" w:rsidRDefault="00452080" w:rsidP="00AB53F3">
            <w:pPr>
              <w:tabs>
                <w:tab w:val="clear" w:pos="1615"/>
              </w:tabs>
              <w:spacing w:line="360" w:lineRule="auto"/>
              <w:jc w:val="both"/>
              <w:rPr>
                <w:rFonts w:asciiTheme="majorHAnsi" w:hAnsiTheme="majorHAnsi" w:cstheme="majorHAnsi"/>
              </w:rPr>
            </w:pPr>
          </w:p>
          <w:p w14:paraId="4F0B6C79" w14:textId="77777777"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Existe um processo de internacionalização bem consolidado. </w:t>
            </w:r>
          </w:p>
          <w:p w14:paraId="044D47C2" w14:textId="77777777" w:rsidR="00D15266" w:rsidRPr="00485F85" w:rsidRDefault="00D15266" w:rsidP="00AB53F3">
            <w:pPr>
              <w:tabs>
                <w:tab w:val="clear" w:pos="1615"/>
              </w:tabs>
              <w:spacing w:line="360" w:lineRule="auto"/>
              <w:jc w:val="both"/>
              <w:rPr>
                <w:rFonts w:asciiTheme="majorHAnsi" w:hAnsiTheme="majorHAnsi" w:cstheme="majorHAnsi"/>
              </w:rPr>
            </w:pPr>
          </w:p>
          <w:p w14:paraId="2F4232D7" w14:textId="23C6A33D"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A comunicação com a comunidade também acontece por meio de revistas e periódicos especializados.</w:t>
            </w:r>
          </w:p>
        </w:tc>
        <w:tc>
          <w:tcPr>
            <w:tcW w:w="4814" w:type="dxa"/>
          </w:tcPr>
          <w:p w14:paraId="123AC7EC" w14:textId="77777777" w:rsidR="00D15266" w:rsidRPr="00485F85" w:rsidRDefault="00D15266" w:rsidP="00AB53F3">
            <w:pPr>
              <w:spacing w:line="360" w:lineRule="auto"/>
              <w:jc w:val="both"/>
              <w:rPr>
                <w:rFonts w:asciiTheme="majorHAnsi" w:hAnsiTheme="majorHAnsi" w:cstheme="majorHAnsi"/>
              </w:rPr>
            </w:pPr>
            <w:r w:rsidRPr="00485F85">
              <w:rPr>
                <w:rFonts w:asciiTheme="majorHAnsi" w:hAnsiTheme="majorHAnsi" w:cstheme="majorHAnsi"/>
              </w:rPr>
              <w:lastRenderedPageBreak/>
              <w:t>- Não há um centro que unifique todas as ações de parcerias com empresas internacionais e nacionais da universidade. Suas diferentes esferas são estimuladas a buscarem suas parcerias também de forma independente por isso tornou-se inviável consolidar os dados coletados nessa dimensão.</w:t>
            </w:r>
          </w:p>
          <w:p w14:paraId="74145F6E" w14:textId="77777777" w:rsidR="00D15266" w:rsidRPr="00485F85" w:rsidRDefault="00D15266" w:rsidP="00AB53F3">
            <w:pPr>
              <w:spacing w:line="360" w:lineRule="auto"/>
              <w:jc w:val="both"/>
              <w:rPr>
                <w:rFonts w:asciiTheme="majorHAnsi" w:hAnsiTheme="majorHAnsi" w:cstheme="majorHAnsi"/>
              </w:rPr>
            </w:pPr>
          </w:p>
          <w:p w14:paraId="4C9DEFBA" w14:textId="7788F082" w:rsidR="00D15266" w:rsidRPr="00485F85" w:rsidRDefault="00D15266" w:rsidP="00AB53F3">
            <w:pPr>
              <w:spacing w:line="360" w:lineRule="auto"/>
              <w:jc w:val="both"/>
              <w:rPr>
                <w:rFonts w:asciiTheme="majorHAnsi" w:hAnsiTheme="majorHAnsi" w:cstheme="majorHAnsi"/>
              </w:rPr>
            </w:pPr>
            <w:r w:rsidRPr="00485F85">
              <w:rPr>
                <w:rFonts w:asciiTheme="majorHAnsi" w:hAnsiTheme="majorHAnsi" w:cstheme="majorHAnsi"/>
              </w:rPr>
              <w:lastRenderedPageBreak/>
              <w:t xml:space="preserve">- A estrutura da Universidade é muto grande e impossível de ser simplificada em sua comunicação. O que necessita de muitos sites acessórios para serem atualizados com informações relevantes periodicamente, </w:t>
            </w:r>
            <w:r w:rsidR="00176B7E" w:rsidRPr="00485F85">
              <w:rPr>
                <w:rFonts w:asciiTheme="majorHAnsi" w:hAnsiTheme="majorHAnsi" w:cstheme="majorHAnsi"/>
              </w:rPr>
              <w:t>podendo</w:t>
            </w:r>
            <w:r w:rsidRPr="00485F85">
              <w:rPr>
                <w:rFonts w:asciiTheme="majorHAnsi" w:hAnsiTheme="majorHAnsi" w:cstheme="majorHAnsi"/>
              </w:rPr>
              <w:t xml:space="preserve"> ocasionar na desatualização de alguns detalhes informados.</w:t>
            </w:r>
          </w:p>
          <w:p w14:paraId="4AB59116" w14:textId="77777777" w:rsidR="00176B7E" w:rsidRPr="00485F85" w:rsidRDefault="00176B7E" w:rsidP="00AB53F3">
            <w:pPr>
              <w:tabs>
                <w:tab w:val="clear" w:pos="1615"/>
              </w:tabs>
              <w:spacing w:line="360" w:lineRule="auto"/>
              <w:jc w:val="both"/>
              <w:rPr>
                <w:rFonts w:asciiTheme="majorHAnsi" w:hAnsiTheme="majorHAnsi" w:cstheme="majorHAnsi"/>
              </w:rPr>
            </w:pPr>
          </w:p>
          <w:p w14:paraId="3AA2E063" w14:textId="5B7FA3A3" w:rsidR="00D15266" w:rsidRPr="00485F85" w:rsidRDefault="00D15266" w:rsidP="00AB53F3">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Notou-se que a grande maioria das parcerias com universidades é realizada com instituições públicas. Existem parcerias com instituições </w:t>
            </w:r>
            <w:r w:rsidR="00452080" w:rsidRPr="00485F85">
              <w:rPr>
                <w:rFonts w:asciiTheme="majorHAnsi" w:hAnsiTheme="majorHAnsi" w:cstheme="majorHAnsi"/>
              </w:rPr>
              <w:t>privadas,</w:t>
            </w:r>
            <w:r w:rsidRPr="00485F85">
              <w:rPr>
                <w:rFonts w:asciiTheme="majorHAnsi" w:hAnsiTheme="majorHAnsi" w:cstheme="majorHAnsi"/>
              </w:rPr>
              <w:t xml:space="preserve"> mas elas são bem escassas diante do cenário global.</w:t>
            </w:r>
          </w:p>
        </w:tc>
      </w:tr>
    </w:tbl>
    <w:p w14:paraId="17556AEF"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582AAC6D" w14:textId="353E4F5C" w:rsidR="00F71F0E" w:rsidRPr="00485F85" w:rsidRDefault="00F71F0E" w:rsidP="00F71F0E">
      <w:pPr>
        <w:tabs>
          <w:tab w:val="clear" w:pos="1615"/>
        </w:tabs>
        <w:spacing w:line="259" w:lineRule="auto"/>
        <w:rPr>
          <w:rFonts w:asciiTheme="majorHAnsi" w:hAnsiTheme="majorHAnsi" w:cstheme="majorHAnsi"/>
          <w:b/>
          <w:bCs/>
        </w:rPr>
      </w:pPr>
    </w:p>
    <w:p w14:paraId="144350F4" w14:textId="77777777" w:rsidR="00E25EB7" w:rsidRPr="00485F85" w:rsidRDefault="00E25EB7" w:rsidP="00AB53F3">
      <w:pPr>
        <w:tabs>
          <w:tab w:val="clear" w:pos="1615"/>
        </w:tabs>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7825BED7" w14:textId="340B6E1F" w:rsidR="00F71F0E" w:rsidRPr="00485F85" w:rsidRDefault="00176B7E" w:rsidP="00AB53F3">
      <w:pPr>
        <w:pStyle w:val="PargrafodaLista"/>
        <w:numPr>
          <w:ilvl w:val="0"/>
          <w:numId w:val="47"/>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Considerar a </w:t>
      </w:r>
      <w:r w:rsidR="004125DF" w:rsidRPr="00485F85">
        <w:rPr>
          <w:rFonts w:asciiTheme="majorHAnsi" w:hAnsiTheme="majorHAnsi" w:cstheme="majorHAnsi"/>
        </w:rPr>
        <w:t>busca</w:t>
      </w:r>
      <w:r w:rsidRPr="00485F85">
        <w:rPr>
          <w:rFonts w:asciiTheme="majorHAnsi" w:hAnsiTheme="majorHAnsi" w:cstheme="majorHAnsi"/>
        </w:rPr>
        <w:t xml:space="preserve"> de</w:t>
      </w:r>
      <w:r w:rsidR="004125DF" w:rsidRPr="00485F85">
        <w:rPr>
          <w:rFonts w:asciiTheme="majorHAnsi" w:hAnsiTheme="majorHAnsi" w:cstheme="majorHAnsi"/>
        </w:rPr>
        <w:t xml:space="preserve"> modelos de parcerias com empresas privadas e perde</w:t>
      </w:r>
      <w:r w:rsidRPr="00485F85">
        <w:rPr>
          <w:rFonts w:asciiTheme="majorHAnsi" w:hAnsiTheme="majorHAnsi" w:cstheme="majorHAnsi"/>
        </w:rPr>
        <w:t>ndo</w:t>
      </w:r>
      <w:r w:rsidR="004125DF" w:rsidRPr="00485F85">
        <w:rPr>
          <w:rFonts w:asciiTheme="majorHAnsi" w:hAnsiTheme="majorHAnsi" w:cstheme="majorHAnsi"/>
        </w:rPr>
        <w:t xml:space="preserve"> o medo da aproximação</w:t>
      </w:r>
      <w:r w:rsidRPr="00485F85">
        <w:rPr>
          <w:rFonts w:asciiTheme="majorHAnsi" w:hAnsiTheme="majorHAnsi" w:cstheme="majorHAnsi"/>
        </w:rPr>
        <w:t xml:space="preserve"> com o mercado privado, que ainda é considerado um tabu no Brasil</w:t>
      </w:r>
      <w:r w:rsidR="000A0074" w:rsidRPr="00485F85">
        <w:rPr>
          <w:rFonts w:asciiTheme="majorHAnsi" w:hAnsiTheme="majorHAnsi" w:cstheme="majorHAnsi"/>
        </w:rPr>
        <w:t>;</w:t>
      </w:r>
    </w:p>
    <w:p w14:paraId="40B9B740" w14:textId="35604EFC" w:rsidR="004125DF" w:rsidRPr="00485F85" w:rsidRDefault="00176B7E" w:rsidP="00AB53F3">
      <w:pPr>
        <w:pStyle w:val="PargrafodaLista"/>
        <w:numPr>
          <w:ilvl w:val="0"/>
          <w:numId w:val="47"/>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No contexto dos estágios acadêmicos, o contato com ex-alunos e comunidade local é muito importante. Além disso, a própria Universidade poderia se beneficiar dos estágios </w:t>
      </w:r>
      <w:r w:rsidR="004125DF" w:rsidRPr="00485F85">
        <w:rPr>
          <w:rFonts w:asciiTheme="majorHAnsi" w:hAnsiTheme="majorHAnsi" w:cstheme="majorHAnsi"/>
        </w:rPr>
        <w:t xml:space="preserve">mediante uma política </w:t>
      </w:r>
      <w:r w:rsidRPr="00485F85">
        <w:rPr>
          <w:rFonts w:asciiTheme="majorHAnsi" w:hAnsiTheme="majorHAnsi" w:cstheme="majorHAnsi"/>
        </w:rPr>
        <w:t>para inserir seus alunos nos ambientes da</w:t>
      </w:r>
      <w:r w:rsidR="004125DF" w:rsidRPr="00485F85">
        <w:rPr>
          <w:rFonts w:asciiTheme="majorHAnsi" w:hAnsiTheme="majorHAnsi" w:cstheme="majorHAnsi"/>
        </w:rPr>
        <w:t xml:space="preserve"> </w:t>
      </w:r>
      <w:r w:rsidRPr="00485F85">
        <w:rPr>
          <w:rFonts w:asciiTheme="majorHAnsi" w:hAnsiTheme="majorHAnsi" w:cstheme="majorHAnsi"/>
        </w:rPr>
        <w:t xml:space="preserve">própria </w:t>
      </w:r>
      <w:r w:rsidR="004125DF" w:rsidRPr="00485F85">
        <w:rPr>
          <w:rFonts w:asciiTheme="majorHAnsi" w:hAnsiTheme="majorHAnsi" w:cstheme="majorHAnsi"/>
        </w:rPr>
        <w:t>universidade</w:t>
      </w:r>
      <w:r w:rsidR="000A0074" w:rsidRPr="00485F85">
        <w:rPr>
          <w:rFonts w:asciiTheme="majorHAnsi" w:hAnsiTheme="majorHAnsi" w:cstheme="majorHAnsi"/>
        </w:rPr>
        <w:t>;</w:t>
      </w:r>
    </w:p>
    <w:p w14:paraId="1D042CAB" w14:textId="5E515847" w:rsidR="00452080" w:rsidRPr="00485F85" w:rsidRDefault="00452080" w:rsidP="00AB53F3">
      <w:pPr>
        <w:pStyle w:val="PargrafodaLista"/>
        <w:numPr>
          <w:ilvl w:val="0"/>
          <w:numId w:val="47"/>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Promover </w:t>
      </w:r>
      <w:r w:rsidR="00176B7E" w:rsidRPr="00485F85">
        <w:rPr>
          <w:rFonts w:asciiTheme="majorHAnsi" w:hAnsiTheme="majorHAnsi" w:cstheme="majorHAnsi"/>
        </w:rPr>
        <w:t xml:space="preserve">o contato da Universidade </w:t>
      </w:r>
      <w:r w:rsidRPr="00485F85">
        <w:rPr>
          <w:rFonts w:asciiTheme="majorHAnsi" w:hAnsiTheme="majorHAnsi" w:cstheme="majorHAnsi"/>
        </w:rPr>
        <w:t>fora do campus é uma iniciativa necessária</w:t>
      </w:r>
      <w:r w:rsidR="000A0074" w:rsidRPr="00485F85">
        <w:rPr>
          <w:rFonts w:asciiTheme="majorHAnsi" w:hAnsiTheme="majorHAnsi" w:cstheme="majorHAnsi"/>
        </w:rPr>
        <w:t>;</w:t>
      </w:r>
    </w:p>
    <w:p w14:paraId="391D8188" w14:textId="41ED7ACE" w:rsidR="00452080" w:rsidRPr="00485F85" w:rsidRDefault="00452080" w:rsidP="00AB53F3">
      <w:pPr>
        <w:pStyle w:val="PargrafodaLista"/>
        <w:numPr>
          <w:ilvl w:val="0"/>
          <w:numId w:val="47"/>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A internacionalização deve ser </w:t>
      </w:r>
      <w:r w:rsidR="00176B7E" w:rsidRPr="00485F85">
        <w:rPr>
          <w:rFonts w:asciiTheme="majorHAnsi" w:hAnsiTheme="majorHAnsi" w:cstheme="majorHAnsi"/>
        </w:rPr>
        <w:t>pensada em esferas amplas e específicas, n</w:t>
      </w:r>
      <w:r w:rsidRPr="00485F85">
        <w:rPr>
          <w:rFonts w:asciiTheme="majorHAnsi" w:hAnsiTheme="majorHAnsi" w:cstheme="majorHAnsi"/>
        </w:rPr>
        <w:t>um processo mais fluído, principalmente quando não envolvem recurso</w:t>
      </w:r>
      <w:r w:rsidR="000A0074" w:rsidRPr="00485F85">
        <w:rPr>
          <w:rFonts w:asciiTheme="majorHAnsi" w:hAnsiTheme="majorHAnsi" w:cstheme="majorHAnsi"/>
        </w:rPr>
        <w:t>s</w:t>
      </w:r>
      <w:r w:rsidRPr="00485F85">
        <w:rPr>
          <w:rFonts w:asciiTheme="majorHAnsi" w:hAnsiTheme="majorHAnsi" w:cstheme="majorHAnsi"/>
        </w:rPr>
        <w:t>.</w:t>
      </w:r>
      <w:r w:rsidR="00176B7E" w:rsidRPr="00485F85">
        <w:rPr>
          <w:rFonts w:asciiTheme="majorHAnsi" w:hAnsiTheme="majorHAnsi" w:cstheme="majorHAnsi"/>
        </w:rPr>
        <w:t xml:space="preserve"> Isso porque no Brasil, diferentemente de Oxford que busca parcerias com grandes conglomerados, às vezes um professor fica engessado para colaborar com outras </w:t>
      </w:r>
      <w:r w:rsidR="000A0074" w:rsidRPr="00485F85">
        <w:rPr>
          <w:rFonts w:asciiTheme="majorHAnsi" w:hAnsiTheme="majorHAnsi" w:cstheme="majorHAnsi"/>
        </w:rPr>
        <w:t>U</w:t>
      </w:r>
      <w:r w:rsidR="00176B7E" w:rsidRPr="00485F85">
        <w:rPr>
          <w:rFonts w:asciiTheme="majorHAnsi" w:hAnsiTheme="majorHAnsi" w:cstheme="majorHAnsi"/>
        </w:rPr>
        <w:t xml:space="preserve">niversidades </w:t>
      </w:r>
      <w:r w:rsidR="000A0074" w:rsidRPr="00485F85">
        <w:rPr>
          <w:rFonts w:asciiTheme="majorHAnsi" w:hAnsiTheme="majorHAnsi" w:cstheme="majorHAnsi"/>
        </w:rPr>
        <w:t>fora do país</w:t>
      </w:r>
      <w:r w:rsidR="00176B7E" w:rsidRPr="00485F85">
        <w:rPr>
          <w:rFonts w:asciiTheme="majorHAnsi" w:hAnsiTheme="majorHAnsi" w:cstheme="majorHAnsi"/>
        </w:rPr>
        <w:t xml:space="preserve"> devido a própria burocracia dos </w:t>
      </w:r>
      <w:r w:rsidR="000A0074" w:rsidRPr="00485F85">
        <w:rPr>
          <w:rFonts w:asciiTheme="majorHAnsi" w:hAnsiTheme="majorHAnsi" w:cstheme="majorHAnsi"/>
        </w:rPr>
        <w:t xml:space="preserve">seus </w:t>
      </w:r>
      <w:r w:rsidR="00176B7E" w:rsidRPr="00485F85">
        <w:rPr>
          <w:rFonts w:asciiTheme="majorHAnsi" w:hAnsiTheme="majorHAnsi" w:cstheme="majorHAnsi"/>
        </w:rPr>
        <w:t>departamentos de internacionalização</w:t>
      </w:r>
      <w:r w:rsidR="000A0074" w:rsidRPr="00485F85">
        <w:rPr>
          <w:rFonts w:asciiTheme="majorHAnsi" w:hAnsiTheme="majorHAnsi" w:cstheme="majorHAnsi"/>
        </w:rPr>
        <w:t>, p</w:t>
      </w:r>
      <w:r w:rsidR="00176B7E" w:rsidRPr="00485F85">
        <w:rPr>
          <w:rFonts w:asciiTheme="majorHAnsi" w:hAnsiTheme="majorHAnsi" w:cstheme="majorHAnsi"/>
        </w:rPr>
        <w:t>rivando parcerias menores e que não envolvem custos</w:t>
      </w:r>
      <w:r w:rsidR="000A0074" w:rsidRPr="00485F85">
        <w:rPr>
          <w:rFonts w:asciiTheme="majorHAnsi" w:hAnsiTheme="majorHAnsi" w:cstheme="majorHAnsi"/>
        </w:rPr>
        <w:t xml:space="preserve"> de serem concretizadas.</w:t>
      </w:r>
    </w:p>
    <w:p w14:paraId="141AE7F0" w14:textId="1B302585" w:rsidR="00F71F0E" w:rsidRPr="00485F85" w:rsidRDefault="00AB53F3" w:rsidP="00A206D5">
      <w:pPr>
        <w:pStyle w:val="Ttulo3"/>
        <w:ind w:left="1276"/>
        <w:rPr>
          <w:rFonts w:asciiTheme="majorHAnsi" w:hAnsiTheme="majorHAnsi" w:cstheme="majorHAnsi"/>
        </w:rPr>
      </w:pPr>
      <w:bookmarkStart w:id="26" w:name="_Toc82101316"/>
      <w:r w:rsidRPr="00485F85">
        <w:rPr>
          <w:rFonts w:asciiTheme="majorHAnsi" w:hAnsiTheme="majorHAnsi" w:cstheme="majorHAnsi"/>
        </w:rPr>
        <w:t>DIMENSÃO 9. VINCULAÇÃO COM A EDUCAÇÃO BÁSICA</w:t>
      </w:r>
      <w:bookmarkEnd w:id="26"/>
    </w:p>
    <w:p w14:paraId="5A7B43E6" w14:textId="45E8B189" w:rsidR="003A735A" w:rsidRPr="00485F85" w:rsidRDefault="003A735A" w:rsidP="003A735A">
      <w:pPr>
        <w:rPr>
          <w:rFonts w:asciiTheme="majorHAnsi" w:hAnsiTheme="majorHAnsi" w:cstheme="majorHAnsi"/>
        </w:rPr>
      </w:pPr>
    </w:p>
    <w:p w14:paraId="27BCCBD6" w14:textId="1BB644BA"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9</w:t>
      </w:r>
      <w:r w:rsidRPr="00485F85">
        <w:rPr>
          <w:rFonts w:asciiTheme="majorHAnsi" w:hAnsiTheme="majorHAnsi" w:cstheme="majorHAnsi"/>
        </w:rPr>
        <w:t xml:space="preserve"> – Dimensão </w:t>
      </w:r>
      <w:r w:rsidR="00E72FE1" w:rsidRPr="00485F85">
        <w:rPr>
          <w:rFonts w:asciiTheme="majorHAnsi" w:hAnsiTheme="majorHAnsi" w:cstheme="majorHAnsi"/>
        </w:rPr>
        <w:t>9</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4814"/>
        <w:gridCol w:w="4814"/>
      </w:tblGrid>
      <w:tr w:rsidR="00AB53F3" w:rsidRPr="00AB53F3" w14:paraId="3B1D58DB" w14:textId="77777777" w:rsidTr="00AB53F3">
        <w:tc>
          <w:tcPr>
            <w:tcW w:w="4814" w:type="dxa"/>
            <w:shd w:val="clear" w:color="auto" w:fill="4875BD" w:themeFill="accent1"/>
          </w:tcPr>
          <w:p w14:paraId="3E71825C" w14:textId="77777777" w:rsidR="00D15266" w:rsidRPr="00AB53F3" w:rsidRDefault="00D15266" w:rsidP="00AB53F3">
            <w:pPr>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4814" w:type="dxa"/>
            <w:shd w:val="clear" w:color="auto" w:fill="4875BD" w:themeFill="accent1"/>
          </w:tcPr>
          <w:p w14:paraId="23A2E44E" w14:textId="77777777" w:rsidR="00D15266" w:rsidRPr="00AB53F3" w:rsidRDefault="00D15266" w:rsidP="00AB53F3">
            <w:pPr>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D15266" w:rsidRPr="00485F85" w14:paraId="2254BD0A" w14:textId="77777777" w:rsidTr="00BB72C8">
        <w:tc>
          <w:tcPr>
            <w:tcW w:w="4814" w:type="dxa"/>
          </w:tcPr>
          <w:p w14:paraId="45D46C0B" w14:textId="253F0FC5" w:rsidR="00D15266" w:rsidRPr="00485F85" w:rsidRDefault="00D15266" w:rsidP="00AB53F3">
            <w:pPr>
              <w:spacing w:after="160" w:line="360" w:lineRule="auto"/>
              <w:rPr>
                <w:rFonts w:asciiTheme="majorHAnsi" w:hAnsiTheme="majorHAnsi" w:cstheme="majorHAnsi"/>
              </w:rPr>
            </w:pPr>
            <w:r w:rsidRPr="00485F85">
              <w:rPr>
                <w:rFonts w:asciiTheme="majorHAnsi" w:hAnsiTheme="majorHAnsi" w:cstheme="majorHAnsi"/>
              </w:rPr>
              <w:t xml:space="preserve">- Projetos que atendem em alguma medida as </w:t>
            </w:r>
            <w:r w:rsidRPr="00485F85">
              <w:rPr>
                <w:rFonts w:asciiTheme="majorHAnsi" w:hAnsiTheme="majorHAnsi" w:cstheme="majorHAnsi"/>
              </w:rPr>
              <w:lastRenderedPageBreak/>
              <w:t>demandas da educação básica.</w:t>
            </w:r>
          </w:p>
        </w:tc>
        <w:tc>
          <w:tcPr>
            <w:tcW w:w="4814" w:type="dxa"/>
          </w:tcPr>
          <w:p w14:paraId="1A47B98A" w14:textId="77777777" w:rsidR="00D15266" w:rsidRPr="00485F85" w:rsidRDefault="00D15266"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A Universidade não demonstrou uma </w:t>
            </w:r>
            <w:r w:rsidRPr="00485F85">
              <w:rPr>
                <w:rFonts w:asciiTheme="majorHAnsi" w:hAnsiTheme="majorHAnsi" w:cstheme="majorHAnsi"/>
              </w:rPr>
              <w:lastRenderedPageBreak/>
              <w:t>preocupação de voltada para parcerias mais consolidadas com a educação básica. Trabalhando com foco em projetos que atendem esse público, mas não os levam necessariamente para dentro da Universidade.</w:t>
            </w:r>
          </w:p>
          <w:p w14:paraId="4CA5A3DF" w14:textId="77777777" w:rsidR="00D15266" w:rsidRPr="00485F85" w:rsidRDefault="00D15266"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As ações propostas são pontuais e pouco sistematizadas.</w:t>
            </w:r>
          </w:p>
          <w:p w14:paraId="3A6DD36D" w14:textId="760215CF" w:rsidR="00D15266" w:rsidRPr="00485F85" w:rsidRDefault="00D15266"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t>- É importante que a Universidade entenda as expectativas dos jovens, sobretudo os recém-formados. Na coleta de dados foi possível observa que a procura pela graduação é grande apesar desse nível de titulação não contemplar a maior quantidade de vagas ofertadas. O que demonstra uma lacuna informacional de interesses entre a organização e esses jovens.</w:t>
            </w:r>
          </w:p>
        </w:tc>
      </w:tr>
    </w:tbl>
    <w:p w14:paraId="0FF99BD0" w14:textId="77777777" w:rsidR="00904F9B" w:rsidRPr="00485F85" w:rsidRDefault="00904F9B" w:rsidP="00904F9B">
      <w:pPr>
        <w:rPr>
          <w:rFonts w:asciiTheme="majorHAnsi" w:hAnsiTheme="majorHAnsi" w:cstheme="majorHAnsi"/>
        </w:rPr>
      </w:pPr>
      <w:r w:rsidRPr="00485F85">
        <w:rPr>
          <w:rFonts w:asciiTheme="majorHAnsi" w:hAnsiTheme="majorHAnsi" w:cstheme="majorHAnsi"/>
        </w:rPr>
        <w:lastRenderedPageBreak/>
        <w:t>Fonte: Autora</w:t>
      </w:r>
    </w:p>
    <w:p w14:paraId="4D18B66F" w14:textId="5D03ED5D" w:rsidR="00D15266" w:rsidRPr="00485F85" w:rsidRDefault="00D15266" w:rsidP="00D15266">
      <w:pPr>
        <w:rPr>
          <w:rFonts w:asciiTheme="majorHAnsi" w:hAnsiTheme="majorHAnsi" w:cstheme="majorHAnsi"/>
        </w:rPr>
      </w:pPr>
    </w:p>
    <w:p w14:paraId="043F3533" w14:textId="719FB121" w:rsidR="00E25EB7" w:rsidRPr="00485F85" w:rsidRDefault="00E25EB7" w:rsidP="00E25EB7">
      <w:pPr>
        <w:tabs>
          <w:tab w:val="clear" w:pos="1615"/>
        </w:tabs>
        <w:spacing w:after="0" w:line="360"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3BE27A03" w14:textId="6AB17871" w:rsidR="00452080" w:rsidRPr="00485F85" w:rsidRDefault="00452080" w:rsidP="00BF497F">
      <w:pPr>
        <w:pStyle w:val="PargrafodaLista"/>
        <w:numPr>
          <w:ilvl w:val="0"/>
          <w:numId w:val="48"/>
        </w:numPr>
        <w:tabs>
          <w:tab w:val="clear" w:pos="1615"/>
        </w:tabs>
        <w:spacing w:after="0" w:line="360" w:lineRule="auto"/>
        <w:ind w:left="714" w:hanging="357"/>
        <w:jc w:val="both"/>
        <w:rPr>
          <w:rFonts w:asciiTheme="majorHAnsi" w:hAnsiTheme="majorHAnsi" w:cstheme="majorHAnsi"/>
        </w:rPr>
      </w:pPr>
      <w:r w:rsidRPr="00485F85">
        <w:rPr>
          <w:rFonts w:asciiTheme="majorHAnsi" w:hAnsiTheme="majorHAnsi" w:cstheme="majorHAnsi"/>
        </w:rPr>
        <w:t xml:space="preserve">Talvez o braço da universidade não deva ir tão longe, dispersar esforços pode </w:t>
      </w:r>
      <w:r w:rsidR="00781234" w:rsidRPr="00485F85">
        <w:rPr>
          <w:rFonts w:asciiTheme="majorHAnsi" w:hAnsiTheme="majorHAnsi" w:cstheme="majorHAnsi"/>
        </w:rPr>
        <w:t>acarretar</w:t>
      </w:r>
      <w:r w:rsidRPr="00485F85">
        <w:rPr>
          <w:rFonts w:asciiTheme="majorHAnsi" w:hAnsiTheme="majorHAnsi" w:cstheme="majorHAnsi"/>
        </w:rPr>
        <w:t xml:space="preserve"> perda de força e foco.</w:t>
      </w:r>
    </w:p>
    <w:p w14:paraId="3B55167B" w14:textId="77777777" w:rsidR="00F71F0E" w:rsidRPr="00485F85" w:rsidRDefault="00F71F0E" w:rsidP="00F71F0E">
      <w:pPr>
        <w:tabs>
          <w:tab w:val="clear" w:pos="1615"/>
        </w:tabs>
        <w:spacing w:line="259" w:lineRule="auto"/>
        <w:rPr>
          <w:rFonts w:asciiTheme="majorHAnsi" w:hAnsiTheme="majorHAnsi" w:cstheme="majorHAnsi"/>
          <w:b/>
          <w:bCs/>
        </w:rPr>
      </w:pPr>
    </w:p>
    <w:p w14:paraId="38766010" w14:textId="0E423B87" w:rsidR="00F71F0E" w:rsidRPr="00485F85" w:rsidRDefault="00AB53F3" w:rsidP="00A206D5">
      <w:pPr>
        <w:pStyle w:val="Ttulo3"/>
        <w:ind w:left="1276"/>
        <w:rPr>
          <w:rFonts w:asciiTheme="majorHAnsi" w:hAnsiTheme="majorHAnsi" w:cstheme="majorHAnsi"/>
        </w:rPr>
      </w:pPr>
      <w:bookmarkStart w:id="27" w:name="_Toc82101317"/>
      <w:r>
        <w:rPr>
          <w:rFonts w:asciiTheme="majorHAnsi" w:hAnsiTheme="majorHAnsi" w:cstheme="majorHAnsi"/>
        </w:rPr>
        <w:t xml:space="preserve"> </w:t>
      </w:r>
      <w:r w:rsidRPr="00485F85">
        <w:rPr>
          <w:rFonts w:asciiTheme="majorHAnsi" w:hAnsiTheme="majorHAnsi" w:cstheme="majorHAnsi"/>
        </w:rPr>
        <w:t>DIMENSÃO 10 IMPACTO NA INDÚSTRIA/SETOR PRODUTIVO</w:t>
      </w:r>
      <w:bookmarkEnd w:id="27"/>
    </w:p>
    <w:p w14:paraId="0C5FB7ED" w14:textId="4F1FC96D" w:rsidR="003A735A" w:rsidRPr="00485F85" w:rsidRDefault="003A735A" w:rsidP="003A735A">
      <w:pPr>
        <w:rPr>
          <w:rFonts w:asciiTheme="majorHAnsi" w:hAnsiTheme="majorHAnsi" w:cstheme="majorHAnsi"/>
        </w:rPr>
      </w:pPr>
    </w:p>
    <w:p w14:paraId="61D23602" w14:textId="723CD109"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10</w:t>
      </w:r>
      <w:r w:rsidRPr="00485F85">
        <w:rPr>
          <w:rFonts w:asciiTheme="majorHAnsi" w:hAnsiTheme="majorHAnsi" w:cstheme="majorHAnsi"/>
        </w:rPr>
        <w:t xml:space="preserve">– Dimensão </w:t>
      </w:r>
      <w:r w:rsidR="00E72FE1" w:rsidRPr="00485F85">
        <w:rPr>
          <w:rFonts w:asciiTheme="majorHAnsi" w:hAnsiTheme="majorHAnsi" w:cstheme="majorHAnsi"/>
        </w:rPr>
        <w:t>10</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5353"/>
        <w:gridCol w:w="4275"/>
      </w:tblGrid>
      <w:tr w:rsidR="00AB53F3" w:rsidRPr="00AB53F3" w14:paraId="113FAE07" w14:textId="77777777" w:rsidTr="00AB53F3">
        <w:tc>
          <w:tcPr>
            <w:tcW w:w="5353" w:type="dxa"/>
            <w:shd w:val="clear" w:color="auto" w:fill="4875BD" w:themeFill="accent1"/>
          </w:tcPr>
          <w:p w14:paraId="027FB3DD" w14:textId="6625558E" w:rsidR="00D15266" w:rsidRPr="00AB53F3" w:rsidRDefault="00D15266"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ontos Fortes</w:t>
            </w:r>
          </w:p>
        </w:tc>
        <w:tc>
          <w:tcPr>
            <w:tcW w:w="4275" w:type="dxa"/>
            <w:shd w:val="clear" w:color="auto" w:fill="4875BD" w:themeFill="accent1"/>
          </w:tcPr>
          <w:p w14:paraId="7823D217" w14:textId="77777777" w:rsidR="00D15266" w:rsidRPr="00AB53F3" w:rsidRDefault="00D15266"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D15266" w:rsidRPr="00485F85" w14:paraId="316C1BD3" w14:textId="77777777" w:rsidTr="00AB53F3">
        <w:tc>
          <w:tcPr>
            <w:tcW w:w="5353" w:type="dxa"/>
          </w:tcPr>
          <w:p w14:paraId="215DA1F7" w14:textId="0B0936EE" w:rsidR="00D15266" w:rsidRPr="00485F85" w:rsidRDefault="00D15266" w:rsidP="00AB53F3">
            <w:pPr>
              <w:spacing w:after="160" w:line="360" w:lineRule="auto"/>
              <w:jc w:val="both"/>
              <w:rPr>
                <w:rFonts w:asciiTheme="majorHAnsi" w:hAnsiTheme="majorHAnsi" w:cstheme="majorHAnsi"/>
                <w:bCs/>
              </w:rPr>
            </w:pPr>
            <w:r w:rsidRPr="00485F85">
              <w:rPr>
                <w:rFonts w:asciiTheme="majorHAnsi" w:hAnsiTheme="majorHAnsi" w:cstheme="majorHAnsi"/>
                <w:bCs/>
              </w:rPr>
              <w:t>- Empresa subsidiária integral dedicada à inovação com foco na indústria e setor produtivo</w:t>
            </w:r>
            <w:r w:rsidR="000A0074" w:rsidRPr="00485F85">
              <w:rPr>
                <w:rFonts w:asciiTheme="majorHAnsi" w:hAnsiTheme="majorHAnsi" w:cstheme="majorHAnsi"/>
                <w:bCs/>
              </w:rPr>
              <w:t>.</w:t>
            </w:r>
          </w:p>
          <w:p w14:paraId="201B4AD6" w14:textId="77777777" w:rsidR="00D15266" w:rsidRPr="00485F85" w:rsidRDefault="00D15266" w:rsidP="00AB53F3">
            <w:pPr>
              <w:spacing w:after="160" w:line="360" w:lineRule="auto"/>
              <w:jc w:val="both"/>
              <w:rPr>
                <w:rFonts w:asciiTheme="majorHAnsi" w:hAnsiTheme="majorHAnsi" w:cstheme="majorHAnsi"/>
                <w:bCs/>
              </w:rPr>
            </w:pPr>
            <w:r w:rsidRPr="00485F85">
              <w:rPr>
                <w:rFonts w:asciiTheme="majorHAnsi" w:hAnsiTheme="majorHAnsi" w:cstheme="majorHAnsi"/>
                <w:bCs/>
              </w:rPr>
              <w:t>- Impacto financeiro positivo e empregabilidade de pessoas.</w:t>
            </w:r>
          </w:p>
          <w:p w14:paraId="5212BFDE" w14:textId="7B8D0633" w:rsidR="00D15266" w:rsidRPr="00485F85" w:rsidRDefault="00D15266" w:rsidP="00AB53F3">
            <w:pPr>
              <w:spacing w:after="160" w:line="360" w:lineRule="auto"/>
              <w:jc w:val="both"/>
              <w:rPr>
                <w:rFonts w:asciiTheme="majorHAnsi" w:hAnsiTheme="majorHAnsi" w:cstheme="majorHAnsi"/>
                <w:bCs/>
              </w:rPr>
            </w:pPr>
            <w:r w:rsidRPr="00485F85">
              <w:rPr>
                <w:rFonts w:asciiTheme="majorHAnsi" w:hAnsiTheme="majorHAnsi" w:cstheme="majorHAnsi"/>
                <w:bCs/>
              </w:rPr>
              <w:t>- Empresa de consultoria parceria da Instituição: Oxentia</w:t>
            </w:r>
            <w:r w:rsidR="000A0074" w:rsidRPr="00485F85">
              <w:rPr>
                <w:rFonts w:asciiTheme="majorHAnsi" w:hAnsiTheme="majorHAnsi" w:cstheme="majorHAnsi"/>
                <w:bCs/>
              </w:rPr>
              <w:t>.</w:t>
            </w:r>
          </w:p>
          <w:p w14:paraId="34579678" w14:textId="6C33C624" w:rsidR="00D15266" w:rsidRPr="00485F85" w:rsidRDefault="00D15266" w:rsidP="00AB53F3">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Ambiente empreendedor accessível à comunidade</w:t>
            </w:r>
            <w:r w:rsidR="000A0074" w:rsidRPr="00485F85">
              <w:rPr>
                <w:rFonts w:asciiTheme="majorHAnsi" w:hAnsiTheme="majorHAnsi" w:cstheme="majorHAnsi"/>
                <w:bCs/>
              </w:rPr>
              <w:t>.</w:t>
            </w:r>
          </w:p>
          <w:p w14:paraId="1F3445E0" w14:textId="77777777" w:rsidR="00D15266" w:rsidRPr="00485F85" w:rsidRDefault="00D15266" w:rsidP="00AB53F3">
            <w:pPr>
              <w:spacing w:after="160" w:line="360" w:lineRule="auto"/>
              <w:jc w:val="both"/>
              <w:rPr>
                <w:rFonts w:asciiTheme="majorHAnsi" w:hAnsiTheme="majorHAnsi" w:cstheme="majorHAnsi"/>
                <w:bCs/>
              </w:rPr>
            </w:pPr>
            <w:r w:rsidRPr="00485F85">
              <w:rPr>
                <w:rFonts w:asciiTheme="majorHAnsi" w:hAnsiTheme="majorHAnsi" w:cstheme="majorHAnsi"/>
                <w:bCs/>
              </w:rPr>
              <w:t xml:space="preserve">- Ecossistema de inovação e empreendedorismo com foco em empresas locais no condado de Oxfordshire. </w:t>
            </w:r>
          </w:p>
          <w:p w14:paraId="5303FBB6" w14:textId="33695268" w:rsidR="00D15266" w:rsidRPr="00485F85" w:rsidRDefault="00D15266" w:rsidP="00AB53F3">
            <w:pPr>
              <w:tabs>
                <w:tab w:val="clear" w:pos="1615"/>
              </w:tabs>
              <w:spacing w:after="160" w:line="360" w:lineRule="auto"/>
              <w:jc w:val="both"/>
              <w:rPr>
                <w:rFonts w:asciiTheme="majorHAnsi" w:hAnsiTheme="majorHAnsi" w:cstheme="majorHAnsi"/>
                <w:bCs/>
              </w:rPr>
            </w:pPr>
            <w:r w:rsidRPr="00485F85">
              <w:rPr>
                <w:rFonts w:asciiTheme="majorHAnsi" w:hAnsiTheme="majorHAnsi" w:cstheme="majorHAnsi"/>
                <w:bCs/>
              </w:rPr>
              <w:t xml:space="preserve">- Oferta de oportunidades isoladas de aprender sobre inovação e empreendedorismo nas empresas por meio dos departamentos, </w:t>
            </w:r>
            <w:r w:rsidRPr="00485F85">
              <w:rPr>
                <w:rFonts w:asciiTheme="majorHAnsi" w:hAnsiTheme="majorHAnsi" w:cstheme="majorHAnsi"/>
                <w:bCs/>
                <w:i/>
                <w:iCs/>
              </w:rPr>
              <w:t>faculties</w:t>
            </w:r>
            <w:r w:rsidRPr="00485F85">
              <w:rPr>
                <w:rFonts w:asciiTheme="majorHAnsi" w:hAnsiTheme="majorHAnsi" w:cstheme="majorHAnsi"/>
                <w:bCs/>
              </w:rPr>
              <w:t xml:space="preserve"> e divisões acadêmicas.</w:t>
            </w:r>
          </w:p>
        </w:tc>
        <w:tc>
          <w:tcPr>
            <w:tcW w:w="4275" w:type="dxa"/>
          </w:tcPr>
          <w:p w14:paraId="4BE6FA46" w14:textId="0060152D" w:rsidR="00D15266" w:rsidRPr="00485F85" w:rsidRDefault="00D15266" w:rsidP="00AB53F3">
            <w:pPr>
              <w:tabs>
                <w:tab w:val="clear" w:pos="1615"/>
              </w:tabs>
              <w:spacing w:line="360" w:lineRule="auto"/>
              <w:jc w:val="both"/>
              <w:rPr>
                <w:rFonts w:asciiTheme="majorHAnsi" w:hAnsiTheme="majorHAnsi" w:cstheme="majorHAnsi"/>
                <w:bCs/>
              </w:rPr>
            </w:pPr>
            <w:r w:rsidRPr="00485F85">
              <w:rPr>
                <w:rFonts w:asciiTheme="majorHAnsi" w:hAnsiTheme="majorHAnsi" w:cstheme="majorHAnsi"/>
                <w:bCs/>
              </w:rPr>
              <w:lastRenderedPageBreak/>
              <w:t>- Apesar da oferta de apoio para pequenas empresas, não foi detectado nenhum tipo de acolhimento/aproximação para que o contato acontecesse de forma simplificada ou di</w:t>
            </w:r>
            <w:r w:rsidR="00452080" w:rsidRPr="00485F85">
              <w:rPr>
                <w:rFonts w:asciiTheme="majorHAnsi" w:hAnsiTheme="majorHAnsi" w:cstheme="majorHAnsi"/>
                <w:bCs/>
              </w:rPr>
              <w:t>r</w:t>
            </w:r>
            <w:r w:rsidRPr="00485F85">
              <w:rPr>
                <w:rFonts w:asciiTheme="majorHAnsi" w:hAnsiTheme="majorHAnsi" w:cstheme="majorHAnsi"/>
                <w:bCs/>
              </w:rPr>
              <w:t xml:space="preserve">eta. Assim que empresas menores não teriam o acompanhamento necessário nem </w:t>
            </w:r>
            <w:r w:rsidRPr="00485F85">
              <w:rPr>
                <w:rFonts w:asciiTheme="majorHAnsi" w:hAnsiTheme="majorHAnsi" w:cstheme="majorHAnsi"/>
                <w:bCs/>
              </w:rPr>
              <w:lastRenderedPageBreak/>
              <w:t xml:space="preserve">para o primeiro contato com a universidade se não dominarem ferramentas com a internet, por exemplo. Até para se inteirarem sobre o que é ofertado de possibilidade </w:t>
            </w:r>
            <w:r w:rsidR="00452080" w:rsidRPr="00485F85">
              <w:rPr>
                <w:rFonts w:asciiTheme="majorHAnsi" w:hAnsiTheme="majorHAnsi" w:cstheme="majorHAnsi"/>
                <w:bCs/>
              </w:rPr>
              <w:t>a</w:t>
            </w:r>
            <w:r w:rsidRPr="00485F85">
              <w:rPr>
                <w:rFonts w:asciiTheme="majorHAnsi" w:hAnsiTheme="majorHAnsi" w:cstheme="majorHAnsi"/>
                <w:bCs/>
              </w:rPr>
              <w:t xml:space="preserve"> elas.</w:t>
            </w:r>
          </w:p>
          <w:p w14:paraId="771C3C39" w14:textId="77777777" w:rsidR="00D15266" w:rsidRPr="00485F85" w:rsidRDefault="00D15266" w:rsidP="00AB53F3">
            <w:pPr>
              <w:tabs>
                <w:tab w:val="clear" w:pos="1615"/>
              </w:tabs>
              <w:spacing w:line="360" w:lineRule="auto"/>
              <w:jc w:val="both"/>
              <w:rPr>
                <w:rFonts w:asciiTheme="majorHAnsi" w:hAnsiTheme="majorHAnsi" w:cstheme="majorHAnsi"/>
                <w:bCs/>
              </w:rPr>
            </w:pPr>
          </w:p>
          <w:p w14:paraId="113F4D06" w14:textId="0B252759" w:rsidR="00D15266" w:rsidRPr="00485F85" w:rsidRDefault="00D15266" w:rsidP="00AB53F3">
            <w:pPr>
              <w:tabs>
                <w:tab w:val="clear" w:pos="1615"/>
              </w:tabs>
              <w:spacing w:line="360" w:lineRule="auto"/>
              <w:jc w:val="both"/>
              <w:rPr>
                <w:rFonts w:asciiTheme="majorHAnsi" w:hAnsiTheme="majorHAnsi" w:cstheme="majorHAnsi"/>
                <w:bCs/>
              </w:rPr>
            </w:pPr>
          </w:p>
          <w:p w14:paraId="0A3BC11D" w14:textId="469E8F29" w:rsidR="00D15266" w:rsidRPr="00485F85" w:rsidRDefault="00D15266" w:rsidP="00AB53F3">
            <w:pPr>
              <w:tabs>
                <w:tab w:val="clear" w:pos="1615"/>
              </w:tabs>
              <w:spacing w:after="160" w:line="360" w:lineRule="auto"/>
              <w:jc w:val="both"/>
              <w:rPr>
                <w:rFonts w:asciiTheme="majorHAnsi" w:hAnsiTheme="majorHAnsi" w:cstheme="majorHAnsi"/>
                <w:bCs/>
              </w:rPr>
            </w:pPr>
          </w:p>
        </w:tc>
      </w:tr>
    </w:tbl>
    <w:p w14:paraId="63E6C7FA"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0DE38F72" w14:textId="5B415F53" w:rsidR="00F71F0E" w:rsidRPr="00485F85" w:rsidRDefault="00F71F0E" w:rsidP="00F71F0E">
      <w:pPr>
        <w:tabs>
          <w:tab w:val="clear" w:pos="1615"/>
        </w:tabs>
        <w:spacing w:line="259" w:lineRule="auto"/>
        <w:rPr>
          <w:rFonts w:asciiTheme="majorHAnsi" w:hAnsiTheme="majorHAnsi" w:cstheme="majorHAnsi"/>
          <w:b/>
          <w:bCs/>
        </w:rPr>
      </w:pPr>
    </w:p>
    <w:p w14:paraId="0DB8FAEF" w14:textId="77777777" w:rsidR="00E25EB7" w:rsidRPr="00485F85" w:rsidRDefault="00E25EB7" w:rsidP="00AB53F3">
      <w:pPr>
        <w:tabs>
          <w:tab w:val="clear" w:pos="1615"/>
        </w:tabs>
        <w:spacing w:line="276" w:lineRule="auto"/>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1635EEA9" w14:textId="07BD84EF" w:rsidR="00D12A76" w:rsidRPr="00485F85" w:rsidRDefault="00D12A76" w:rsidP="00AB53F3">
      <w:pPr>
        <w:pStyle w:val="PargrafodaLista"/>
        <w:numPr>
          <w:ilvl w:val="0"/>
          <w:numId w:val="48"/>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Necessidade de fomentar um ecossistema de empreendedorismo e inovação em parceria com indústrias ou representantes.</w:t>
      </w:r>
    </w:p>
    <w:p w14:paraId="0CA172AF" w14:textId="3EB69D54" w:rsidR="000A0074" w:rsidRPr="00485F85" w:rsidRDefault="000A0074" w:rsidP="00AB53F3">
      <w:pPr>
        <w:pStyle w:val="PargrafodaLista"/>
        <w:numPr>
          <w:ilvl w:val="0"/>
          <w:numId w:val="48"/>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 xml:space="preserve">Inserir pequenas empresas no contexto da inovação para que haja oportunidade, tanto de aplicação dos conhecimentos do estudante, quanto oportunidade de crescimento da empresa. Contudo as formas de aproximação devem ser pensadas de maneira que empresas que não possuam tecnologia nem para saber dessa possibilidade de desenvolvimento, também possam ser contempladas. </w:t>
      </w:r>
    </w:p>
    <w:p w14:paraId="5BD6623E" w14:textId="088F97C1" w:rsidR="00D12A76" w:rsidRPr="00485F85" w:rsidRDefault="00D12A76" w:rsidP="00AB53F3">
      <w:pPr>
        <w:pStyle w:val="PargrafodaLista"/>
        <w:numPr>
          <w:ilvl w:val="0"/>
          <w:numId w:val="48"/>
        </w:numPr>
        <w:tabs>
          <w:tab w:val="clear" w:pos="1615"/>
        </w:tabs>
        <w:spacing w:after="0" w:line="276" w:lineRule="auto"/>
        <w:ind w:left="714" w:hanging="357"/>
        <w:jc w:val="both"/>
        <w:rPr>
          <w:rFonts w:asciiTheme="majorHAnsi" w:hAnsiTheme="majorHAnsi" w:cstheme="majorHAnsi"/>
        </w:rPr>
      </w:pPr>
      <w:r w:rsidRPr="00485F85">
        <w:rPr>
          <w:rFonts w:asciiTheme="majorHAnsi" w:hAnsiTheme="majorHAnsi" w:cstheme="majorHAnsi"/>
        </w:rPr>
        <w:t>Criar sistemas de certificação necessárias a indústria dentro das universidades</w:t>
      </w:r>
      <w:r w:rsidR="000A0074" w:rsidRPr="00485F85">
        <w:rPr>
          <w:rFonts w:asciiTheme="majorHAnsi" w:hAnsiTheme="majorHAnsi" w:cstheme="majorHAnsi"/>
        </w:rPr>
        <w:t xml:space="preserve"> aproveitando as parcerias e capacitando o aluno ainda na graduação para já oferecer serviços que exijam certificações simplificadas e necessárias para o mercado como é o caso das ISOS no Brasil.</w:t>
      </w:r>
    </w:p>
    <w:p w14:paraId="4FA59E9C" w14:textId="1FC2A36F" w:rsidR="00D15266" w:rsidRPr="00485F85" w:rsidRDefault="00D15266" w:rsidP="00F71F0E">
      <w:pPr>
        <w:tabs>
          <w:tab w:val="clear" w:pos="1615"/>
        </w:tabs>
        <w:spacing w:line="259" w:lineRule="auto"/>
        <w:rPr>
          <w:rFonts w:asciiTheme="majorHAnsi" w:hAnsiTheme="majorHAnsi" w:cstheme="majorHAnsi"/>
          <w:b/>
          <w:bCs/>
        </w:rPr>
      </w:pPr>
    </w:p>
    <w:p w14:paraId="6BAE6591" w14:textId="16EB8D8B" w:rsidR="00F71F0E" w:rsidRPr="00485F85" w:rsidRDefault="00AB53F3" w:rsidP="00A206D5">
      <w:pPr>
        <w:pStyle w:val="Ttulo3"/>
        <w:ind w:left="1276"/>
        <w:rPr>
          <w:rFonts w:asciiTheme="majorHAnsi" w:hAnsiTheme="majorHAnsi" w:cstheme="majorHAnsi"/>
        </w:rPr>
      </w:pPr>
      <w:bookmarkStart w:id="28" w:name="_Toc82101318"/>
      <w:r>
        <w:rPr>
          <w:rFonts w:asciiTheme="majorHAnsi" w:hAnsiTheme="majorHAnsi" w:cstheme="majorHAnsi"/>
        </w:rPr>
        <w:t xml:space="preserve"> </w:t>
      </w:r>
      <w:r w:rsidRPr="00485F85">
        <w:rPr>
          <w:rFonts w:asciiTheme="majorHAnsi" w:hAnsiTheme="majorHAnsi" w:cstheme="majorHAnsi"/>
        </w:rPr>
        <w:t>DIMENSÃO 11 IMPACTO PARA A COMUNIDADE LOCAL</w:t>
      </w:r>
      <w:bookmarkEnd w:id="28"/>
    </w:p>
    <w:p w14:paraId="37F244D2" w14:textId="6446ED66" w:rsidR="003A735A" w:rsidRPr="00485F85" w:rsidRDefault="003A735A" w:rsidP="003A735A">
      <w:pPr>
        <w:rPr>
          <w:rFonts w:asciiTheme="majorHAnsi" w:hAnsiTheme="majorHAnsi" w:cstheme="majorHAnsi"/>
        </w:rPr>
      </w:pPr>
    </w:p>
    <w:p w14:paraId="11F939DE" w14:textId="7831D00B"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Quadro</w:t>
      </w:r>
      <w:r w:rsidR="00E72FE1" w:rsidRPr="00485F85">
        <w:rPr>
          <w:rFonts w:asciiTheme="majorHAnsi" w:hAnsiTheme="majorHAnsi" w:cstheme="majorHAnsi"/>
        </w:rPr>
        <w:t xml:space="preserve"> 11</w:t>
      </w:r>
      <w:r w:rsidRPr="00485F85">
        <w:rPr>
          <w:rFonts w:asciiTheme="majorHAnsi" w:hAnsiTheme="majorHAnsi" w:cstheme="majorHAnsi"/>
        </w:rPr>
        <w:t xml:space="preserve"> – Dimensão </w:t>
      </w:r>
      <w:r w:rsidR="00E72FE1" w:rsidRPr="00485F85">
        <w:rPr>
          <w:rFonts w:asciiTheme="majorHAnsi" w:hAnsiTheme="majorHAnsi" w:cstheme="majorHAnsi"/>
        </w:rPr>
        <w:t>11</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3936"/>
        <w:gridCol w:w="5692"/>
      </w:tblGrid>
      <w:tr w:rsidR="00AB53F3" w:rsidRPr="00AB53F3" w14:paraId="26A486AD" w14:textId="77777777" w:rsidTr="00AB53F3">
        <w:tc>
          <w:tcPr>
            <w:tcW w:w="3936" w:type="dxa"/>
            <w:shd w:val="clear" w:color="auto" w:fill="4875BD" w:themeFill="accent1"/>
          </w:tcPr>
          <w:p w14:paraId="774D7E98" w14:textId="77777777" w:rsidR="005747F1" w:rsidRPr="00AB53F3" w:rsidRDefault="005747F1"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5692" w:type="dxa"/>
            <w:shd w:val="clear" w:color="auto" w:fill="4875BD" w:themeFill="accent1"/>
          </w:tcPr>
          <w:p w14:paraId="72FE7391" w14:textId="77777777" w:rsidR="005747F1" w:rsidRPr="00AB53F3" w:rsidRDefault="005747F1"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5747F1" w:rsidRPr="00485F85" w14:paraId="78822A0A" w14:textId="77777777" w:rsidTr="00AB53F3">
        <w:tc>
          <w:tcPr>
            <w:tcW w:w="3936" w:type="dxa"/>
          </w:tcPr>
          <w:p w14:paraId="61813769"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t>- De 2016 a 2020, foi possível observar que Oxford dobrou a admissão de alunos socioeconomicamente menos favorecidos.</w:t>
            </w:r>
          </w:p>
          <w:p w14:paraId="35379614"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t xml:space="preserve">- Presença de estratégias de inclusão e políticas afirmativas. A preocupação com alunos BME também ganhou destaque </w:t>
            </w:r>
            <w:r w:rsidRPr="00485F85">
              <w:rPr>
                <w:rFonts w:asciiTheme="majorHAnsi" w:hAnsiTheme="majorHAnsi" w:cstheme="majorHAnsi"/>
                <w:bCs/>
              </w:rPr>
              <w:lastRenderedPageBreak/>
              <w:t>nos últimos 5 anos.</w:t>
            </w:r>
          </w:p>
          <w:p w14:paraId="30855C6D"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t>- Aumento da população feminina na Universidade.</w:t>
            </w:r>
          </w:p>
          <w:p w14:paraId="5D2F1DC5" w14:textId="07378F4D" w:rsidR="005747F1" w:rsidRPr="00485F85" w:rsidRDefault="005747F1" w:rsidP="00AB53F3">
            <w:pPr>
              <w:tabs>
                <w:tab w:val="clear" w:pos="1615"/>
              </w:tabs>
              <w:spacing w:after="160" w:line="360" w:lineRule="auto"/>
              <w:jc w:val="both"/>
              <w:rPr>
                <w:rFonts w:asciiTheme="majorHAnsi" w:hAnsiTheme="majorHAnsi" w:cstheme="majorHAnsi"/>
                <w:b/>
                <w:bCs/>
              </w:rPr>
            </w:pPr>
            <w:r w:rsidRPr="00485F85">
              <w:rPr>
                <w:rFonts w:asciiTheme="majorHAnsi" w:hAnsiTheme="majorHAnsi" w:cstheme="majorHAnsi"/>
                <w:bCs/>
              </w:rPr>
              <w:t>-  Impacto na economia local de Oxfordshire e da própria Inglaterra.</w:t>
            </w:r>
          </w:p>
        </w:tc>
        <w:tc>
          <w:tcPr>
            <w:tcW w:w="5692" w:type="dxa"/>
          </w:tcPr>
          <w:p w14:paraId="6D07C2E2"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Os programas de Equality Charters são contratados externamente, mas com a capacidade intelectual e inovadora do quadro, interno seria possível desenvolver práticas mais ajustadas a realidade da instituição e não programas já enlatados que nem sempre suprem todas as necessidades a serem trabalhadas.</w:t>
            </w:r>
          </w:p>
          <w:p w14:paraId="5DCC49FE"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t xml:space="preserve">- Apesar do crescimento dos dados de inclusão de pessoas </w:t>
            </w:r>
            <w:r w:rsidRPr="00485F85">
              <w:rPr>
                <w:rFonts w:asciiTheme="majorHAnsi" w:hAnsiTheme="majorHAnsi" w:cstheme="majorHAnsi"/>
                <w:bCs/>
              </w:rPr>
              <w:lastRenderedPageBreak/>
              <w:t>socioeconomicamente menos favorecidas, mulheres e BMEs o número desses grupos frente aos “homens brancos” ainda é maior devido a toda história da instituição.</w:t>
            </w:r>
          </w:p>
          <w:p w14:paraId="013F72B7" w14:textId="77777777" w:rsidR="005747F1" w:rsidRPr="00485F85" w:rsidRDefault="005747F1" w:rsidP="00AB53F3">
            <w:pPr>
              <w:spacing w:after="160" w:line="360" w:lineRule="auto"/>
              <w:jc w:val="both"/>
              <w:rPr>
                <w:rFonts w:asciiTheme="majorHAnsi" w:hAnsiTheme="majorHAnsi" w:cstheme="majorHAnsi"/>
                <w:bCs/>
              </w:rPr>
            </w:pPr>
            <w:r w:rsidRPr="00485F85">
              <w:rPr>
                <w:rFonts w:asciiTheme="majorHAnsi" w:hAnsiTheme="majorHAnsi" w:cstheme="majorHAnsi"/>
                <w:bCs/>
              </w:rPr>
              <w:t>- Apesar de políticas estabelecidas, houve uma pequena queda na admissão de alunos 30 anos mais na Universidade desde 2016. (Redução de 404.030 (2016) para 398.235 (2021)</w:t>
            </w:r>
          </w:p>
          <w:p w14:paraId="7A2076FF" w14:textId="77777777" w:rsidR="005747F1" w:rsidRPr="00485F85" w:rsidRDefault="005747F1" w:rsidP="00AB53F3">
            <w:pPr>
              <w:spacing w:after="160" w:line="360" w:lineRule="auto"/>
              <w:jc w:val="both"/>
              <w:rPr>
                <w:rFonts w:asciiTheme="majorHAnsi" w:hAnsiTheme="majorHAnsi" w:cstheme="majorHAnsi"/>
                <w:bCs/>
              </w:rPr>
            </w:pPr>
          </w:p>
          <w:p w14:paraId="062FF2CC" w14:textId="77777777" w:rsidR="005747F1" w:rsidRPr="00485F85" w:rsidRDefault="005747F1" w:rsidP="00AB53F3">
            <w:pPr>
              <w:tabs>
                <w:tab w:val="clear" w:pos="1615"/>
              </w:tabs>
              <w:spacing w:after="160" w:line="360" w:lineRule="auto"/>
              <w:jc w:val="both"/>
              <w:rPr>
                <w:rFonts w:asciiTheme="majorHAnsi" w:hAnsiTheme="majorHAnsi" w:cstheme="majorHAnsi"/>
                <w:b/>
                <w:bCs/>
              </w:rPr>
            </w:pPr>
          </w:p>
        </w:tc>
      </w:tr>
    </w:tbl>
    <w:p w14:paraId="2C3A77EA"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42A4CDFD" w14:textId="34BC5B1A" w:rsidR="00F71F0E" w:rsidRPr="00485F85" w:rsidRDefault="00F71F0E" w:rsidP="00F71F0E">
      <w:pPr>
        <w:tabs>
          <w:tab w:val="clear" w:pos="1615"/>
        </w:tabs>
        <w:spacing w:line="259" w:lineRule="auto"/>
        <w:rPr>
          <w:rFonts w:asciiTheme="majorHAnsi" w:hAnsiTheme="majorHAnsi" w:cstheme="majorHAnsi"/>
          <w:b/>
          <w:bCs/>
        </w:rPr>
      </w:pPr>
    </w:p>
    <w:p w14:paraId="349824A8" w14:textId="77777777" w:rsidR="00E25EB7" w:rsidRPr="00485F85" w:rsidRDefault="00E25EB7" w:rsidP="00AB53F3">
      <w:pPr>
        <w:tabs>
          <w:tab w:val="clear" w:pos="1615"/>
        </w:tabs>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06C04811" w14:textId="786936B4" w:rsidR="00F71F0E" w:rsidRPr="00485F85" w:rsidRDefault="00AA6586"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 xml:space="preserve">A Universidade pode realmente impactar o </w:t>
      </w:r>
      <w:r w:rsidR="00D12A76" w:rsidRPr="00485F85">
        <w:rPr>
          <w:rFonts w:asciiTheme="majorHAnsi" w:hAnsiTheme="majorHAnsi" w:cstheme="majorHAnsi"/>
        </w:rPr>
        <w:t xml:space="preserve">entorno, podendo ser um fator de transformação </w:t>
      </w:r>
      <w:r w:rsidR="000A0074" w:rsidRPr="00485F85">
        <w:rPr>
          <w:rFonts w:asciiTheme="majorHAnsi" w:hAnsiTheme="majorHAnsi" w:cstheme="majorHAnsi"/>
        </w:rPr>
        <w:t xml:space="preserve">real </w:t>
      </w:r>
      <w:r w:rsidR="00D12A76" w:rsidRPr="00485F85">
        <w:rPr>
          <w:rFonts w:asciiTheme="majorHAnsi" w:hAnsiTheme="majorHAnsi" w:cstheme="majorHAnsi"/>
        </w:rPr>
        <w:t>na localidade.</w:t>
      </w:r>
    </w:p>
    <w:p w14:paraId="45209A3D" w14:textId="77648E60" w:rsidR="00C42DEE" w:rsidRPr="00485F85" w:rsidRDefault="000A0074"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É possível conciliar d</w:t>
      </w:r>
      <w:r w:rsidR="00C42DEE" w:rsidRPr="00485F85">
        <w:rPr>
          <w:rFonts w:asciiTheme="majorHAnsi" w:hAnsiTheme="majorHAnsi" w:cstheme="majorHAnsi"/>
        </w:rPr>
        <w:t>iversidade</w:t>
      </w:r>
      <w:r w:rsidRPr="00485F85">
        <w:rPr>
          <w:rFonts w:asciiTheme="majorHAnsi" w:hAnsiTheme="majorHAnsi" w:cstheme="majorHAnsi"/>
        </w:rPr>
        <w:t xml:space="preserve"> de alunos com produtividade e resultados.</w:t>
      </w:r>
    </w:p>
    <w:p w14:paraId="67B6E3CC" w14:textId="2FAC2137" w:rsidR="00AA6586" w:rsidRPr="00485F85" w:rsidRDefault="00AA6586"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Programas e certificações como o “</w:t>
      </w:r>
      <w:r w:rsidRPr="00485F85">
        <w:rPr>
          <w:rFonts w:asciiTheme="majorHAnsi" w:hAnsiTheme="majorHAnsi" w:cstheme="majorHAnsi"/>
          <w:bCs/>
        </w:rPr>
        <w:t>Equality Charters”</w:t>
      </w:r>
      <w:r w:rsidRPr="00485F85">
        <w:rPr>
          <w:rFonts w:asciiTheme="majorHAnsi" w:hAnsiTheme="majorHAnsi" w:cstheme="majorHAnsi"/>
        </w:rPr>
        <w:t xml:space="preserve"> ajudam a mobilizar direcionamentos para pontos que necessitam de atenção na Universiade.</w:t>
      </w:r>
    </w:p>
    <w:p w14:paraId="4996C9F3" w14:textId="77777777" w:rsidR="00D12A76" w:rsidRPr="00485F85" w:rsidRDefault="00D12A76" w:rsidP="00F71F0E">
      <w:pPr>
        <w:tabs>
          <w:tab w:val="clear" w:pos="1615"/>
        </w:tabs>
        <w:spacing w:line="259" w:lineRule="auto"/>
        <w:rPr>
          <w:rFonts w:asciiTheme="majorHAnsi" w:hAnsiTheme="majorHAnsi" w:cstheme="majorHAnsi"/>
        </w:rPr>
      </w:pPr>
    </w:p>
    <w:p w14:paraId="4BD74D8E" w14:textId="41A9833A" w:rsidR="00F71F0E" w:rsidRPr="00485F85" w:rsidRDefault="00AB53F3" w:rsidP="00A206D5">
      <w:pPr>
        <w:pStyle w:val="Ttulo3"/>
        <w:ind w:left="1276"/>
        <w:rPr>
          <w:rFonts w:asciiTheme="majorHAnsi" w:hAnsiTheme="majorHAnsi" w:cstheme="majorHAnsi"/>
        </w:rPr>
      </w:pPr>
      <w:bookmarkStart w:id="29" w:name="_Toc82101319"/>
      <w:r>
        <w:rPr>
          <w:rFonts w:asciiTheme="majorHAnsi" w:hAnsiTheme="majorHAnsi" w:cstheme="majorHAnsi"/>
        </w:rPr>
        <w:t xml:space="preserve"> </w:t>
      </w:r>
      <w:r w:rsidRPr="00485F85">
        <w:rPr>
          <w:rFonts w:asciiTheme="majorHAnsi" w:hAnsiTheme="majorHAnsi" w:cstheme="majorHAnsi"/>
        </w:rPr>
        <w:t>DIMENSÃO 12 AUTOCONHECIMENTO E USOS NA GESTÃO</w:t>
      </w:r>
      <w:bookmarkEnd w:id="29"/>
    </w:p>
    <w:p w14:paraId="6652908D" w14:textId="77777777" w:rsidR="003A735A" w:rsidRPr="00485F85" w:rsidRDefault="003A735A" w:rsidP="003A735A">
      <w:pPr>
        <w:rPr>
          <w:rFonts w:asciiTheme="majorHAnsi" w:hAnsiTheme="majorHAnsi" w:cstheme="majorHAnsi"/>
        </w:rPr>
      </w:pPr>
    </w:p>
    <w:p w14:paraId="08804DC3" w14:textId="41F68797"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12</w:t>
      </w:r>
      <w:r w:rsidRPr="00485F85">
        <w:rPr>
          <w:rFonts w:asciiTheme="majorHAnsi" w:hAnsiTheme="majorHAnsi" w:cstheme="majorHAnsi"/>
        </w:rPr>
        <w:t xml:space="preserve"> – Dimensão </w:t>
      </w:r>
      <w:r w:rsidR="00E72FE1" w:rsidRPr="00485F85">
        <w:rPr>
          <w:rFonts w:asciiTheme="majorHAnsi" w:hAnsiTheme="majorHAnsi" w:cstheme="majorHAnsi"/>
        </w:rPr>
        <w:t>12</w:t>
      </w:r>
      <w:r w:rsidRPr="00485F85">
        <w:rPr>
          <w:rFonts w:asciiTheme="majorHAnsi" w:hAnsiTheme="majorHAnsi" w:cstheme="majorHAnsi"/>
        </w:rPr>
        <w:t xml:space="preserve"> – Pontos Fortes e Fracos</w:t>
      </w:r>
    </w:p>
    <w:tbl>
      <w:tblPr>
        <w:tblStyle w:val="Tabelacomgrade"/>
        <w:tblW w:w="9628" w:type="dxa"/>
        <w:tblLook w:val="04A0" w:firstRow="1" w:lastRow="0" w:firstColumn="1" w:lastColumn="0" w:noHBand="0" w:noVBand="1"/>
      </w:tblPr>
      <w:tblGrid>
        <w:gridCol w:w="5920"/>
        <w:gridCol w:w="3708"/>
      </w:tblGrid>
      <w:tr w:rsidR="00AB53F3" w:rsidRPr="00AB53F3" w14:paraId="7ECE50B3" w14:textId="77777777" w:rsidTr="00AB53F3">
        <w:tc>
          <w:tcPr>
            <w:tcW w:w="5920" w:type="dxa"/>
            <w:shd w:val="clear" w:color="auto" w:fill="4875BD" w:themeFill="accent1"/>
          </w:tcPr>
          <w:p w14:paraId="24E39143" w14:textId="77777777" w:rsidR="005747F1" w:rsidRPr="00AB53F3" w:rsidRDefault="005747F1"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Fortes</w:t>
            </w:r>
          </w:p>
        </w:tc>
        <w:tc>
          <w:tcPr>
            <w:tcW w:w="3708" w:type="dxa"/>
            <w:shd w:val="clear" w:color="auto" w:fill="4875BD" w:themeFill="accent1"/>
          </w:tcPr>
          <w:p w14:paraId="49488976" w14:textId="77777777" w:rsidR="005747F1" w:rsidRPr="00AB53F3" w:rsidRDefault="005747F1" w:rsidP="00AB53F3">
            <w:pPr>
              <w:tabs>
                <w:tab w:val="clear" w:pos="1615"/>
              </w:tabs>
              <w:spacing w:after="160" w:line="360" w:lineRule="auto"/>
              <w:rPr>
                <w:rFonts w:asciiTheme="majorHAnsi" w:hAnsiTheme="majorHAnsi" w:cstheme="majorHAnsi"/>
                <w:b/>
                <w:bCs/>
                <w:color w:val="FFFFFF" w:themeColor="background1"/>
              </w:rPr>
            </w:pPr>
            <w:r w:rsidRPr="00AB53F3">
              <w:rPr>
                <w:rFonts w:asciiTheme="majorHAnsi" w:hAnsiTheme="majorHAnsi" w:cstheme="majorHAnsi"/>
                <w:b/>
                <w:bCs/>
                <w:color w:val="FFFFFF" w:themeColor="background1"/>
              </w:rPr>
              <w:t>Pontos Fracos (Fragilidades)</w:t>
            </w:r>
          </w:p>
        </w:tc>
      </w:tr>
      <w:tr w:rsidR="005747F1" w:rsidRPr="00485F85" w14:paraId="00652D3B" w14:textId="77777777" w:rsidTr="00AB53F3">
        <w:tc>
          <w:tcPr>
            <w:tcW w:w="5920" w:type="dxa"/>
          </w:tcPr>
          <w:p w14:paraId="6A31E842" w14:textId="77777777"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 A universidade utiliza-se de indicadores para acompanhar seus resultados acadêmicos e financeiros.</w:t>
            </w:r>
          </w:p>
          <w:p w14:paraId="17A82271" w14:textId="77777777"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 Há uma preocupação em disponibilizar as informações no site e outras ferramentas de transparência interna e externamente.</w:t>
            </w:r>
          </w:p>
          <w:p w14:paraId="283E0332" w14:textId="77777777"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 Os documentos de planejamento são sucintos e consistentes e suas propostas.</w:t>
            </w:r>
          </w:p>
          <w:p w14:paraId="6E0D6D34" w14:textId="77777777"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 xml:space="preserve"> - Existência de documentos e programas modernos que ajudam no monitoramento das metas dos documentos globais </w:t>
            </w:r>
            <w:r w:rsidRPr="00485F85">
              <w:rPr>
                <w:rFonts w:asciiTheme="majorHAnsi" w:hAnsiTheme="majorHAnsi" w:cstheme="majorHAnsi"/>
              </w:rPr>
              <w:lastRenderedPageBreak/>
              <w:t>da instituição.</w:t>
            </w:r>
          </w:p>
          <w:p w14:paraId="14234E24" w14:textId="77777777"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 xml:space="preserve">- Planos de governança e </w:t>
            </w:r>
            <w:r w:rsidRPr="00485F85">
              <w:rPr>
                <w:rFonts w:asciiTheme="majorHAnsi" w:hAnsiTheme="majorHAnsi" w:cstheme="majorHAnsi"/>
                <w:i/>
                <w:iCs/>
              </w:rPr>
              <w:t>compliance</w:t>
            </w:r>
            <w:r w:rsidRPr="00485F85">
              <w:rPr>
                <w:rFonts w:asciiTheme="majorHAnsi" w:hAnsiTheme="majorHAnsi" w:cstheme="majorHAnsi"/>
              </w:rPr>
              <w:t xml:space="preserve"> definidos.</w:t>
            </w:r>
          </w:p>
          <w:p w14:paraId="35DA697F" w14:textId="07BA29DD" w:rsidR="005747F1" w:rsidRPr="00485F85" w:rsidRDefault="005747F1" w:rsidP="00AB53F3">
            <w:pPr>
              <w:spacing w:after="160" w:line="360" w:lineRule="auto"/>
              <w:jc w:val="both"/>
              <w:rPr>
                <w:rFonts w:asciiTheme="majorHAnsi" w:hAnsiTheme="majorHAnsi" w:cstheme="majorHAnsi"/>
              </w:rPr>
            </w:pPr>
            <w:r w:rsidRPr="00485F85">
              <w:rPr>
                <w:rFonts w:asciiTheme="majorHAnsi" w:hAnsiTheme="majorHAnsi" w:cstheme="majorHAnsi"/>
              </w:rPr>
              <w:t>-Existe a preocupação com a autoavaliação sistematizada.</w:t>
            </w:r>
          </w:p>
          <w:p w14:paraId="16D40D29" w14:textId="0A6545C2" w:rsidR="005747F1" w:rsidRPr="00485F85" w:rsidRDefault="005747F1" w:rsidP="00AB53F3">
            <w:pPr>
              <w:tabs>
                <w:tab w:val="clear" w:pos="1615"/>
              </w:tabs>
              <w:spacing w:after="160" w:line="360" w:lineRule="auto"/>
              <w:jc w:val="both"/>
              <w:rPr>
                <w:rFonts w:asciiTheme="majorHAnsi" w:hAnsiTheme="majorHAnsi" w:cstheme="majorHAnsi"/>
                <w:b/>
                <w:bCs/>
              </w:rPr>
            </w:pPr>
          </w:p>
        </w:tc>
        <w:tc>
          <w:tcPr>
            <w:tcW w:w="3708" w:type="dxa"/>
          </w:tcPr>
          <w:p w14:paraId="640538B1" w14:textId="77777777" w:rsidR="005747F1" w:rsidRPr="00485F85" w:rsidRDefault="005747F1" w:rsidP="00AB53F3">
            <w:pPr>
              <w:tabs>
                <w:tab w:val="clear" w:pos="1615"/>
              </w:tabs>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Devido a quantidade de departamentos, </w:t>
            </w:r>
            <w:r w:rsidRPr="00485F85">
              <w:rPr>
                <w:rFonts w:asciiTheme="majorHAnsi" w:hAnsiTheme="majorHAnsi" w:cstheme="majorHAnsi"/>
                <w:i/>
                <w:iCs/>
              </w:rPr>
              <w:t>Colleges</w:t>
            </w:r>
            <w:r w:rsidRPr="00485F85">
              <w:rPr>
                <w:rFonts w:asciiTheme="majorHAnsi" w:hAnsiTheme="majorHAnsi" w:cstheme="majorHAnsi"/>
              </w:rPr>
              <w:t xml:space="preserve"> e divisões acadêmicas as publicações de anuários de pesquisa e extensão não se encontram consolidados. A desagregação dos materiais não proporciona uma visão global e consolidada das áreas já que cada um publica o seu documento.  </w:t>
            </w:r>
          </w:p>
          <w:p w14:paraId="375CDAD5" w14:textId="77777777" w:rsidR="005747F1" w:rsidRPr="00485F85" w:rsidRDefault="005747F1" w:rsidP="00AB53F3">
            <w:pPr>
              <w:tabs>
                <w:tab w:val="clear" w:pos="1615"/>
              </w:tabs>
              <w:spacing w:after="160" w:line="360" w:lineRule="auto"/>
              <w:jc w:val="both"/>
              <w:rPr>
                <w:rFonts w:asciiTheme="majorHAnsi" w:hAnsiTheme="majorHAnsi" w:cstheme="majorHAnsi"/>
                <w:b/>
                <w:bCs/>
              </w:rPr>
            </w:pPr>
          </w:p>
          <w:p w14:paraId="00367238" w14:textId="77777777" w:rsidR="005747F1" w:rsidRPr="00485F85" w:rsidRDefault="005747F1" w:rsidP="00AB53F3">
            <w:pPr>
              <w:tabs>
                <w:tab w:val="clear" w:pos="1615"/>
              </w:tabs>
              <w:spacing w:after="160" w:line="360" w:lineRule="auto"/>
              <w:jc w:val="both"/>
              <w:rPr>
                <w:rFonts w:asciiTheme="majorHAnsi" w:hAnsiTheme="majorHAnsi" w:cstheme="majorHAnsi"/>
                <w:b/>
                <w:bCs/>
              </w:rPr>
            </w:pPr>
          </w:p>
          <w:p w14:paraId="43C890BB" w14:textId="77777777" w:rsidR="005747F1" w:rsidRPr="00485F85" w:rsidRDefault="005747F1" w:rsidP="00AB53F3">
            <w:pPr>
              <w:tabs>
                <w:tab w:val="clear" w:pos="1615"/>
              </w:tabs>
              <w:spacing w:after="160" w:line="360" w:lineRule="auto"/>
              <w:jc w:val="both"/>
              <w:rPr>
                <w:rFonts w:asciiTheme="majorHAnsi" w:hAnsiTheme="majorHAnsi" w:cstheme="majorHAnsi"/>
                <w:b/>
                <w:bCs/>
              </w:rPr>
            </w:pPr>
          </w:p>
        </w:tc>
      </w:tr>
    </w:tbl>
    <w:p w14:paraId="34E8E495" w14:textId="77777777" w:rsidR="00904F9B" w:rsidRPr="00485F85" w:rsidRDefault="00904F9B" w:rsidP="00904F9B">
      <w:pPr>
        <w:tabs>
          <w:tab w:val="clear" w:pos="1615"/>
        </w:tabs>
        <w:spacing w:line="259" w:lineRule="auto"/>
        <w:rPr>
          <w:rFonts w:asciiTheme="majorHAnsi" w:hAnsiTheme="majorHAnsi" w:cstheme="majorHAnsi"/>
        </w:rPr>
      </w:pPr>
      <w:r w:rsidRPr="00485F85">
        <w:rPr>
          <w:rFonts w:asciiTheme="majorHAnsi" w:hAnsiTheme="majorHAnsi" w:cstheme="majorHAnsi"/>
        </w:rPr>
        <w:lastRenderedPageBreak/>
        <w:t>Fonte: Autora</w:t>
      </w:r>
    </w:p>
    <w:p w14:paraId="7CA93E1C" w14:textId="0D158EA2" w:rsidR="00F71F0E" w:rsidRPr="00485F85" w:rsidRDefault="00F71F0E" w:rsidP="00F71F0E">
      <w:pPr>
        <w:tabs>
          <w:tab w:val="clear" w:pos="1615"/>
        </w:tabs>
        <w:spacing w:line="259" w:lineRule="auto"/>
        <w:rPr>
          <w:rFonts w:asciiTheme="majorHAnsi" w:hAnsiTheme="majorHAnsi" w:cstheme="majorHAnsi"/>
          <w:b/>
          <w:bCs/>
        </w:rPr>
      </w:pPr>
    </w:p>
    <w:p w14:paraId="050AFC35" w14:textId="77777777" w:rsidR="00E25EB7" w:rsidRPr="00485F85" w:rsidRDefault="00E25EB7" w:rsidP="00AB53F3">
      <w:pPr>
        <w:spacing w:after="0" w:line="276" w:lineRule="auto"/>
        <w:jc w:val="both"/>
        <w:rPr>
          <w:rFonts w:asciiTheme="majorHAnsi" w:hAnsiTheme="majorHAnsi" w:cstheme="majorHAnsi"/>
          <w:b/>
          <w:bCs/>
          <w:sz w:val="28"/>
          <w:szCs w:val="28"/>
        </w:rPr>
      </w:pPr>
      <w:r w:rsidRPr="00485F85">
        <w:rPr>
          <w:rFonts w:asciiTheme="majorHAnsi" w:hAnsiTheme="majorHAnsi" w:cstheme="majorHAnsi"/>
          <w:b/>
          <w:bCs/>
          <w:sz w:val="28"/>
          <w:szCs w:val="28"/>
        </w:rPr>
        <w:t>O que aprendemos com Oxford:</w:t>
      </w:r>
    </w:p>
    <w:p w14:paraId="25F6768B" w14:textId="7E8E7434" w:rsidR="00D12A76" w:rsidRPr="00485F85" w:rsidRDefault="00903EFF"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 xml:space="preserve">A criação de </w:t>
      </w:r>
      <w:r w:rsidR="00D12A76" w:rsidRPr="00485F85">
        <w:rPr>
          <w:rFonts w:asciiTheme="majorHAnsi" w:hAnsiTheme="majorHAnsi" w:cstheme="majorHAnsi"/>
        </w:rPr>
        <w:t>indicadores quantitativos para todos os níveis da universidade</w:t>
      </w:r>
      <w:r w:rsidRPr="00485F85">
        <w:rPr>
          <w:rFonts w:asciiTheme="majorHAnsi" w:hAnsiTheme="majorHAnsi" w:cstheme="majorHAnsi"/>
        </w:rPr>
        <w:t xml:space="preserve"> contribui para acompanhar o </w:t>
      </w:r>
      <w:r w:rsidR="00AA6586" w:rsidRPr="00485F85">
        <w:rPr>
          <w:rFonts w:asciiTheme="majorHAnsi" w:hAnsiTheme="majorHAnsi" w:cstheme="majorHAnsi"/>
        </w:rPr>
        <w:t xml:space="preserve">seu </w:t>
      </w:r>
      <w:r w:rsidRPr="00485F85">
        <w:rPr>
          <w:rFonts w:asciiTheme="majorHAnsi" w:hAnsiTheme="majorHAnsi" w:cstheme="majorHAnsi"/>
        </w:rPr>
        <w:t xml:space="preserve">desempenho </w:t>
      </w:r>
      <w:r w:rsidR="00AA6586" w:rsidRPr="00485F85">
        <w:rPr>
          <w:rFonts w:asciiTheme="majorHAnsi" w:hAnsiTheme="majorHAnsi" w:cstheme="majorHAnsi"/>
        </w:rPr>
        <w:t>global</w:t>
      </w:r>
      <w:r w:rsidRPr="00485F85">
        <w:rPr>
          <w:rFonts w:asciiTheme="majorHAnsi" w:hAnsiTheme="majorHAnsi" w:cstheme="majorHAnsi"/>
        </w:rPr>
        <w:t xml:space="preserve"> e </w:t>
      </w:r>
      <w:r w:rsidR="00BD62C8" w:rsidRPr="00485F85">
        <w:rPr>
          <w:rFonts w:asciiTheme="majorHAnsi" w:hAnsiTheme="majorHAnsi" w:cstheme="majorHAnsi"/>
        </w:rPr>
        <w:t>traz</w:t>
      </w:r>
      <w:r w:rsidRPr="00485F85">
        <w:rPr>
          <w:rFonts w:asciiTheme="majorHAnsi" w:hAnsiTheme="majorHAnsi" w:cstheme="majorHAnsi"/>
        </w:rPr>
        <w:t xml:space="preserve"> a possibilidade de ajuste de rotas</w:t>
      </w:r>
      <w:r w:rsidR="00BD62C8" w:rsidRPr="00485F85">
        <w:rPr>
          <w:rFonts w:asciiTheme="majorHAnsi" w:hAnsiTheme="majorHAnsi" w:cstheme="majorHAnsi"/>
        </w:rPr>
        <w:t xml:space="preserve">, caso seja necessário, facilitando a mensuração dos resultados. </w:t>
      </w:r>
    </w:p>
    <w:p w14:paraId="5D96127E" w14:textId="1DF14E22" w:rsidR="00D12A76" w:rsidRPr="00485F85" w:rsidRDefault="00D12A76"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Promover a transparência dos resultados com apresentação ativa</w:t>
      </w:r>
      <w:r w:rsidR="00BD62C8" w:rsidRPr="00485F85">
        <w:rPr>
          <w:rFonts w:asciiTheme="majorHAnsi" w:hAnsiTheme="majorHAnsi" w:cstheme="majorHAnsi"/>
        </w:rPr>
        <w:t xml:space="preserve"> por meio de eventos, atividades e participação da comunidade. </w:t>
      </w:r>
    </w:p>
    <w:p w14:paraId="24F1B743" w14:textId="4D4F2EF0" w:rsidR="00360A75" w:rsidRPr="00485F85" w:rsidRDefault="00D12A76"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Realizar aut</w:t>
      </w:r>
      <w:r w:rsidR="00360A75" w:rsidRPr="00485F85">
        <w:rPr>
          <w:rFonts w:asciiTheme="majorHAnsi" w:hAnsiTheme="majorHAnsi" w:cstheme="majorHAnsi"/>
        </w:rPr>
        <w:t>oa</w:t>
      </w:r>
      <w:r w:rsidRPr="00485F85">
        <w:rPr>
          <w:rFonts w:asciiTheme="majorHAnsi" w:hAnsiTheme="majorHAnsi" w:cstheme="majorHAnsi"/>
        </w:rPr>
        <w:t xml:space="preserve">valiação </w:t>
      </w:r>
      <w:r w:rsidR="00360A75" w:rsidRPr="00485F85">
        <w:rPr>
          <w:rFonts w:asciiTheme="majorHAnsi" w:hAnsiTheme="majorHAnsi" w:cstheme="majorHAnsi"/>
        </w:rPr>
        <w:t>com instrumentos consistentes e permanentes</w:t>
      </w:r>
      <w:r w:rsidR="00BD62C8" w:rsidRPr="00485F85">
        <w:rPr>
          <w:rFonts w:asciiTheme="majorHAnsi" w:hAnsiTheme="majorHAnsi" w:cstheme="majorHAnsi"/>
        </w:rPr>
        <w:t>.</w:t>
      </w:r>
    </w:p>
    <w:p w14:paraId="0DDA01F9" w14:textId="77777777" w:rsidR="00AB53F3" w:rsidRDefault="00360A75" w:rsidP="00AB53F3">
      <w:pPr>
        <w:pStyle w:val="PargrafodaLista"/>
        <w:numPr>
          <w:ilvl w:val="0"/>
          <w:numId w:val="49"/>
        </w:numPr>
        <w:tabs>
          <w:tab w:val="clear" w:pos="1615"/>
        </w:tabs>
        <w:spacing w:after="0" w:line="276" w:lineRule="auto"/>
        <w:jc w:val="both"/>
        <w:rPr>
          <w:rFonts w:asciiTheme="majorHAnsi" w:hAnsiTheme="majorHAnsi" w:cstheme="majorHAnsi"/>
        </w:rPr>
      </w:pPr>
      <w:r w:rsidRPr="00485F85">
        <w:rPr>
          <w:rFonts w:asciiTheme="majorHAnsi" w:hAnsiTheme="majorHAnsi" w:cstheme="majorHAnsi"/>
        </w:rPr>
        <w:t>Objetivar documentos institucionais e processos internos</w:t>
      </w:r>
      <w:r w:rsidR="00BD62C8" w:rsidRPr="00485F85">
        <w:rPr>
          <w:rFonts w:asciiTheme="majorHAnsi" w:hAnsiTheme="majorHAnsi" w:cstheme="majorHAnsi"/>
        </w:rPr>
        <w:t xml:space="preserve"> enxutos e possíveis de serem desdobráveis em metas atingíveis e mensuráveis. </w:t>
      </w:r>
    </w:p>
    <w:p w14:paraId="66878511" w14:textId="700A9346" w:rsidR="0006609D" w:rsidRPr="00485F85" w:rsidRDefault="00AB53F3" w:rsidP="00AB53F3">
      <w:pPr>
        <w:pStyle w:val="Ttulo2"/>
        <w:ind w:left="993"/>
        <w:rPr>
          <w:rFonts w:asciiTheme="majorHAnsi" w:hAnsiTheme="majorHAnsi" w:cstheme="majorHAnsi"/>
        </w:rPr>
      </w:pPr>
      <w:bookmarkStart w:id="30" w:name="_Toc82101320"/>
      <w:bookmarkStart w:id="31" w:name="_Hlk80059192"/>
      <w:r w:rsidRPr="00485F85">
        <w:rPr>
          <w:rFonts w:asciiTheme="majorHAnsi" w:hAnsiTheme="majorHAnsi" w:cstheme="majorHAnsi"/>
        </w:rPr>
        <w:t>BOAS PRÁTICAS MAPEADAS</w:t>
      </w:r>
      <w:bookmarkEnd w:id="30"/>
    </w:p>
    <w:bookmarkEnd w:id="31"/>
    <w:p w14:paraId="7D1C699F" w14:textId="11B36BF8" w:rsidR="002D2BEA" w:rsidRPr="00485F85" w:rsidRDefault="006C7285" w:rsidP="00AA6586">
      <w:pPr>
        <w:spacing w:after="0" w:line="360" w:lineRule="auto"/>
        <w:jc w:val="both"/>
        <w:rPr>
          <w:rFonts w:asciiTheme="majorHAnsi" w:hAnsiTheme="majorHAnsi" w:cstheme="majorHAnsi"/>
        </w:rPr>
      </w:pPr>
      <w:r w:rsidRPr="00485F85">
        <w:rPr>
          <w:rFonts w:asciiTheme="majorHAnsi" w:hAnsiTheme="majorHAnsi" w:cstheme="majorHAnsi"/>
        </w:rPr>
        <w:t>A</w:t>
      </w:r>
      <w:r w:rsidR="00B42F36" w:rsidRPr="00485F85">
        <w:rPr>
          <w:rFonts w:asciiTheme="majorHAnsi" w:hAnsiTheme="majorHAnsi" w:cstheme="majorHAnsi"/>
        </w:rPr>
        <w:t xml:space="preserve">pós a descrição dos resultados de </w:t>
      </w:r>
      <w:r w:rsidR="00AA6586" w:rsidRPr="00485F85">
        <w:rPr>
          <w:rFonts w:asciiTheme="majorHAnsi" w:hAnsiTheme="majorHAnsi" w:cstheme="majorHAnsi"/>
        </w:rPr>
        <w:t>Benchmarking,</w:t>
      </w:r>
      <w:r w:rsidR="005747F1" w:rsidRPr="00485F85">
        <w:rPr>
          <w:rFonts w:asciiTheme="majorHAnsi" w:hAnsiTheme="majorHAnsi" w:cstheme="majorHAnsi"/>
        </w:rPr>
        <w:t xml:space="preserve"> a partir dos pontos fortes e fracos, </w:t>
      </w:r>
      <w:r w:rsidRPr="00485F85">
        <w:rPr>
          <w:rFonts w:asciiTheme="majorHAnsi" w:hAnsiTheme="majorHAnsi" w:cstheme="majorHAnsi"/>
        </w:rPr>
        <w:t>foi possível compilar as informações e encontrar boas práticas</w:t>
      </w:r>
      <w:r w:rsidR="00B42F36" w:rsidRPr="00485F85">
        <w:rPr>
          <w:rFonts w:asciiTheme="majorHAnsi" w:hAnsiTheme="majorHAnsi" w:cstheme="majorHAnsi"/>
        </w:rPr>
        <w:t xml:space="preserve"> </w:t>
      </w:r>
      <w:r w:rsidRPr="00485F85">
        <w:rPr>
          <w:rFonts w:asciiTheme="majorHAnsi" w:hAnsiTheme="majorHAnsi" w:cstheme="majorHAnsi"/>
        </w:rPr>
        <w:t xml:space="preserve">em todas as 12 dimensões propostas. </w:t>
      </w:r>
      <w:r w:rsidR="00340580" w:rsidRPr="00485F85">
        <w:rPr>
          <w:rFonts w:asciiTheme="majorHAnsi" w:hAnsiTheme="majorHAnsi" w:cstheme="majorHAnsi"/>
        </w:rPr>
        <w:t>Um infográfico foi criado para cada dimensão com o objetivo de destacar as principais boas práticas encontradas.</w:t>
      </w:r>
      <w:r w:rsidR="00AA6586" w:rsidRPr="00485F85">
        <w:rPr>
          <w:rFonts w:asciiTheme="majorHAnsi" w:hAnsiTheme="majorHAnsi" w:cstheme="majorHAnsi"/>
        </w:rPr>
        <w:t xml:space="preserve"> Links diretos para o site ajudarão o leitor a conhecer melhor as boas práticas mapeadas caso haja necessidade de algum aprofundamento. </w:t>
      </w:r>
      <w:r w:rsidR="00340580" w:rsidRPr="00485F85">
        <w:rPr>
          <w:rFonts w:asciiTheme="majorHAnsi" w:hAnsiTheme="majorHAnsi" w:cstheme="majorHAnsi"/>
        </w:rPr>
        <w:t xml:space="preserve"> A </w:t>
      </w:r>
      <w:r w:rsidR="006D3783" w:rsidRPr="00485F85">
        <w:rPr>
          <w:rFonts w:asciiTheme="majorHAnsi" w:hAnsiTheme="majorHAnsi" w:cstheme="majorHAnsi"/>
        </w:rPr>
        <w:t>seguir os resultados elencados por dimensão.</w:t>
      </w:r>
    </w:p>
    <w:p w14:paraId="2D976B06" w14:textId="4C5F907B" w:rsidR="00524962" w:rsidRDefault="00524962" w:rsidP="006D3783">
      <w:pPr>
        <w:jc w:val="both"/>
        <w:rPr>
          <w:rFonts w:asciiTheme="majorHAnsi" w:hAnsiTheme="majorHAnsi" w:cstheme="majorHAnsi"/>
        </w:rPr>
      </w:pPr>
    </w:p>
    <w:p w14:paraId="09369562" w14:textId="0E0D7ACA" w:rsidR="00C71F33" w:rsidRDefault="00C71F33" w:rsidP="006D3783">
      <w:pPr>
        <w:jc w:val="both"/>
        <w:rPr>
          <w:rFonts w:asciiTheme="majorHAnsi" w:hAnsiTheme="majorHAnsi" w:cstheme="majorHAnsi"/>
        </w:rPr>
      </w:pPr>
    </w:p>
    <w:p w14:paraId="362C54FA" w14:textId="4018DD45" w:rsidR="00C71F33" w:rsidRDefault="00C71F33" w:rsidP="006D3783">
      <w:pPr>
        <w:jc w:val="both"/>
        <w:rPr>
          <w:rFonts w:asciiTheme="majorHAnsi" w:hAnsiTheme="majorHAnsi" w:cstheme="majorHAnsi"/>
        </w:rPr>
      </w:pPr>
    </w:p>
    <w:p w14:paraId="14ED8320" w14:textId="35F06613" w:rsidR="00C71F33" w:rsidRDefault="00C71F33" w:rsidP="006D3783">
      <w:pPr>
        <w:jc w:val="both"/>
        <w:rPr>
          <w:rFonts w:asciiTheme="majorHAnsi" w:hAnsiTheme="majorHAnsi" w:cstheme="majorHAnsi"/>
        </w:rPr>
      </w:pPr>
    </w:p>
    <w:p w14:paraId="6288A77D" w14:textId="0691DAFC" w:rsidR="00C71F33" w:rsidRDefault="00C71F33" w:rsidP="006D3783">
      <w:pPr>
        <w:jc w:val="both"/>
        <w:rPr>
          <w:rFonts w:asciiTheme="majorHAnsi" w:hAnsiTheme="majorHAnsi" w:cstheme="majorHAnsi"/>
        </w:rPr>
      </w:pPr>
    </w:p>
    <w:p w14:paraId="248A9878" w14:textId="50A88720" w:rsidR="00C71F33" w:rsidRDefault="00C71F33" w:rsidP="006D3783">
      <w:pPr>
        <w:jc w:val="both"/>
        <w:rPr>
          <w:rFonts w:asciiTheme="majorHAnsi" w:hAnsiTheme="majorHAnsi" w:cstheme="majorHAnsi"/>
        </w:rPr>
      </w:pPr>
    </w:p>
    <w:p w14:paraId="6C54AB84" w14:textId="4A19F88B" w:rsidR="00C71F33" w:rsidRDefault="00C71F33" w:rsidP="006D3783">
      <w:pPr>
        <w:jc w:val="both"/>
        <w:rPr>
          <w:rFonts w:asciiTheme="majorHAnsi" w:hAnsiTheme="majorHAnsi" w:cstheme="majorHAnsi"/>
        </w:rPr>
      </w:pPr>
    </w:p>
    <w:p w14:paraId="6160BAA5" w14:textId="56656BA6" w:rsidR="00C71F33" w:rsidRDefault="00C71F33" w:rsidP="006D3783">
      <w:pPr>
        <w:jc w:val="both"/>
        <w:rPr>
          <w:rFonts w:asciiTheme="majorHAnsi" w:hAnsiTheme="majorHAnsi" w:cstheme="majorHAnsi"/>
        </w:rPr>
      </w:pPr>
    </w:p>
    <w:p w14:paraId="0BDF9759" w14:textId="67879C74" w:rsidR="00C71F33" w:rsidRDefault="00C71F33" w:rsidP="006D3783">
      <w:pPr>
        <w:jc w:val="both"/>
        <w:rPr>
          <w:rFonts w:asciiTheme="majorHAnsi" w:hAnsiTheme="majorHAnsi" w:cstheme="majorHAnsi"/>
        </w:rPr>
      </w:pPr>
    </w:p>
    <w:p w14:paraId="588A080C" w14:textId="77777777" w:rsidR="00C71F33" w:rsidRPr="00485F85" w:rsidRDefault="00C71F33" w:rsidP="006D3783">
      <w:pPr>
        <w:jc w:val="both"/>
        <w:rPr>
          <w:rFonts w:asciiTheme="majorHAnsi" w:hAnsiTheme="majorHAnsi" w:cstheme="majorHAnsi"/>
        </w:rPr>
      </w:pPr>
    </w:p>
    <w:p w14:paraId="179B826A" w14:textId="5C6D02AC" w:rsidR="00524962" w:rsidRPr="00485F85" w:rsidRDefault="00A206D5" w:rsidP="00A206D5">
      <w:pPr>
        <w:pStyle w:val="Ttulo3"/>
        <w:ind w:left="1276"/>
        <w:rPr>
          <w:rFonts w:asciiTheme="majorHAnsi" w:hAnsiTheme="majorHAnsi" w:cstheme="majorHAnsi"/>
        </w:rPr>
      </w:pPr>
      <w:bookmarkStart w:id="32" w:name="_Toc82101321"/>
      <w:r w:rsidRPr="00485F85">
        <w:rPr>
          <w:rFonts w:asciiTheme="majorHAnsi" w:hAnsiTheme="majorHAnsi" w:cstheme="majorHAnsi"/>
        </w:rPr>
        <w:lastRenderedPageBreak/>
        <w:t>DIMENSÃO 1. ESTRUTURA ACADÊMICA E ADMINISTRATIVA</w:t>
      </w:r>
      <w:bookmarkEnd w:id="32"/>
    </w:p>
    <w:p w14:paraId="20FC3844" w14:textId="30D1A651" w:rsidR="001B5F30" w:rsidRPr="00485F85" w:rsidRDefault="001B5F30" w:rsidP="002872F2">
      <w:pPr>
        <w:rPr>
          <w:rFonts w:asciiTheme="majorHAnsi" w:hAnsiTheme="majorHAnsi" w:cstheme="majorHAnsi"/>
          <w:b/>
        </w:rPr>
      </w:pPr>
    </w:p>
    <w:p w14:paraId="75E64A4A" w14:textId="17F7BAD9" w:rsidR="001B5F30" w:rsidRPr="00485F85" w:rsidRDefault="009E1BE9" w:rsidP="002872F2">
      <w:pPr>
        <w:rPr>
          <w:rFonts w:asciiTheme="majorHAnsi" w:hAnsiTheme="majorHAnsi" w:cstheme="majorHAnsi"/>
          <w:b/>
        </w:rPr>
      </w:pPr>
      <w:r w:rsidRPr="00485F85">
        <w:rPr>
          <w:rFonts w:asciiTheme="majorHAnsi" w:hAnsiTheme="majorHAnsi" w:cstheme="majorHAnsi"/>
          <w:b/>
          <w:noProof/>
          <w:lang w:eastAsia="pt-BR"/>
        </w:rPr>
        <w:drawing>
          <wp:inline distT="0" distB="0" distL="0" distR="0" wp14:anchorId="15C7D57A" wp14:editId="52D4D10C">
            <wp:extent cx="6120130" cy="3293745"/>
            <wp:effectExtent l="0" t="0" r="0" b="1905"/>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293745"/>
                    </a:xfrm>
                    <a:prstGeom prst="rect">
                      <a:avLst/>
                    </a:prstGeom>
                  </pic:spPr>
                </pic:pic>
              </a:graphicData>
            </a:graphic>
          </wp:inline>
        </w:drawing>
      </w:r>
    </w:p>
    <w:p w14:paraId="0EE8A11C" w14:textId="77777777" w:rsidR="00C77260" w:rsidRPr="00485F85" w:rsidRDefault="00C77260" w:rsidP="00C77260">
      <w:pPr>
        <w:spacing w:after="0"/>
        <w:rPr>
          <w:rFonts w:asciiTheme="majorHAnsi" w:hAnsiTheme="majorHAnsi" w:cstheme="majorHAnsi"/>
          <w:bCs/>
        </w:rPr>
      </w:pPr>
    </w:p>
    <w:p w14:paraId="1023FEF1" w14:textId="77777777" w:rsidR="007B2CA8" w:rsidRPr="00485F85" w:rsidRDefault="007B2CA8" w:rsidP="007B2CA8">
      <w:pPr>
        <w:rPr>
          <w:rFonts w:asciiTheme="majorHAnsi" w:hAnsiTheme="majorHAnsi" w:cstheme="majorHAnsi"/>
          <w:bCs/>
        </w:rPr>
      </w:pPr>
      <w:r w:rsidRPr="00485F85">
        <w:rPr>
          <w:rFonts w:asciiTheme="majorHAnsi" w:hAnsiTheme="majorHAnsi" w:cstheme="majorHAnsi"/>
          <w:bCs/>
        </w:rPr>
        <w:t>Figura 6 – Boas práticas Dimensão 1. Estrutura Acadêmica e Administrativa</w:t>
      </w:r>
    </w:p>
    <w:p w14:paraId="4F5F78C3" w14:textId="4FF82B2E" w:rsidR="001B5F30" w:rsidRPr="00485F85" w:rsidRDefault="007B2CA8" w:rsidP="007B2CA8">
      <w:pPr>
        <w:rPr>
          <w:rFonts w:asciiTheme="majorHAnsi" w:hAnsiTheme="majorHAnsi" w:cstheme="majorHAnsi"/>
          <w:b/>
        </w:rPr>
      </w:pPr>
      <w:r w:rsidRPr="00485F85">
        <w:rPr>
          <w:rFonts w:asciiTheme="majorHAnsi" w:hAnsiTheme="majorHAnsi" w:cstheme="majorHAnsi"/>
          <w:bCs/>
        </w:rPr>
        <w:t>Fonte: Autora</w:t>
      </w:r>
    </w:p>
    <w:p w14:paraId="503D08CB" w14:textId="5581018D" w:rsidR="006D3783" w:rsidRPr="00485F85" w:rsidRDefault="006D3783" w:rsidP="002872F2">
      <w:pPr>
        <w:rPr>
          <w:rFonts w:asciiTheme="majorHAnsi" w:hAnsiTheme="majorHAnsi" w:cstheme="majorHAnsi"/>
        </w:rPr>
      </w:pPr>
    </w:p>
    <w:p w14:paraId="38265440" w14:textId="5BBDA3F7" w:rsidR="003A735A" w:rsidRPr="00485F85" w:rsidRDefault="003A735A" w:rsidP="003A735A">
      <w:pPr>
        <w:pStyle w:val="Legenda"/>
        <w:rPr>
          <w:rFonts w:asciiTheme="majorHAnsi" w:hAnsiTheme="majorHAnsi" w:cstheme="majorHAnsi"/>
        </w:rPr>
      </w:pPr>
      <w:bookmarkStart w:id="33" w:name="_Hlk80141021"/>
      <w:r w:rsidRPr="00485F85">
        <w:rPr>
          <w:rFonts w:asciiTheme="majorHAnsi" w:hAnsiTheme="majorHAnsi" w:cstheme="majorHAnsi"/>
        </w:rPr>
        <w:t xml:space="preserve">Quadro </w:t>
      </w:r>
      <w:r w:rsidR="00E72FE1" w:rsidRPr="00485F85">
        <w:rPr>
          <w:rFonts w:asciiTheme="majorHAnsi" w:hAnsiTheme="majorHAnsi" w:cstheme="majorHAnsi"/>
        </w:rPr>
        <w:t>13</w:t>
      </w:r>
      <w:r w:rsidRPr="00485F85">
        <w:rPr>
          <w:rFonts w:asciiTheme="majorHAnsi" w:hAnsiTheme="majorHAnsi" w:cstheme="majorHAnsi"/>
        </w:rPr>
        <w:t xml:space="preserve"> – Dimensão 1 – Boas Práticas para Gestão Inovadora</w:t>
      </w:r>
    </w:p>
    <w:tbl>
      <w:tblPr>
        <w:tblStyle w:val="Tabelacomgrade"/>
        <w:tblW w:w="9923" w:type="dxa"/>
        <w:tblInd w:w="-289" w:type="dxa"/>
        <w:tblLook w:val="04A0" w:firstRow="1" w:lastRow="0" w:firstColumn="1" w:lastColumn="0" w:noHBand="0" w:noVBand="1"/>
      </w:tblPr>
      <w:tblGrid>
        <w:gridCol w:w="9923"/>
      </w:tblGrid>
      <w:tr w:rsidR="00A206D5" w:rsidRPr="00A206D5" w14:paraId="7C8A3234" w14:textId="77777777" w:rsidTr="00A206D5">
        <w:tc>
          <w:tcPr>
            <w:tcW w:w="9923" w:type="dxa"/>
            <w:tcBorders>
              <w:top w:val="single" w:sz="4" w:space="0" w:color="auto"/>
              <w:left w:val="single" w:sz="4" w:space="0" w:color="auto"/>
              <w:bottom w:val="single" w:sz="4" w:space="0" w:color="auto"/>
              <w:right w:val="single" w:sz="4" w:space="0" w:color="auto"/>
            </w:tcBorders>
            <w:shd w:val="clear" w:color="auto" w:fill="4875BD" w:themeFill="accent1"/>
            <w:hideMark/>
          </w:tcPr>
          <w:bookmarkEnd w:id="33"/>
          <w:p w14:paraId="03E17D22" w14:textId="77777777" w:rsidR="005747F1" w:rsidRPr="00A206D5" w:rsidRDefault="005747F1" w:rsidP="00A206D5">
            <w:pPr>
              <w:spacing w:after="160" w:line="360" w:lineRule="auto"/>
              <w:jc w:val="both"/>
              <w:rPr>
                <w:rFonts w:asciiTheme="majorHAnsi" w:hAnsiTheme="majorHAnsi" w:cstheme="majorHAnsi"/>
                <w:b/>
                <w:color w:val="FFFFFF" w:themeColor="background1"/>
              </w:rPr>
            </w:pPr>
            <w:r w:rsidRPr="00A206D5">
              <w:rPr>
                <w:rFonts w:asciiTheme="majorHAnsi" w:hAnsiTheme="majorHAnsi" w:cstheme="majorHAnsi"/>
                <w:b/>
                <w:color w:val="FFFFFF" w:themeColor="background1"/>
              </w:rPr>
              <w:t>Boas Práticas para Gestão Inovadora</w:t>
            </w:r>
          </w:p>
        </w:tc>
      </w:tr>
      <w:tr w:rsidR="005747F1" w:rsidRPr="00485F85" w14:paraId="5BBE57A6" w14:textId="77777777" w:rsidTr="005747F1">
        <w:tc>
          <w:tcPr>
            <w:tcW w:w="9923" w:type="dxa"/>
            <w:tcBorders>
              <w:top w:val="single" w:sz="4" w:space="0" w:color="auto"/>
              <w:left w:val="single" w:sz="4" w:space="0" w:color="auto"/>
              <w:bottom w:val="single" w:sz="4" w:space="0" w:color="auto"/>
              <w:right w:val="single" w:sz="4" w:space="0" w:color="auto"/>
            </w:tcBorders>
          </w:tcPr>
          <w:p w14:paraId="7D4DF77C" w14:textId="77777777" w:rsidR="005747F1" w:rsidRPr="00485F85" w:rsidRDefault="005747F1" w:rsidP="00A206D5">
            <w:pPr>
              <w:tabs>
                <w:tab w:val="clear" w:pos="1615"/>
              </w:tabs>
              <w:spacing w:line="360" w:lineRule="auto"/>
              <w:jc w:val="both"/>
              <w:rPr>
                <w:rFonts w:asciiTheme="majorHAnsi" w:hAnsiTheme="majorHAnsi" w:cstheme="majorHAnsi"/>
              </w:rPr>
            </w:pPr>
            <w:r w:rsidRPr="00485F85">
              <w:rPr>
                <w:rFonts w:asciiTheme="majorHAnsi" w:hAnsiTheme="majorHAnsi" w:cstheme="majorHAnsi"/>
              </w:rPr>
              <w:t xml:space="preserve">- Oxford mostrou ser uma Universidade moderna e respeitosa ao passado e suas tradições. Ela valoriza aqueles que participaram dessa longa trajetória e reflete essa perenidade com o cargo vitalício do Chancellor, demonstrando toda a sua coerência histórica. Em contrapartida, seu chefe-executor, o Vice- Chancellor possui uma jornada máxima de 7 anos possibilitando que uma nova visão esteja sempre oxigenando a universidade </w:t>
            </w:r>
          </w:p>
          <w:p w14:paraId="331C434A" w14:textId="77777777" w:rsidR="005747F1" w:rsidRPr="00485F85" w:rsidRDefault="005747F1" w:rsidP="00A206D5">
            <w:pPr>
              <w:spacing w:line="360" w:lineRule="auto"/>
              <w:jc w:val="both"/>
              <w:rPr>
                <w:rFonts w:asciiTheme="majorHAnsi" w:hAnsiTheme="majorHAnsi" w:cstheme="majorHAnsi"/>
              </w:rPr>
            </w:pPr>
          </w:p>
          <w:p w14:paraId="5E4E2F72" w14:textId="77777777" w:rsidR="005747F1" w:rsidRPr="00485F85" w:rsidRDefault="005747F1" w:rsidP="00A206D5">
            <w:pPr>
              <w:spacing w:line="360" w:lineRule="auto"/>
              <w:jc w:val="both"/>
              <w:rPr>
                <w:rFonts w:asciiTheme="majorHAnsi" w:hAnsiTheme="majorHAnsi" w:cstheme="majorHAnsi"/>
              </w:rPr>
            </w:pPr>
            <w:r w:rsidRPr="00485F85">
              <w:rPr>
                <w:rFonts w:asciiTheme="majorHAnsi" w:hAnsiTheme="majorHAnsi" w:cstheme="majorHAnsi"/>
              </w:rPr>
              <w:t>- A Universidade mostra indícios de gestão descentralizada, mas de forma alinhada com a Universidade Central. A estratégia da criação de Divisional Offices pode ser considerada uma boa prática de gestão e coesão. Trata-se de escritórios com equipes de planejamento, Pesquisa, educação e treinamento e finanças que servem de elo entre a Universidade central as Divisões Acadêmicas, garantindo que as faculties cumpram os requisitos da Universidade, ao mesmo tempo que representam centralmente os interesses da coletividade das faculties.</w:t>
            </w:r>
          </w:p>
          <w:p w14:paraId="787EFFC7" w14:textId="77777777" w:rsidR="005747F1" w:rsidRPr="00485F85" w:rsidRDefault="005747F1" w:rsidP="00A206D5">
            <w:pPr>
              <w:spacing w:line="360" w:lineRule="auto"/>
              <w:jc w:val="both"/>
              <w:rPr>
                <w:rFonts w:asciiTheme="majorHAnsi" w:hAnsiTheme="majorHAnsi" w:cstheme="majorHAnsi"/>
              </w:rPr>
            </w:pPr>
          </w:p>
          <w:p w14:paraId="3B276D8E" w14:textId="77777777" w:rsidR="005747F1" w:rsidRPr="00485F85" w:rsidRDefault="005747F1" w:rsidP="00A206D5">
            <w:pPr>
              <w:spacing w:line="360" w:lineRule="auto"/>
              <w:jc w:val="both"/>
              <w:rPr>
                <w:rFonts w:asciiTheme="majorHAnsi" w:hAnsiTheme="majorHAnsi" w:cstheme="majorHAnsi"/>
              </w:rPr>
            </w:pPr>
            <w:r w:rsidRPr="00485F85">
              <w:rPr>
                <w:rFonts w:asciiTheme="majorHAnsi" w:hAnsiTheme="majorHAnsi" w:cstheme="majorHAnsi"/>
              </w:rPr>
              <w:t xml:space="preserve">- A Universidade fornece indícios de liberdade de pensamento e incentivo a inclusão de pessoas. Exemplos interessantes são a carta de Liberdade de Expressão  ( </w:t>
            </w:r>
            <w:hyperlink r:id="rId20" w:history="1">
              <w:r w:rsidRPr="00485F85">
                <w:rPr>
                  <w:rStyle w:val="Hyperlink"/>
                  <w:rFonts w:asciiTheme="majorHAnsi" w:hAnsiTheme="majorHAnsi" w:cstheme="majorHAnsi"/>
                </w:rPr>
                <w:t>https://compliance.web.ox.ac.uk/freedom-of-speech</w:t>
              </w:r>
            </w:hyperlink>
            <w:r w:rsidRPr="00485F85">
              <w:rPr>
                <w:rFonts w:asciiTheme="majorHAnsi" w:hAnsiTheme="majorHAnsi" w:cstheme="majorHAnsi"/>
              </w:rPr>
              <w:t xml:space="preserve"> ) e registros do estudante personalizado para alunos inclusive com a possibilidade de inserir uma possível mudança de gênero sem burocracia (</w:t>
            </w:r>
            <w:hyperlink r:id="rId21" w:history="1">
              <w:r w:rsidRPr="00485F85">
                <w:rPr>
                  <w:rStyle w:val="Hyperlink"/>
                  <w:rFonts w:asciiTheme="majorHAnsi" w:hAnsiTheme="majorHAnsi" w:cstheme="majorHAnsi"/>
                </w:rPr>
                <w:t>https://www.ox.ac.uk/students/life/studentrecord</w:t>
              </w:r>
            </w:hyperlink>
            <w:r w:rsidRPr="00485F85">
              <w:rPr>
                <w:rFonts w:asciiTheme="majorHAnsi" w:hAnsiTheme="majorHAnsi" w:cstheme="majorHAnsi"/>
              </w:rPr>
              <w:t xml:space="preserve">). </w:t>
            </w:r>
          </w:p>
          <w:p w14:paraId="72A2A897" w14:textId="77777777" w:rsidR="005747F1" w:rsidRPr="00485F85" w:rsidRDefault="005747F1" w:rsidP="00A206D5">
            <w:pPr>
              <w:spacing w:line="360" w:lineRule="auto"/>
              <w:jc w:val="both"/>
              <w:rPr>
                <w:rFonts w:asciiTheme="majorHAnsi" w:hAnsiTheme="majorHAnsi" w:cstheme="majorHAnsi"/>
              </w:rPr>
            </w:pPr>
          </w:p>
          <w:p w14:paraId="652A980C" w14:textId="77777777" w:rsidR="005747F1" w:rsidRPr="00485F85" w:rsidRDefault="005747F1" w:rsidP="00A206D5">
            <w:pPr>
              <w:spacing w:line="360" w:lineRule="auto"/>
              <w:jc w:val="both"/>
              <w:rPr>
                <w:rFonts w:asciiTheme="majorHAnsi" w:hAnsiTheme="majorHAnsi" w:cstheme="majorHAnsi"/>
              </w:rPr>
            </w:pPr>
            <w:r w:rsidRPr="00485F85">
              <w:rPr>
                <w:rFonts w:asciiTheme="majorHAnsi" w:hAnsiTheme="majorHAnsi" w:cstheme="majorHAnsi"/>
              </w:rPr>
              <w:t>- A Universidade fornece indícios de participação coletiva na produção de seus documentos norteadores por meio da criação de comitês e frentes de trabalho.</w:t>
            </w:r>
          </w:p>
          <w:p w14:paraId="2E17F37B" w14:textId="77777777" w:rsidR="005747F1" w:rsidRPr="00485F85" w:rsidRDefault="005747F1" w:rsidP="00A206D5">
            <w:pPr>
              <w:spacing w:line="360" w:lineRule="auto"/>
              <w:jc w:val="both"/>
              <w:rPr>
                <w:rFonts w:asciiTheme="majorHAnsi" w:hAnsiTheme="majorHAnsi" w:cstheme="majorHAnsi"/>
              </w:rPr>
            </w:pPr>
          </w:p>
          <w:p w14:paraId="67E47778" w14:textId="77777777" w:rsidR="005747F1" w:rsidRPr="00485F85" w:rsidRDefault="005747F1" w:rsidP="00A206D5">
            <w:pPr>
              <w:spacing w:line="360" w:lineRule="auto"/>
              <w:jc w:val="both"/>
              <w:rPr>
                <w:rFonts w:asciiTheme="majorHAnsi" w:hAnsiTheme="majorHAnsi" w:cstheme="majorHAnsi"/>
              </w:rPr>
            </w:pPr>
            <w:r w:rsidRPr="00485F85">
              <w:rPr>
                <w:rFonts w:asciiTheme="majorHAnsi" w:hAnsiTheme="majorHAnsi" w:cstheme="majorHAnsi"/>
              </w:rPr>
              <w:t xml:space="preserve"> - A partir dos documentos da Universidade é possível observar que Oxford prima por documentos norteadores enxutos e factíveis de serem desdobrados em ações, com metas e avaliações assertivas. O Planejamento estratégico para 5 anos por exemplo, possui apenas 6 páginas e é muito consistente em seus compromissos e propostas. </w:t>
            </w:r>
            <w:hyperlink r:id="rId22" w:history="1">
              <w:r w:rsidRPr="00485F85">
                <w:rPr>
                  <w:rStyle w:val="Hyperlink"/>
                  <w:rFonts w:asciiTheme="majorHAnsi" w:hAnsiTheme="majorHAnsi" w:cstheme="majorHAnsi"/>
                </w:rPr>
                <w:t>https://www.ox.ac.uk/sites/files/oxford/field/field_document/Strategic%20Plan%202018-23.pdf</w:t>
              </w:r>
            </w:hyperlink>
            <w:r w:rsidRPr="00485F85">
              <w:rPr>
                <w:rFonts w:asciiTheme="majorHAnsi" w:hAnsiTheme="majorHAnsi" w:cstheme="majorHAnsi"/>
              </w:rPr>
              <w:t xml:space="preserve">  </w:t>
            </w:r>
          </w:p>
          <w:p w14:paraId="42C822DE" w14:textId="77777777" w:rsidR="005747F1" w:rsidRPr="00485F85" w:rsidRDefault="005747F1" w:rsidP="00A206D5">
            <w:pPr>
              <w:spacing w:line="360" w:lineRule="auto"/>
              <w:jc w:val="both"/>
              <w:rPr>
                <w:rFonts w:asciiTheme="majorHAnsi" w:hAnsiTheme="majorHAnsi" w:cstheme="majorHAnsi"/>
                <w:b/>
              </w:rPr>
            </w:pPr>
          </w:p>
          <w:p w14:paraId="12EE642F" w14:textId="7A1C9D6F" w:rsidR="005747F1" w:rsidRPr="00485F85" w:rsidRDefault="005747F1" w:rsidP="00A206D5">
            <w:pPr>
              <w:spacing w:line="360" w:lineRule="auto"/>
              <w:jc w:val="both"/>
              <w:rPr>
                <w:rFonts w:asciiTheme="majorHAnsi" w:hAnsiTheme="majorHAnsi" w:cstheme="majorHAnsi"/>
                <w:bCs/>
              </w:rPr>
            </w:pPr>
            <w:r w:rsidRPr="00485F85">
              <w:rPr>
                <w:rFonts w:asciiTheme="majorHAnsi" w:hAnsiTheme="majorHAnsi" w:cstheme="majorHAnsi"/>
                <w:bCs/>
              </w:rPr>
              <w:t>- Oxford University Press é um departamento da Universidade, e não uma entidade legal separada. No entanto, tem um final de ano financeiro diferente do resto da Universidade e, como tal, produziu sua própria declaração da Lei da Escravidão Moderna. Esta declaração é feita em relação ao exercício financeiro da Imprensa encerrado em 31 de março de 2020. Emprego e compras são as principais áreas onde existe um risco potencial de escravidão ou tráfico de pessoas; o restante desta declaração fornece detalhes da resposta da Universidade ao risco nessas áreas.</w:t>
            </w:r>
          </w:p>
          <w:p w14:paraId="5E862821" w14:textId="77777777" w:rsidR="005747F1" w:rsidRPr="00485F85" w:rsidRDefault="00A515B3" w:rsidP="00A206D5">
            <w:pPr>
              <w:tabs>
                <w:tab w:val="clear" w:pos="1615"/>
                <w:tab w:val="left" w:pos="3580"/>
              </w:tabs>
              <w:spacing w:line="360" w:lineRule="auto"/>
              <w:jc w:val="both"/>
              <w:rPr>
                <w:rFonts w:asciiTheme="majorHAnsi" w:hAnsiTheme="majorHAnsi" w:cstheme="majorHAnsi"/>
                <w:b/>
              </w:rPr>
            </w:pPr>
            <w:hyperlink r:id="rId23" w:anchor="collapse1021921" w:history="1">
              <w:r w:rsidR="005747F1" w:rsidRPr="00485F85">
                <w:rPr>
                  <w:rStyle w:val="Hyperlink"/>
                  <w:rFonts w:asciiTheme="majorHAnsi" w:hAnsiTheme="majorHAnsi" w:cstheme="majorHAnsi"/>
                  <w:bCs/>
                </w:rPr>
                <w:t>https://compliance.admin.ox.ac.uk/modern-slavery#collapse1021921</w:t>
              </w:r>
            </w:hyperlink>
            <w:r w:rsidR="005747F1" w:rsidRPr="00485F85">
              <w:rPr>
                <w:rFonts w:asciiTheme="majorHAnsi" w:hAnsiTheme="majorHAnsi" w:cstheme="majorHAnsi"/>
                <w:bCs/>
              </w:rPr>
              <w:t xml:space="preserve"> </w:t>
            </w:r>
          </w:p>
        </w:tc>
      </w:tr>
    </w:tbl>
    <w:p w14:paraId="31718E05" w14:textId="77777777" w:rsidR="00904F9B" w:rsidRPr="00485F85" w:rsidRDefault="00904F9B" w:rsidP="00904F9B">
      <w:pPr>
        <w:rPr>
          <w:rFonts w:asciiTheme="majorHAnsi" w:hAnsiTheme="majorHAnsi" w:cstheme="majorHAnsi"/>
        </w:rPr>
      </w:pPr>
      <w:r w:rsidRPr="00485F85">
        <w:rPr>
          <w:rFonts w:asciiTheme="majorHAnsi" w:hAnsiTheme="majorHAnsi" w:cstheme="majorHAnsi"/>
        </w:rPr>
        <w:lastRenderedPageBreak/>
        <w:t>Fonte: Autora</w:t>
      </w:r>
    </w:p>
    <w:p w14:paraId="0E8D22E4" w14:textId="38E7D2DE" w:rsidR="00C71F33" w:rsidRDefault="00C71F33">
      <w:pPr>
        <w:tabs>
          <w:tab w:val="clear" w:pos="1615"/>
        </w:tabs>
        <w:spacing w:line="259" w:lineRule="auto"/>
        <w:rPr>
          <w:rFonts w:asciiTheme="majorHAnsi" w:hAnsiTheme="majorHAnsi" w:cstheme="majorHAnsi"/>
        </w:rPr>
      </w:pPr>
      <w:r>
        <w:rPr>
          <w:rFonts w:asciiTheme="majorHAnsi" w:hAnsiTheme="majorHAnsi" w:cstheme="majorHAnsi"/>
        </w:rPr>
        <w:br w:type="page"/>
      </w:r>
    </w:p>
    <w:p w14:paraId="0B0394BF" w14:textId="4669BA75" w:rsidR="0058079B" w:rsidRPr="00485F85" w:rsidRDefault="00A206D5" w:rsidP="00A206D5">
      <w:pPr>
        <w:pStyle w:val="Ttulo3"/>
        <w:ind w:left="1276"/>
        <w:rPr>
          <w:rFonts w:asciiTheme="majorHAnsi" w:hAnsiTheme="majorHAnsi" w:cstheme="majorHAnsi"/>
        </w:rPr>
      </w:pPr>
      <w:bookmarkStart w:id="34" w:name="_Toc82101322"/>
      <w:r w:rsidRPr="00485F85">
        <w:rPr>
          <w:rFonts w:asciiTheme="majorHAnsi" w:hAnsiTheme="majorHAnsi" w:cstheme="majorHAnsi"/>
        </w:rPr>
        <w:lastRenderedPageBreak/>
        <w:t>DIMENSÃO 2. INFRAESTRUTURA FÍSICA</w:t>
      </w:r>
      <w:bookmarkEnd w:id="34"/>
    </w:p>
    <w:p w14:paraId="10DD1AEE" w14:textId="77777777" w:rsidR="00AB0432" w:rsidRPr="00485F85" w:rsidRDefault="00AB0432" w:rsidP="002872F2">
      <w:pPr>
        <w:rPr>
          <w:rFonts w:asciiTheme="majorHAnsi" w:hAnsiTheme="majorHAnsi" w:cstheme="majorHAnsi"/>
          <w:b/>
        </w:rPr>
      </w:pPr>
    </w:p>
    <w:p w14:paraId="5840B5DD" w14:textId="7E9D766C" w:rsidR="009732EE" w:rsidRPr="00485F85" w:rsidRDefault="00171D52" w:rsidP="002872F2">
      <w:pPr>
        <w:rPr>
          <w:rFonts w:asciiTheme="majorHAnsi" w:hAnsiTheme="majorHAnsi" w:cstheme="majorHAnsi"/>
        </w:rPr>
      </w:pPr>
      <w:r w:rsidRPr="00485F85">
        <w:rPr>
          <w:rFonts w:asciiTheme="majorHAnsi" w:hAnsiTheme="majorHAnsi" w:cstheme="majorHAnsi"/>
          <w:noProof/>
          <w:lang w:eastAsia="pt-BR"/>
        </w:rPr>
        <w:drawing>
          <wp:inline distT="0" distB="0" distL="0" distR="0" wp14:anchorId="7476E4A4" wp14:editId="23C014C0">
            <wp:extent cx="6120130" cy="3852545"/>
            <wp:effectExtent l="0" t="0" r="0" b="0"/>
            <wp:docPr id="35" name="Imagem 3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iagram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852545"/>
                    </a:xfrm>
                    <a:prstGeom prst="rect">
                      <a:avLst/>
                    </a:prstGeom>
                  </pic:spPr>
                </pic:pic>
              </a:graphicData>
            </a:graphic>
          </wp:inline>
        </w:drawing>
      </w:r>
    </w:p>
    <w:p w14:paraId="2D0655C9" w14:textId="77777777" w:rsidR="007B2CA8" w:rsidRPr="00485F85" w:rsidRDefault="007B2CA8" w:rsidP="007B2CA8">
      <w:pPr>
        <w:spacing w:after="0"/>
        <w:rPr>
          <w:rFonts w:asciiTheme="majorHAnsi" w:hAnsiTheme="majorHAnsi" w:cstheme="majorHAnsi"/>
        </w:rPr>
      </w:pPr>
    </w:p>
    <w:p w14:paraId="6215CBA5" w14:textId="103DC6F5" w:rsidR="007B2CA8" w:rsidRPr="00485F85" w:rsidRDefault="007B2CA8" w:rsidP="007B2CA8">
      <w:pPr>
        <w:spacing w:after="0"/>
        <w:rPr>
          <w:rFonts w:asciiTheme="majorHAnsi" w:hAnsiTheme="majorHAnsi" w:cstheme="majorHAnsi"/>
        </w:rPr>
      </w:pPr>
      <w:r w:rsidRPr="00485F85">
        <w:rPr>
          <w:rFonts w:asciiTheme="majorHAnsi" w:hAnsiTheme="majorHAnsi" w:cstheme="majorHAnsi"/>
        </w:rPr>
        <w:t>Figura 7 – Boas práticas Dimensão 2. Infraestrutura Física</w:t>
      </w:r>
    </w:p>
    <w:p w14:paraId="79D510F5" w14:textId="79325746" w:rsidR="007B2CA8" w:rsidRPr="00485F85" w:rsidRDefault="007B2CA8" w:rsidP="007B2CA8">
      <w:pPr>
        <w:spacing w:after="0"/>
        <w:rPr>
          <w:rFonts w:asciiTheme="majorHAnsi" w:hAnsiTheme="majorHAnsi" w:cstheme="majorHAnsi"/>
        </w:rPr>
      </w:pPr>
      <w:r w:rsidRPr="00485F85">
        <w:rPr>
          <w:rFonts w:asciiTheme="majorHAnsi" w:hAnsiTheme="majorHAnsi" w:cstheme="majorHAnsi"/>
        </w:rPr>
        <w:t>Fonte: Autora</w:t>
      </w:r>
    </w:p>
    <w:p w14:paraId="17AECD7E" w14:textId="11E82713" w:rsidR="009732EE" w:rsidRPr="00485F85" w:rsidRDefault="009732EE" w:rsidP="002872F2">
      <w:pPr>
        <w:rPr>
          <w:rFonts w:asciiTheme="majorHAnsi" w:hAnsiTheme="majorHAnsi" w:cstheme="majorHAnsi"/>
        </w:rPr>
      </w:pPr>
    </w:p>
    <w:p w14:paraId="49EE892E" w14:textId="75508264"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14</w:t>
      </w:r>
      <w:r w:rsidRPr="00485F85">
        <w:rPr>
          <w:rFonts w:asciiTheme="majorHAnsi" w:hAnsiTheme="majorHAnsi" w:cstheme="majorHAnsi"/>
        </w:rPr>
        <w:t xml:space="preserve"> – Dimensão </w:t>
      </w:r>
      <w:r w:rsidR="00E72FE1" w:rsidRPr="00485F85">
        <w:rPr>
          <w:rFonts w:asciiTheme="majorHAnsi" w:hAnsiTheme="majorHAnsi" w:cstheme="majorHAnsi"/>
        </w:rPr>
        <w:t>2</w:t>
      </w:r>
      <w:r w:rsidRPr="00485F85">
        <w:rPr>
          <w:rFonts w:asciiTheme="majorHAnsi" w:hAnsiTheme="majorHAnsi" w:cstheme="majorHAnsi"/>
        </w:rPr>
        <w:t xml:space="preserve"> – Boas Práticas para Gestão Inovadora</w:t>
      </w:r>
    </w:p>
    <w:tbl>
      <w:tblPr>
        <w:tblStyle w:val="Tabelacomgrade"/>
        <w:tblW w:w="10065" w:type="dxa"/>
        <w:tblInd w:w="-289" w:type="dxa"/>
        <w:tblLook w:val="04A0" w:firstRow="1" w:lastRow="0" w:firstColumn="1" w:lastColumn="0" w:noHBand="0" w:noVBand="1"/>
      </w:tblPr>
      <w:tblGrid>
        <w:gridCol w:w="10065"/>
      </w:tblGrid>
      <w:tr w:rsidR="005747F1" w:rsidRPr="00485F85" w14:paraId="04E4B281" w14:textId="77777777" w:rsidTr="005747F1">
        <w:tc>
          <w:tcPr>
            <w:tcW w:w="10065" w:type="dxa"/>
            <w:hideMark/>
          </w:tcPr>
          <w:p w14:paraId="0D1F4D49" w14:textId="77777777" w:rsidR="005747F1" w:rsidRPr="00485F85" w:rsidRDefault="005747F1" w:rsidP="00BB72C8">
            <w:pPr>
              <w:spacing w:after="160"/>
              <w:jc w:val="both"/>
              <w:rPr>
                <w:rFonts w:asciiTheme="majorHAnsi" w:hAnsiTheme="majorHAnsi" w:cstheme="majorHAnsi"/>
                <w:b/>
              </w:rPr>
            </w:pPr>
            <w:r w:rsidRPr="00485F85">
              <w:rPr>
                <w:rFonts w:asciiTheme="majorHAnsi" w:hAnsiTheme="majorHAnsi" w:cstheme="majorHAnsi"/>
                <w:b/>
              </w:rPr>
              <w:t>Boas Práticas para Gestão Inovadora</w:t>
            </w:r>
          </w:p>
        </w:tc>
      </w:tr>
      <w:tr w:rsidR="005747F1" w:rsidRPr="00485F85" w14:paraId="02AD7192" w14:textId="77777777" w:rsidTr="005747F1">
        <w:tc>
          <w:tcPr>
            <w:tcW w:w="10065" w:type="dxa"/>
            <w:tcBorders>
              <w:top w:val="single" w:sz="4" w:space="0" w:color="auto"/>
              <w:left w:val="single" w:sz="4" w:space="0" w:color="auto"/>
              <w:bottom w:val="single" w:sz="4" w:space="0" w:color="auto"/>
              <w:right w:val="single" w:sz="4" w:space="0" w:color="auto"/>
            </w:tcBorders>
          </w:tcPr>
          <w:p w14:paraId="7BBAD6C8" w14:textId="580A7ECF" w:rsidR="005747F1" w:rsidRPr="00485F85" w:rsidRDefault="005747F1" w:rsidP="00BB72C8">
            <w:pPr>
              <w:jc w:val="both"/>
              <w:rPr>
                <w:rFonts w:asciiTheme="majorHAnsi" w:hAnsiTheme="majorHAnsi" w:cstheme="majorHAnsi"/>
              </w:rPr>
            </w:pPr>
            <w:r w:rsidRPr="00485F85">
              <w:rPr>
                <w:rFonts w:asciiTheme="majorHAnsi" w:hAnsiTheme="majorHAnsi" w:cstheme="majorHAnsi"/>
              </w:rPr>
              <w:t>- A Universidade mostrou evidências de que a descentralização de seus espaços para práticas acadêmicas como laboratórios, salas de estudo e convívio funciona bem e está aderente com as propostas educativas de cada área/College, Faculties, Divisão Acadêmica ou Departamento.</w:t>
            </w:r>
          </w:p>
          <w:p w14:paraId="25AFB287" w14:textId="6060AB06" w:rsidR="00171D52" w:rsidRPr="00485F85" w:rsidRDefault="00171D52" w:rsidP="00BB72C8">
            <w:pPr>
              <w:jc w:val="both"/>
              <w:rPr>
                <w:rFonts w:asciiTheme="majorHAnsi" w:hAnsiTheme="majorHAnsi" w:cstheme="majorHAnsi"/>
              </w:rPr>
            </w:pPr>
          </w:p>
          <w:p w14:paraId="778DF80B" w14:textId="769CEA7B" w:rsidR="00171D52" w:rsidRPr="00485F85" w:rsidRDefault="00171D52" w:rsidP="00BB72C8">
            <w:pPr>
              <w:jc w:val="both"/>
              <w:rPr>
                <w:rFonts w:asciiTheme="majorHAnsi" w:hAnsiTheme="majorHAnsi" w:cstheme="majorHAnsi"/>
              </w:rPr>
            </w:pPr>
            <w:r w:rsidRPr="00485F85">
              <w:rPr>
                <w:rFonts w:asciiTheme="majorHAnsi" w:hAnsiTheme="majorHAnsi" w:cstheme="majorHAnsi"/>
              </w:rPr>
              <w:t>- As moradias no campus proporcionam uma convivência maior entre os alunos além de trazem imersão aos estudantes de graduação e pós-graduação.</w:t>
            </w:r>
          </w:p>
          <w:p w14:paraId="49CEBFB3" w14:textId="77777777" w:rsidR="005747F1" w:rsidRPr="00485F85" w:rsidRDefault="005747F1" w:rsidP="00BB72C8">
            <w:pPr>
              <w:jc w:val="both"/>
              <w:rPr>
                <w:rFonts w:asciiTheme="majorHAnsi" w:hAnsiTheme="majorHAnsi" w:cstheme="majorHAnsi"/>
              </w:rPr>
            </w:pPr>
          </w:p>
          <w:p w14:paraId="1B9D1869"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 xml:space="preserve">- Oxford dá indícios de que suas metas e diretrizes também envolvem sua infraestrutura física. Como possui diretrizes com foco em sustentabilidade, a Universidade reconhece que seus laboratórios são responsáveis ​​por mais de 60% do consumo total de energia e emissões de carbono em toda a Universidade. E para resolver isso, a equipe de Sustentabilidade Ambiental criou o programa Laboratórios Sustentáveis, que se concentra especificamente na redução de energia para gerar sustentabilidade em laboratórios. Desse modo, Oxford Encoraja e apoia as melhores práticas para que a sustentabilidade se torne parte integrante do trabalho diário de seus laboratórios.  </w:t>
            </w:r>
            <w:hyperlink r:id="rId25" w:history="1">
              <w:r w:rsidRPr="00485F85">
                <w:rPr>
                  <w:rStyle w:val="Hyperlink"/>
                  <w:rFonts w:asciiTheme="majorHAnsi" w:hAnsiTheme="majorHAnsi" w:cstheme="majorHAnsi"/>
                </w:rPr>
                <w:t>https://sustainability.admin.ox.ac.uk/labs</w:t>
              </w:r>
            </w:hyperlink>
            <w:r w:rsidRPr="00485F85">
              <w:rPr>
                <w:rFonts w:asciiTheme="majorHAnsi" w:hAnsiTheme="majorHAnsi" w:cstheme="majorHAnsi"/>
              </w:rPr>
              <w:t xml:space="preserve"> </w:t>
            </w:r>
          </w:p>
          <w:p w14:paraId="74BE3A93" w14:textId="77777777" w:rsidR="005747F1" w:rsidRPr="00485F85" w:rsidRDefault="005747F1" w:rsidP="00BB72C8">
            <w:pPr>
              <w:jc w:val="both"/>
              <w:rPr>
                <w:rFonts w:asciiTheme="majorHAnsi" w:hAnsiTheme="majorHAnsi" w:cstheme="majorHAnsi"/>
              </w:rPr>
            </w:pPr>
          </w:p>
          <w:p w14:paraId="0899B221" w14:textId="77777777" w:rsidR="005747F1" w:rsidRPr="00485F85" w:rsidRDefault="005747F1" w:rsidP="00BB72C8">
            <w:pPr>
              <w:spacing w:after="160"/>
              <w:jc w:val="both"/>
              <w:rPr>
                <w:rFonts w:asciiTheme="majorHAnsi" w:hAnsiTheme="majorHAnsi" w:cstheme="majorHAnsi"/>
                <w:bCs/>
              </w:rPr>
            </w:pPr>
            <w:r w:rsidRPr="00485F85">
              <w:rPr>
                <w:rFonts w:asciiTheme="majorHAnsi" w:hAnsiTheme="majorHAnsi" w:cstheme="majorHAnsi"/>
                <w:bCs/>
              </w:rPr>
              <w:t xml:space="preserve">- A própria criação da divisão de GLAM que cuida dos Museus, Bibliotecas e Jardins da Universidade pode ser considerada uma boa prática. Com a gestão descentralizada e um escritório fortalecido, eles conseguem </w:t>
            </w:r>
            <w:r w:rsidRPr="00485F85">
              <w:rPr>
                <w:rFonts w:asciiTheme="majorHAnsi" w:hAnsiTheme="majorHAnsi" w:cstheme="majorHAnsi"/>
                <w:bCs/>
              </w:rPr>
              <w:lastRenderedPageBreak/>
              <w:t xml:space="preserve">organizar, além das necessidades acadêmicas dos alunos (congressos, funcionamento pleno das bibliotecas e museus), demandas externas da comunidade, como passeios turísticos, casamentos, sinfonias ao ar livre, exposições entre outras atividades. A divisão faz isso por meio de seus programas e projetos: </w:t>
            </w:r>
            <w:hyperlink r:id="rId26" w:anchor="/" w:history="1">
              <w:r w:rsidRPr="00485F85">
                <w:rPr>
                  <w:rStyle w:val="Hyperlink"/>
                  <w:rFonts w:asciiTheme="majorHAnsi" w:hAnsiTheme="majorHAnsi" w:cstheme="majorHAnsi"/>
                  <w:bCs/>
                </w:rPr>
                <w:t>https://www.glam.ox.ac.uk/programmes-and-projects#/</w:t>
              </w:r>
            </w:hyperlink>
            <w:r w:rsidRPr="00485F85">
              <w:rPr>
                <w:rFonts w:asciiTheme="majorHAnsi" w:hAnsiTheme="majorHAnsi" w:cstheme="majorHAnsi"/>
                <w:bCs/>
              </w:rPr>
              <w:t xml:space="preserve"> entre eles:</w:t>
            </w:r>
          </w:p>
          <w:p w14:paraId="181EE2C1" w14:textId="6C23616F" w:rsidR="005747F1" w:rsidRPr="00485F85" w:rsidRDefault="005747F1" w:rsidP="00BB72C8">
            <w:pPr>
              <w:jc w:val="both"/>
              <w:rPr>
                <w:rFonts w:asciiTheme="majorHAnsi" w:hAnsiTheme="majorHAnsi" w:cstheme="majorHAnsi"/>
                <w:b/>
              </w:rPr>
            </w:pPr>
            <w:r w:rsidRPr="00485F85">
              <w:rPr>
                <w:rFonts w:asciiTheme="majorHAnsi" w:hAnsiTheme="majorHAnsi" w:cstheme="majorHAnsi"/>
                <w:b/>
              </w:rPr>
              <w:t>Bem-estar e inclusão social</w:t>
            </w:r>
          </w:p>
          <w:p w14:paraId="73EDD6BC" w14:textId="77777777" w:rsidR="005747F1" w:rsidRPr="00485F85" w:rsidRDefault="005747F1" w:rsidP="00BB72C8">
            <w:pPr>
              <w:jc w:val="both"/>
              <w:rPr>
                <w:rFonts w:asciiTheme="majorHAnsi" w:hAnsiTheme="majorHAnsi" w:cstheme="majorHAnsi"/>
                <w:bCs/>
              </w:rPr>
            </w:pPr>
            <w:r w:rsidRPr="00485F85">
              <w:rPr>
                <w:rFonts w:asciiTheme="majorHAnsi" w:hAnsiTheme="majorHAnsi" w:cstheme="majorHAnsi"/>
                <w:bCs/>
              </w:rPr>
              <w:t>Membros da equipe de Jardins, Bibliotecas e Museus (GLAM) da Universidade de Oxford estão trabalhando com diferentes professores para explorar maneiras de apoiar pessoas com necessidades especiais.</w:t>
            </w:r>
          </w:p>
          <w:p w14:paraId="0653D539" w14:textId="77777777" w:rsidR="005747F1" w:rsidRPr="00485F85" w:rsidRDefault="005747F1" w:rsidP="00BB72C8">
            <w:pPr>
              <w:jc w:val="both"/>
              <w:rPr>
                <w:rFonts w:asciiTheme="majorHAnsi" w:hAnsiTheme="majorHAnsi" w:cstheme="majorHAnsi"/>
                <w:bCs/>
              </w:rPr>
            </w:pPr>
          </w:p>
          <w:p w14:paraId="5927A6F9" w14:textId="77777777" w:rsidR="005747F1" w:rsidRPr="00485F85" w:rsidRDefault="005747F1" w:rsidP="00BB72C8">
            <w:pPr>
              <w:jc w:val="both"/>
              <w:rPr>
                <w:rFonts w:asciiTheme="majorHAnsi" w:hAnsiTheme="majorHAnsi" w:cstheme="majorHAnsi"/>
                <w:b/>
              </w:rPr>
            </w:pPr>
            <w:r w:rsidRPr="00485F85">
              <w:rPr>
                <w:rFonts w:asciiTheme="majorHAnsi" w:hAnsiTheme="majorHAnsi" w:cstheme="majorHAnsi"/>
                <w:b/>
              </w:rPr>
              <w:t>Trabalho comunitário</w:t>
            </w:r>
          </w:p>
          <w:p w14:paraId="613D924B" w14:textId="77777777" w:rsidR="005747F1" w:rsidRPr="00485F85" w:rsidRDefault="005747F1" w:rsidP="00BB72C8">
            <w:pPr>
              <w:jc w:val="both"/>
              <w:rPr>
                <w:rFonts w:asciiTheme="majorHAnsi" w:hAnsiTheme="majorHAnsi" w:cstheme="majorHAnsi"/>
                <w:bCs/>
              </w:rPr>
            </w:pPr>
            <w:r w:rsidRPr="00485F85">
              <w:rPr>
                <w:rFonts w:asciiTheme="majorHAnsi" w:hAnsiTheme="majorHAnsi" w:cstheme="majorHAnsi"/>
                <w:bCs/>
              </w:rPr>
              <w:t xml:space="preserve">O Serviço de Trabalho Comunitário oferece workshops e programas gratuitos para grupos comunitários de adultos, alunos adultos e grupos de aprendizagem familiar. </w:t>
            </w:r>
          </w:p>
          <w:p w14:paraId="12224069" w14:textId="77777777" w:rsidR="005747F1" w:rsidRPr="00485F85" w:rsidRDefault="005747F1" w:rsidP="00BB72C8">
            <w:pPr>
              <w:jc w:val="both"/>
              <w:rPr>
                <w:rFonts w:asciiTheme="majorHAnsi" w:hAnsiTheme="majorHAnsi" w:cstheme="majorHAnsi"/>
                <w:bCs/>
              </w:rPr>
            </w:pPr>
          </w:p>
          <w:p w14:paraId="470DA49B" w14:textId="77777777" w:rsidR="005747F1" w:rsidRPr="00485F85" w:rsidRDefault="005747F1" w:rsidP="00BB72C8">
            <w:pPr>
              <w:jc w:val="both"/>
              <w:rPr>
                <w:rFonts w:asciiTheme="majorHAnsi" w:hAnsiTheme="majorHAnsi" w:cstheme="majorHAnsi"/>
                <w:b/>
              </w:rPr>
            </w:pPr>
            <w:r w:rsidRPr="00485F85">
              <w:rPr>
                <w:rFonts w:asciiTheme="majorHAnsi" w:hAnsiTheme="majorHAnsi" w:cstheme="majorHAnsi"/>
                <w:b/>
              </w:rPr>
              <w:t>Programa GLAM Digital</w:t>
            </w:r>
          </w:p>
          <w:p w14:paraId="7170AB71" w14:textId="77777777" w:rsidR="005747F1" w:rsidRPr="00485F85" w:rsidRDefault="005747F1" w:rsidP="00BB72C8">
            <w:pPr>
              <w:spacing w:after="160"/>
              <w:jc w:val="both"/>
              <w:rPr>
                <w:rFonts w:asciiTheme="majorHAnsi" w:hAnsiTheme="majorHAnsi" w:cstheme="majorHAnsi"/>
                <w:bCs/>
              </w:rPr>
            </w:pPr>
            <w:r w:rsidRPr="00485F85">
              <w:rPr>
                <w:rFonts w:asciiTheme="majorHAnsi" w:hAnsiTheme="majorHAnsi" w:cstheme="majorHAnsi"/>
                <w:bCs/>
              </w:rPr>
              <w:t>A divisão está trabalhando para tornar as coleções exclusivas disponíveis on-line para preservá-las e protegê-las para as gerações futuras.</w:t>
            </w:r>
          </w:p>
          <w:p w14:paraId="39E0D40D"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 O usufruto das instalações da Universidade por quem não é vinculado à Instituição, também pode ser considerada uma boa prática. Em seu site principal Oxford cita como pessoas em geral, vinculadas e não vinculadas à Universidade podem se beneficiar de suas instalações e recursos.</w:t>
            </w:r>
          </w:p>
          <w:p w14:paraId="38E6B7BD"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Ela cita quatro formas diferentes:</w:t>
            </w:r>
          </w:p>
          <w:p w14:paraId="0623A87A" w14:textId="77777777" w:rsidR="005747F1" w:rsidRPr="00485F85" w:rsidRDefault="005747F1" w:rsidP="00BB72C8">
            <w:pPr>
              <w:jc w:val="both"/>
              <w:rPr>
                <w:rFonts w:asciiTheme="majorHAnsi" w:hAnsiTheme="majorHAnsi" w:cstheme="majorHAnsi"/>
              </w:rPr>
            </w:pPr>
          </w:p>
          <w:p w14:paraId="210314F5" w14:textId="77777777" w:rsidR="005747F1" w:rsidRPr="00485F85" w:rsidRDefault="005747F1" w:rsidP="00BB72C8">
            <w:pPr>
              <w:jc w:val="both"/>
              <w:rPr>
                <w:rFonts w:asciiTheme="majorHAnsi" w:hAnsiTheme="majorHAnsi" w:cstheme="majorHAnsi"/>
                <w:b/>
                <w:bCs/>
              </w:rPr>
            </w:pPr>
            <w:r w:rsidRPr="00485F85">
              <w:rPr>
                <w:rFonts w:asciiTheme="majorHAnsi" w:hAnsiTheme="majorHAnsi" w:cstheme="majorHAnsi"/>
                <w:b/>
                <w:bCs/>
              </w:rPr>
              <w:t>Use equipamentos e recursos</w:t>
            </w:r>
          </w:p>
          <w:p w14:paraId="0E47BD2B"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Beneficie-se das instalações, recursos e equipamentos de pesquisa de classe mundial de Oxford.</w:t>
            </w:r>
          </w:p>
          <w:p w14:paraId="7A9B6D04" w14:textId="77777777" w:rsidR="005747F1" w:rsidRPr="00485F85" w:rsidRDefault="005747F1" w:rsidP="00BB72C8">
            <w:pPr>
              <w:jc w:val="both"/>
              <w:rPr>
                <w:rFonts w:asciiTheme="majorHAnsi" w:hAnsiTheme="majorHAnsi" w:cstheme="majorHAnsi"/>
                <w:b/>
                <w:bCs/>
              </w:rPr>
            </w:pPr>
            <w:r w:rsidRPr="00485F85">
              <w:rPr>
                <w:rFonts w:asciiTheme="majorHAnsi" w:hAnsiTheme="majorHAnsi" w:cstheme="majorHAnsi"/>
                <w:b/>
                <w:bCs/>
              </w:rPr>
              <w:t>Expanda seus negócios em Oxford</w:t>
            </w:r>
          </w:p>
          <w:p w14:paraId="37B223D2"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Encontre espaço, encontre as pessoas certas, encontre suporte, acesse as instalações e os recursos de que você precisa para crescer ou expandir seus negócios.</w:t>
            </w:r>
          </w:p>
          <w:p w14:paraId="6909544C" w14:textId="77777777" w:rsidR="005747F1" w:rsidRPr="00485F85" w:rsidRDefault="005747F1" w:rsidP="00BB72C8">
            <w:pPr>
              <w:jc w:val="both"/>
              <w:rPr>
                <w:rFonts w:asciiTheme="majorHAnsi" w:hAnsiTheme="majorHAnsi" w:cstheme="majorHAnsi"/>
                <w:b/>
                <w:bCs/>
              </w:rPr>
            </w:pPr>
            <w:r w:rsidRPr="00485F85">
              <w:rPr>
                <w:rFonts w:asciiTheme="majorHAnsi" w:hAnsiTheme="majorHAnsi" w:cstheme="majorHAnsi"/>
                <w:b/>
                <w:bCs/>
              </w:rPr>
              <w:t>Licença de tecnologia de Oxford</w:t>
            </w:r>
          </w:p>
          <w:p w14:paraId="25F3DAA0"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Descubra como você pode licenciar tecnologia e pesquisar no nosso portfólio de tecnologia.</w:t>
            </w:r>
          </w:p>
          <w:p w14:paraId="6841526D" w14:textId="77777777" w:rsidR="005747F1" w:rsidRPr="00485F85" w:rsidRDefault="005747F1" w:rsidP="00BB72C8">
            <w:pPr>
              <w:jc w:val="both"/>
              <w:rPr>
                <w:rFonts w:asciiTheme="majorHAnsi" w:hAnsiTheme="majorHAnsi" w:cstheme="majorHAnsi"/>
                <w:b/>
                <w:bCs/>
              </w:rPr>
            </w:pPr>
            <w:r w:rsidRPr="00485F85">
              <w:rPr>
                <w:rFonts w:asciiTheme="majorHAnsi" w:hAnsiTheme="majorHAnsi" w:cstheme="majorHAnsi"/>
                <w:b/>
                <w:bCs/>
              </w:rPr>
              <w:t>Organize um evento</w:t>
            </w:r>
          </w:p>
          <w:p w14:paraId="2D041EFA"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Conference Oxford é o escritório central de marketing de conferências da University of Oxford and Colleges.</w:t>
            </w:r>
          </w:p>
          <w:p w14:paraId="12252E92"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 xml:space="preserve">O link a seguir mostra essa referência: </w:t>
            </w:r>
          </w:p>
          <w:p w14:paraId="37785109" w14:textId="77777777" w:rsidR="005747F1" w:rsidRPr="00485F85" w:rsidRDefault="00A515B3" w:rsidP="00BB72C8">
            <w:pPr>
              <w:spacing w:after="160"/>
              <w:jc w:val="both"/>
              <w:rPr>
                <w:rStyle w:val="Hyperlink"/>
                <w:rFonts w:asciiTheme="majorHAnsi" w:hAnsiTheme="majorHAnsi" w:cstheme="majorHAnsi"/>
                <w:color w:val="auto"/>
              </w:rPr>
            </w:pPr>
            <w:hyperlink r:id="rId27" w:history="1">
              <w:r w:rsidR="005747F1" w:rsidRPr="00485F85">
                <w:rPr>
                  <w:rStyle w:val="Hyperlink"/>
                  <w:rFonts w:asciiTheme="majorHAnsi" w:hAnsiTheme="majorHAnsi" w:cstheme="majorHAnsi"/>
                </w:rPr>
                <w:t>https://www.ox.ac.uk/research/innovation-and-partnership/resources-facilities</w:t>
              </w:r>
            </w:hyperlink>
          </w:p>
          <w:p w14:paraId="58B47F00" w14:textId="77777777" w:rsidR="005747F1" w:rsidRPr="00485F85" w:rsidRDefault="005747F1" w:rsidP="00BB72C8">
            <w:pPr>
              <w:jc w:val="both"/>
              <w:rPr>
                <w:rFonts w:asciiTheme="majorHAnsi" w:hAnsiTheme="majorHAnsi" w:cstheme="majorHAnsi"/>
              </w:rPr>
            </w:pPr>
            <w:r w:rsidRPr="00485F85">
              <w:rPr>
                <w:rFonts w:asciiTheme="majorHAnsi" w:hAnsiTheme="majorHAnsi" w:cstheme="majorHAnsi"/>
              </w:rPr>
              <w:t>- A gestão patrimonial de Oxford é realizada a partir da área de “Estates Services” responsável pela manutenção predial e oferta de serviços compartilhados. Sua gama de serviços vai desde a oferta de cafés e refeições até a gestão de jardins, instalações prediais, segurança, iluminação, locação de espaço até gerenciamento de crises.</w:t>
            </w:r>
          </w:p>
          <w:p w14:paraId="1F7911D2" w14:textId="77777777" w:rsidR="005747F1" w:rsidRPr="00485F85" w:rsidRDefault="005747F1" w:rsidP="00BB72C8">
            <w:pPr>
              <w:spacing w:after="160"/>
              <w:jc w:val="both"/>
              <w:rPr>
                <w:rFonts w:asciiTheme="majorHAnsi" w:hAnsiTheme="majorHAnsi" w:cstheme="majorHAnsi"/>
                <w:u w:val="single"/>
              </w:rPr>
            </w:pPr>
            <w:r w:rsidRPr="00485F85">
              <w:rPr>
                <w:rFonts w:asciiTheme="majorHAnsi" w:hAnsiTheme="majorHAnsi" w:cstheme="majorHAnsi"/>
              </w:rPr>
              <w:t xml:space="preserve"> </w:t>
            </w:r>
            <w:hyperlink r:id="rId28" w:anchor="/" w:history="1">
              <w:r w:rsidRPr="00485F85">
                <w:rPr>
                  <w:rStyle w:val="Hyperlink"/>
                  <w:rFonts w:asciiTheme="majorHAnsi" w:hAnsiTheme="majorHAnsi" w:cstheme="majorHAnsi"/>
                </w:rPr>
                <w:t>https://estates.admin.ox.ac.uk/#/</w:t>
              </w:r>
            </w:hyperlink>
            <w:r w:rsidRPr="00485F85">
              <w:rPr>
                <w:rFonts w:asciiTheme="majorHAnsi" w:hAnsiTheme="majorHAnsi" w:cstheme="majorHAnsi"/>
              </w:rPr>
              <w:t xml:space="preserve"> </w:t>
            </w:r>
          </w:p>
        </w:tc>
      </w:tr>
    </w:tbl>
    <w:p w14:paraId="30313801"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2D51A955" w14:textId="77777777" w:rsidR="00363248" w:rsidRPr="00485F85" w:rsidRDefault="00363248">
      <w:pPr>
        <w:tabs>
          <w:tab w:val="clear" w:pos="1615"/>
        </w:tabs>
        <w:spacing w:line="259" w:lineRule="auto"/>
        <w:rPr>
          <w:rFonts w:asciiTheme="majorHAnsi" w:hAnsiTheme="majorHAnsi" w:cstheme="majorHAnsi"/>
          <w:b/>
          <w:bCs/>
        </w:rPr>
      </w:pPr>
    </w:p>
    <w:p w14:paraId="30B26C08" w14:textId="77777777" w:rsidR="00363248" w:rsidRPr="00485F85" w:rsidRDefault="00363248">
      <w:pPr>
        <w:tabs>
          <w:tab w:val="clear" w:pos="1615"/>
        </w:tabs>
        <w:spacing w:line="259" w:lineRule="auto"/>
        <w:rPr>
          <w:rFonts w:asciiTheme="majorHAnsi" w:hAnsiTheme="majorHAnsi" w:cstheme="majorHAnsi"/>
          <w:b/>
          <w:bCs/>
        </w:rPr>
      </w:pPr>
    </w:p>
    <w:p w14:paraId="0E79FD97" w14:textId="77777777" w:rsidR="00363248" w:rsidRPr="00485F85" w:rsidRDefault="00363248">
      <w:pPr>
        <w:tabs>
          <w:tab w:val="clear" w:pos="1615"/>
        </w:tabs>
        <w:spacing w:line="259" w:lineRule="auto"/>
        <w:rPr>
          <w:rFonts w:asciiTheme="majorHAnsi" w:hAnsiTheme="majorHAnsi" w:cstheme="majorHAnsi"/>
          <w:b/>
          <w:bCs/>
        </w:rPr>
      </w:pPr>
    </w:p>
    <w:p w14:paraId="43771A50" w14:textId="77777777" w:rsidR="0058079B" w:rsidRPr="00485F85" w:rsidRDefault="0058079B">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0004E2F5" w14:textId="4A00DE06" w:rsidR="00B11D94" w:rsidRPr="00485F85" w:rsidRDefault="00A206D5" w:rsidP="00A206D5">
      <w:pPr>
        <w:pStyle w:val="Ttulo3"/>
        <w:ind w:left="1276"/>
        <w:rPr>
          <w:rFonts w:asciiTheme="majorHAnsi" w:hAnsiTheme="majorHAnsi" w:cstheme="majorHAnsi"/>
        </w:rPr>
      </w:pPr>
      <w:bookmarkStart w:id="35" w:name="_Toc82101323"/>
      <w:r w:rsidRPr="00485F85">
        <w:rPr>
          <w:rFonts w:asciiTheme="majorHAnsi" w:hAnsiTheme="majorHAnsi" w:cstheme="majorHAnsi"/>
        </w:rPr>
        <w:lastRenderedPageBreak/>
        <w:t>DIMENSÃO 3. COMUNIDADE UNIVERSITÁRIA/ ACADÊMICA</w:t>
      </w:r>
      <w:bookmarkEnd w:id="35"/>
    </w:p>
    <w:p w14:paraId="0DF71A70" w14:textId="53A6FCC0" w:rsidR="00B11D94" w:rsidRPr="00485F85" w:rsidRDefault="00B11D94">
      <w:pPr>
        <w:tabs>
          <w:tab w:val="clear" w:pos="1615"/>
        </w:tabs>
        <w:spacing w:line="259" w:lineRule="auto"/>
        <w:rPr>
          <w:rFonts w:asciiTheme="majorHAnsi" w:hAnsiTheme="majorHAnsi" w:cstheme="majorHAnsi"/>
          <w:b/>
          <w:bCs/>
        </w:rPr>
      </w:pPr>
    </w:p>
    <w:p w14:paraId="0A9AA027" w14:textId="6715BD02" w:rsidR="00363248" w:rsidRPr="00485F85" w:rsidRDefault="00F861AE">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0749D5A4" wp14:editId="5B91EECA">
            <wp:extent cx="6120130" cy="3550285"/>
            <wp:effectExtent l="0" t="0" r="0" b="0"/>
            <wp:docPr id="36" name="Imagem 3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iagram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550285"/>
                    </a:xfrm>
                    <a:prstGeom prst="rect">
                      <a:avLst/>
                    </a:prstGeom>
                  </pic:spPr>
                </pic:pic>
              </a:graphicData>
            </a:graphic>
          </wp:inline>
        </w:drawing>
      </w:r>
    </w:p>
    <w:p w14:paraId="4800F062" w14:textId="77777777" w:rsidR="007B2CA8" w:rsidRPr="00485F85" w:rsidRDefault="007B2CA8">
      <w:pPr>
        <w:tabs>
          <w:tab w:val="clear" w:pos="1615"/>
        </w:tabs>
        <w:spacing w:line="259" w:lineRule="auto"/>
        <w:rPr>
          <w:rFonts w:asciiTheme="majorHAnsi" w:hAnsiTheme="majorHAnsi" w:cstheme="majorHAnsi"/>
          <w:b/>
          <w:bCs/>
        </w:rPr>
      </w:pPr>
    </w:p>
    <w:p w14:paraId="5462E10F"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8 – Boas práticas Dimensão 3. Comunidade Universitária/ Acadêmica</w:t>
      </w:r>
    </w:p>
    <w:p w14:paraId="2A37B789" w14:textId="4C6BBD0B" w:rsidR="00B11D94"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5C401F18" w14:textId="5F118353" w:rsidR="007B2CA8" w:rsidRPr="00485F85" w:rsidRDefault="007B2CA8" w:rsidP="007B2CA8">
      <w:pPr>
        <w:tabs>
          <w:tab w:val="clear" w:pos="1615"/>
        </w:tabs>
        <w:spacing w:after="0"/>
        <w:rPr>
          <w:rFonts w:asciiTheme="majorHAnsi" w:hAnsiTheme="majorHAnsi" w:cstheme="majorHAnsi"/>
        </w:rPr>
      </w:pPr>
    </w:p>
    <w:p w14:paraId="3DE7EA48" w14:textId="0513B1EA" w:rsidR="003A735A" w:rsidRPr="00485F85" w:rsidRDefault="003A735A" w:rsidP="007B2CA8">
      <w:pPr>
        <w:tabs>
          <w:tab w:val="clear" w:pos="1615"/>
        </w:tabs>
        <w:spacing w:after="0"/>
        <w:rPr>
          <w:rFonts w:asciiTheme="majorHAnsi" w:hAnsiTheme="majorHAnsi" w:cstheme="majorHAnsi"/>
        </w:rPr>
      </w:pPr>
    </w:p>
    <w:p w14:paraId="25CBE9B5" w14:textId="4E3D83FF"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15</w:t>
      </w:r>
      <w:r w:rsidRPr="00485F85">
        <w:rPr>
          <w:rFonts w:asciiTheme="majorHAnsi" w:hAnsiTheme="majorHAnsi" w:cstheme="majorHAnsi"/>
        </w:rPr>
        <w:t xml:space="preserve"> – Dimensão </w:t>
      </w:r>
      <w:r w:rsidR="00E72FE1" w:rsidRPr="00485F85">
        <w:rPr>
          <w:rFonts w:asciiTheme="majorHAnsi" w:hAnsiTheme="majorHAnsi" w:cstheme="majorHAnsi"/>
        </w:rPr>
        <w:t>3</w:t>
      </w:r>
      <w:r w:rsidRPr="00485F85">
        <w:rPr>
          <w:rFonts w:asciiTheme="majorHAnsi" w:hAnsiTheme="majorHAnsi" w:cstheme="majorHAnsi"/>
        </w:rPr>
        <w:t xml:space="preserve"> – Boas Práticas para Gestão Inovadora</w:t>
      </w:r>
    </w:p>
    <w:tbl>
      <w:tblPr>
        <w:tblStyle w:val="Tabelacomgrade"/>
        <w:tblW w:w="10065" w:type="dxa"/>
        <w:tblInd w:w="-289" w:type="dxa"/>
        <w:tblLook w:val="04A0" w:firstRow="1" w:lastRow="0" w:firstColumn="1" w:lastColumn="0" w:noHBand="0" w:noVBand="1"/>
      </w:tblPr>
      <w:tblGrid>
        <w:gridCol w:w="10065"/>
      </w:tblGrid>
      <w:tr w:rsidR="005747F1" w:rsidRPr="00485F85" w14:paraId="4F1F6500" w14:textId="77777777" w:rsidTr="005747F1">
        <w:tc>
          <w:tcPr>
            <w:tcW w:w="10065" w:type="dxa"/>
            <w:hideMark/>
          </w:tcPr>
          <w:p w14:paraId="1BC4272B" w14:textId="77777777" w:rsidR="005747F1" w:rsidRPr="00485F85" w:rsidRDefault="005747F1" w:rsidP="00F861AE">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7476E3EA" w14:textId="77777777" w:rsidTr="005747F1">
        <w:tc>
          <w:tcPr>
            <w:tcW w:w="10065" w:type="dxa"/>
            <w:tcBorders>
              <w:top w:val="single" w:sz="4" w:space="0" w:color="auto"/>
              <w:left w:val="single" w:sz="4" w:space="0" w:color="auto"/>
              <w:bottom w:val="single" w:sz="4" w:space="0" w:color="auto"/>
              <w:right w:val="single" w:sz="4" w:space="0" w:color="auto"/>
            </w:tcBorders>
          </w:tcPr>
          <w:p w14:paraId="40950569"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xml:space="preserve">- Oxford oferece indícios de que a quantidade de alunos por professores/administrativos(staff) é suficiente para tutoriar e atender outras demandas dos estudantes de pós ou graduação. A pesquisa indicou (a partir de dados da HESA e do site Times Higher Education) os seguintes parâmetros: </w:t>
            </w:r>
          </w:p>
          <w:p w14:paraId="2FFD50E2"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O número aqui explícito é a divisão entre a quantidade de discentes total (25.820) pela quantidade de docentes total (6.995*) *Dados da Hesa.2019/2020</w:t>
            </w:r>
          </w:p>
          <w:p w14:paraId="2414A95F"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3,69 (alunos)</w:t>
            </w:r>
          </w:p>
          <w:p w14:paraId="47B26EFD"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Outro valor foi extraído do site Times Higher Education*:  Nº de alunos por equipe 11,1 (alunos).</w:t>
            </w:r>
          </w:p>
          <w:p w14:paraId="2358B2B5"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Em ambas as opções nota-se um grupo muito pequeno de alunos por docente o que oportuniza uma didática mais personalizada e efetiva para os alunos.</w:t>
            </w:r>
          </w:p>
          <w:p w14:paraId="1CCC9895"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A partir da organização das informações e documentos encontrados, é possível perceber que a Universidade emprega colaboradores capazes de realizar as atividades inerentes aos cargos, elaborando políticas educativas e administrativas, bem como acompanhando e avaliando seus resultados.</w:t>
            </w:r>
          </w:p>
          <w:p w14:paraId="700642E6"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xml:space="preserve">- A Universidade mostrou esforços em sempre manter sua comunidade acadêmica bem informada sobre seu </w:t>
            </w:r>
            <w:r w:rsidRPr="00485F85">
              <w:rPr>
                <w:rFonts w:asciiTheme="majorHAnsi" w:hAnsiTheme="majorHAnsi" w:cstheme="majorHAnsi"/>
              </w:rPr>
              <w:lastRenderedPageBreak/>
              <w:t>funcionamento administrativo ou acadêmico e além do site recheado de informações consistentes também cria materiais específicos para cada necessidade de seu público a exemplo do que eles chamam de “folderes virtuais” com um guarda-chuva de informações bastante completo com foco nos alunos de graduação(</w:t>
            </w:r>
            <w:hyperlink r:id="rId30" w:history="1">
              <w:r w:rsidRPr="00485F85">
                <w:rPr>
                  <w:rStyle w:val="Hyperlink"/>
                  <w:rFonts w:asciiTheme="majorHAnsi" w:hAnsiTheme="majorHAnsi" w:cstheme="majorHAnsi"/>
                </w:rPr>
                <w:t>https://www.ox.ac.uk/digital-prospectus/ug-community/college</w:t>
              </w:r>
            </w:hyperlink>
            <w:r w:rsidRPr="00485F85">
              <w:rPr>
                <w:rFonts w:asciiTheme="majorHAnsi" w:hAnsiTheme="majorHAnsi" w:cstheme="majorHAnsi"/>
              </w:rPr>
              <w:t xml:space="preserve"> ) e pós-graduação (</w:t>
            </w:r>
            <w:hyperlink r:id="rId31" w:history="1">
              <w:r w:rsidRPr="00485F85">
                <w:rPr>
                  <w:rStyle w:val="Hyperlink"/>
                  <w:rFonts w:asciiTheme="majorHAnsi" w:hAnsiTheme="majorHAnsi" w:cstheme="majorHAnsi"/>
                </w:rPr>
                <w:t>https://www.ox.ac.uk/digital-prospectus/ug-community/college</w:t>
              </w:r>
            </w:hyperlink>
            <w:r w:rsidRPr="00485F85">
              <w:rPr>
                <w:rFonts w:asciiTheme="majorHAnsi" w:hAnsiTheme="majorHAnsi" w:cstheme="majorHAnsi"/>
              </w:rPr>
              <w:t xml:space="preserve">) . Os colaboradores, não ficam de fora. Eles também possuem um excelente manual de integração.( </w:t>
            </w:r>
            <w:hyperlink r:id="rId32" w:anchor="collapse1596901" w:history="1">
              <w:r w:rsidRPr="00485F85">
                <w:rPr>
                  <w:rStyle w:val="Hyperlink"/>
                  <w:rFonts w:asciiTheme="majorHAnsi" w:hAnsiTheme="majorHAnsi" w:cstheme="majorHAnsi"/>
                </w:rPr>
                <w:t>https://hr.admin.ox.ac.uk/introduction-support-staff-handbook#collapse1596901</w:t>
              </w:r>
            </w:hyperlink>
            <w:r w:rsidRPr="00485F85">
              <w:rPr>
                <w:rFonts w:asciiTheme="majorHAnsi" w:hAnsiTheme="majorHAnsi" w:cstheme="majorHAnsi"/>
              </w:rPr>
              <w:t xml:space="preserve">) </w:t>
            </w:r>
          </w:p>
          <w:p w14:paraId="3B41694A"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xml:space="preserve">- A Universidade demonstrou estar preocupada com a integração do aluno em seu processo de transição Escola/Universidade com o programa Opportunity Oxford.  O programa dá uma visão de como é a vida de um estudante de Oxford, quando os participantes chegam para iniciar seu curso de graduação, e assim, os calouros podem se sentir confiantes e saber exatamente o que se espera deles e o que esperar de Oxford. </w:t>
            </w:r>
            <w:hyperlink r:id="rId33" w:history="1">
              <w:r w:rsidRPr="00485F85">
                <w:rPr>
                  <w:rStyle w:val="Hyperlink"/>
                  <w:rFonts w:asciiTheme="majorHAnsi" w:hAnsiTheme="majorHAnsi" w:cstheme="majorHAnsi"/>
                </w:rPr>
                <w:t>https://www.ox.ac.uk/admissions/undergraduate/increasing-access/opportunity-oxford</w:t>
              </w:r>
            </w:hyperlink>
            <w:r w:rsidRPr="00485F85">
              <w:rPr>
                <w:rFonts w:asciiTheme="majorHAnsi" w:hAnsiTheme="majorHAnsi" w:cstheme="majorHAnsi"/>
              </w:rPr>
              <w:t xml:space="preserve"> </w:t>
            </w:r>
          </w:p>
          <w:p w14:paraId="57711FE9"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xml:space="preserve">- A Universidade demonstrou se preocupar com o bem-estar de seus alunos. Ela está empenhada em fornecer um ambiente seguro e de apoio para eles por meio de serviços como: Cuidados de saúde, Aconselhamento e apoio para deficientes, Serviço de aconselhamento universitário, Oxford Nightline (é um serviço de escuta, informação e apoio independente e confidencial, administrado por estudantes para estudantes), Apoio à violência e assédio sexual, Apoiadores de pares estudantis e o Serviço de aconselhamento ao estudante Oxford SU. </w:t>
            </w:r>
          </w:p>
          <w:p w14:paraId="29E21A4B" w14:textId="77777777" w:rsidR="005747F1" w:rsidRPr="00485F85" w:rsidRDefault="005747F1" w:rsidP="00F861AE">
            <w:pPr>
              <w:tabs>
                <w:tab w:val="clear" w:pos="1615"/>
              </w:tabs>
              <w:spacing w:after="160" w:line="259" w:lineRule="auto"/>
              <w:rPr>
                <w:rFonts w:asciiTheme="majorHAnsi" w:hAnsiTheme="majorHAnsi" w:cstheme="majorHAnsi"/>
              </w:rPr>
            </w:pPr>
            <w:r w:rsidRPr="00485F85">
              <w:rPr>
                <w:rFonts w:asciiTheme="majorHAnsi" w:hAnsiTheme="majorHAnsi" w:cstheme="majorHAnsi"/>
              </w:rPr>
              <w:t>- Políticas de desenvolvimento de carreira e diversas outras são informadas e estão muito bem-organizadas num site totalmente dedicado aos colaboradores.</w:t>
            </w:r>
          </w:p>
          <w:p w14:paraId="62177142" w14:textId="77777777" w:rsidR="005747F1" w:rsidRPr="00485F85" w:rsidRDefault="00A515B3" w:rsidP="00F861AE">
            <w:pPr>
              <w:tabs>
                <w:tab w:val="clear" w:pos="1615"/>
              </w:tabs>
              <w:spacing w:after="160" w:line="259" w:lineRule="auto"/>
              <w:rPr>
                <w:rFonts w:asciiTheme="majorHAnsi" w:hAnsiTheme="majorHAnsi" w:cstheme="majorHAnsi"/>
                <w:u w:val="single"/>
              </w:rPr>
            </w:pPr>
            <w:hyperlink r:id="rId34" w:anchor="/" w:history="1">
              <w:r w:rsidR="005747F1" w:rsidRPr="00485F85">
                <w:rPr>
                  <w:rStyle w:val="Hyperlink"/>
                  <w:rFonts w:asciiTheme="majorHAnsi" w:hAnsiTheme="majorHAnsi" w:cstheme="majorHAnsi"/>
                </w:rPr>
                <w:t>https://hr.admin.ox.ac.uk/#/</w:t>
              </w:r>
            </w:hyperlink>
            <w:r w:rsidR="005747F1" w:rsidRPr="00485F85">
              <w:rPr>
                <w:rFonts w:asciiTheme="majorHAnsi" w:hAnsiTheme="majorHAnsi" w:cstheme="majorHAnsi"/>
                <w:u w:val="single"/>
              </w:rPr>
              <w:t xml:space="preserve"> </w:t>
            </w:r>
          </w:p>
          <w:p w14:paraId="3860CBCA" w14:textId="77777777" w:rsidR="005747F1" w:rsidRPr="00485F85" w:rsidRDefault="00A515B3" w:rsidP="00F861AE">
            <w:pPr>
              <w:tabs>
                <w:tab w:val="clear" w:pos="1615"/>
              </w:tabs>
              <w:spacing w:after="160" w:line="259" w:lineRule="auto"/>
              <w:rPr>
                <w:rFonts w:asciiTheme="majorHAnsi" w:hAnsiTheme="majorHAnsi" w:cstheme="majorHAnsi"/>
              </w:rPr>
            </w:pPr>
            <w:hyperlink r:id="rId35" w:history="1">
              <w:r w:rsidR="005747F1" w:rsidRPr="00485F85">
                <w:rPr>
                  <w:rStyle w:val="Hyperlink"/>
                  <w:rFonts w:asciiTheme="majorHAnsi" w:hAnsiTheme="majorHAnsi" w:cstheme="majorHAnsi"/>
                </w:rPr>
                <w:t>https://finance.admin.ox.ac.uk/payroll-information-for-staff</w:t>
              </w:r>
            </w:hyperlink>
            <w:r w:rsidR="005747F1" w:rsidRPr="00485F85">
              <w:rPr>
                <w:rFonts w:asciiTheme="majorHAnsi" w:hAnsiTheme="majorHAnsi" w:cstheme="majorHAnsi"/>
              </w:rPr>
              <w:t xml:space="preserve"> </w:t>
            </w:r>
          </w:p>
        </w:tc>
      </w:tr>
    </w:tbl>
    <w:p w14:paraId="58A37AAB"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31B06D0C" w14:textId="0C6EEAD1" w:rsidR="0058079B" w:rsidRPr="00485F85" w:rsidRDefault="0058079B">
      <w:pPr>
        <w:tabs>
          <w:tab w:val="clear" w:pos="1615"/>
        </w:tabs>
        <w:spacing w:line="259" w:lineRule="auto"/>
        <w:rPr>
          <w:rFonts w:asciiTheme="majorHAnsi" w:hAnsiTheme="majorHAnsi" w:cstheme="majorHAnsi"/>
          <w:b/>
          <w:bCs/>
        </w:rPr>
      </w:pPr>
    </w:p>
    <w:p w14:paraId="16330216" w14:textId="3DE3B546" w:rsidR="00F861AE" w:rsidRPr="00485F85" w:rsidRDefault="00F861AE">
      <w:pPr>
        <w:tabs>
          <w:tab w:val="clear" w:pos="1615"/>
        </w:tabs>
        <w:spacing w:line="259" w:lineRule="auto"/>
        <w:rPr>
          <w:rFonts w:asciiTheme="majorHAnsi" w:hAnsiTheme="majorHAnsi" w:cstheme="majorHAnsi"/>
          <w:b/>
          <w:bCs/>
        </w:rPr>
      </w:pPr>
    </w:p>
    <w:p w14:paraId="63AE0982" w14:textId="77777777" w:rsidR="00F861AE" w:rsidRPr="00485F85" w:rsidRDefault="00F861AE">
      <w:pPr>
        <w:tabs>
          <w:tab w:val="clear" w:pos="1615"/>
        </w:tabs>
        <w:spacing w:line="259" w:lineRule="auto"/>
        <w:rPr>
          <w:rFonts w:asciiTheme="majorHAnsi" w:hAnsiTheme="majorHAnsi" w:cstheme="majorHAnsi"/>
          <w:b/>
          <w:bCs/>
        </w:rPr>
      </w:pPr>
    </w:p>
    <w:p w14:paraId="7C42E5DC" w14:textId="77777777" w:rsidR="005747F1" w:rsidRPr="00485F85" w:rsidRDefault="005747F1">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46878DB4" w14:textId="56EFBE19" w:rsidR="0058079B" w:rsidRPr="00485F85" w:rsidRDefault="00A206D5" w:rsidP="00A206D5">
      <w:pPr>
        <w:pStyle w:val="Ttulo3"/>
        <w:ind w:left="1276"/>
        <w:rPr>
          <w:rFonts w:asciiTheme="majorHAnsi" w:hAnsiTheme="majorHAnsi" w:cstheme="majorHAnsi"/>
        </w:rPr>
      </w:pPr>
      <w:bookmarkStart w:id="36" w:name="_Toc82101324"/>
      <w:r w:rsidRPr="00485F85">
        <w:rPr>
          <w:rFonts w:asciiTheme="majorHAnsi" w:hAnsiTheme="majorHAnsi" w:cstheme="majorHAnsi"/>
        </w:rPr>
        <w:lastRenderedPageBreak/>
        <w:t>DIMENSÃO 4. ENSINO</w:t>
      </w:r>
      <w:bookmarkEnd w:id="36"/>
    </w:p>
    <w:p w14:paraId="2D0F7CB1" w14:textId="606E5F38" w:rsidR="0033110C" w:rsidRPr="00485F85" w:rsidRDefault="0033110C">
      <w:pPr>
        <w:tabs>
          <w:tab w:val="clear" w:pos="1615"/>
        </w:tabs>
        <w:spacing w:line="259" w:lineRule="auto"/>
        <w:rPr>
          <w:rFonts w:asciiTheme="majorHAnsi" w:hAnsiTheme="majorHAnsi" w:cstheme="majorHAnsi"/>
          <w:b/>
          <w:bCs/>
        </w:rPr>
      </w:pPr>
    </w:p>
    <w:p w14:paraId="0547D3EB" w14:textId="204C9D54" w:rsidR="00CB0413" w:rsidRPr="00485F85" w:rsidRDefault="00AA6586">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363C5876" wp14:editId="1A064E54">
            <wp:extent cx="6120130" cy="4602480"/>
            <wp:effectExtent l="0" t="0" r="0" b="762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602480"/>
                    </a:xfrm>
                    <a:prstGeom prst="rect">
                      <a:avLst/>
                    </a:prstGeom>
                  </pic:spPr>
                </pic:pic>
              </a:graphicData>
            </a:graphic>
          </wp:inline>
        </w:drawing>
      </w:r>
    </w:p>
    <w:p w14:paraId="4842D51C" w14:textId="46F67D6C" w:rsidR="007B2CA8" w:rsidRPr="00485F85" w:rsidRDefault="007B2CA8">
      <w:pPr>
        <w:tabs>
          <w:tab w:val="clear" w:pos="1615"/>
        </w:tabs>
        <w:spacing w:line="259" w:lineRule="auto"/>
        <w:rPr>
          <w:rFonts w:asciiTheme="majorHAnsi" w:hAnsiTheme="majorHAnsi" w:cstheme="majorHAnsi"/>
          <w:b/>
          <w:bCs/>
        </w:rPr>
      </w:pPr>
    </w:p>
    <w:p w14:paraId="6AB3F9CF"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9 – Boas práticas Dimensão 4. Ensino</w:t>
      </w:r>
    </w:p>
    <w:p w14:paraId="79366170" w14:textId="5A15758A"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044B19FC" w14:textId="77777777" w:rsidR="003A735A" w:rsidRPr="00485F85" w:rsidRDefault="003A735A" w:rsidP="007B2CA8">
      <w:pPr>
        <w:tabs>
          <w:tab w:val="clear" w:pos="1615"/>
        </w:tabs>
        <w:spacing w:after="0"/>
        <w:rPr>
          <w:rFonts w:asciiTheme="majorHAnsi" w:hAnsiTheme="majorHAnsi" w:cstheme="majorHAnsi"/>
        </w:rPr>
      </w:pPr>
    </w:p>
    <w:p w14:paraId="726E308D" w14:textId="08497435" w:rsidR="003A735A" w:rsidRPr="00485F85" w:rsidRDefault="003A735A" w:rsidP="007B2CA8">
      <w:pPr>
        <w:tabs>
          <w:tab w:val="clear" w:pos="1615"/>
        </w:tabs>
        <w:spacing w:after="0"/>
        <w:rPr>
          <w:rFonts w:asciiTheme="majorHAnsi" w:hAnsiTheme="majorHAnsi" w:cstheme="majorHAnsi"/>
        </w:rPr>
      </w:pPr>
    </w:p>
    <w:p w14:paraId="4A05C2F8" w14:textId="6FB46119"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16</w:t>
      </w:r>
      <w:r w:rsidRPr="00485F85">
        <w:rPr>
          <w:rFonts w:asciiTheme="majorHAnsi" w:hAnsiTheme="majorHAnsi" w:cstheme="majorHAnsi"/>
        </w:rPr>
        <w:t xml:space="preserve"> – Dimensão </w:t>
      </w:r>
      <w:r w:rsidR="00E72FE1" w:rsidRPr="00485F85">
        <w:rPr>
          <w:rFonts w:asciiTheme="majorHAnsi" w:hAnsiTheme="majorHAnsi" w:cstheme="majorHAnsi"/>
        </w:rPr>
        <w:t>4</w:t>
      </w:r>
      <w:r w:rsidRPr="00485F85">
        <w:rPr>
          <w:rFonts w:asciiTheme="majorHAnsi" w:hAnsiTheme="majorHAnsi" w:cstheme="majorHAnsi"/>
        </w:rPr>
        <w:t xml:space="preserve"> – Boas Práticas para Gestão Inovadora</w:t>
      </w:r>
    </w:p>
    <w:tbl>
      <w:tblPr>
        <w:tblStyle w:val="Tabelacomgrade"/>
        <w:tblW w:w="9917" w:type="dxa"/>
        <w:tblInd w:w="-289" w:type="dxa"/>
        <w:tblLook w:val="04A0" w:firstRow="1" w:lastRow="0" w:firstColumn="1" w:lastColumn="0" w:noHBand="0" w:noVBand="1"/>
      </w:tblPr>
      <w:tblGrid>
        <w:gridCol w:w="10143"/>
      </w:tblGrid>
      <w:tr w:rsidR="005747F1" w:rsidRPr="00485F85" w14:paraId="35F4D03B" w14:textId="77777777" w:rsidTr="00904F9B">
        <w:tc>
          <w:tcPr>
            <w:tcW w:w="9917" w:type="dxa"/>
            <w:hideMark/>
          </w:tcPr>
          <w:p w14:paraId="7F032023" w14:textId="77777777" w:rsidR="005747F1" w:rsidRPr="00485F85" w:rsidRDefault="005747F1" w:rsidP="00363248">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27FCB3F7" w14:textId="77777777" w:rsidTr="00904F9B">
        <w:tc>
          <w:tcPr>
            <w:tcW w:w="9917" w:type="dxa"/>
            <w:tcBorders>
              <w:top w:val="single" w:sz="4" w:space="0" w:color="auto"/>
              <w:left w:val="single" w:sz="4" w:space="0" w:color="auto"/>
              <w:bottom w:val="single" w:sz="4" w:space="0" w:color="auto"/>
              <w:right w:val="single" w:sz="4" w:space="0" w:color="auto"/>
            </w:tcBorders>
          </w:tcPr>
          <w:p w14:paraId="68BA4440" w14:textId="2864A06C" w:rsidR="005747F1" w:rsidRPr="00485F85" w:rsidRDefault="005747F1" w:rsidP="001E7500">
            <w:pPr>
              <w:jc w:val="both"/>
              <w:rPr>
                <w:rFonts w:asciiTheme="majorHAnsi" w:hAnsiTheme="majorHAnsi" w:cstheme="majorHAnsi"/>
              </w:rPr>
            </w:pPr>
          </w:p>
          <w:p w14:paraId="376B0855" w14:textId="569871A3" w:rsidR="00AB55A7" w:rsidRPr="00485F85" w:rsidRDefault="00171D52" w:rsidP="001E7500">
            <w:pPr>
              <w:jc w:val="both"/>
              <w:rPr>
                <w:rFonts w:asciiTheme="majorHAnsi" w:hAnsiTheme="majorHAnsi" w:cstheme="majorHAnsi"/>
              </w:rPr>
            </w:pPr>
            <w:r w:rsidRPr="00485F85">
              <w:rPr>
                <w:rFonts w:asciiTheme="majorHAnsi" w:hAnsiTheme="majorHAnsi" w:cstheme="majorHAnsi"/>
              </w:rPr>
              <w:t>Financiamentos (bolsas com concorrência automática, taxas diferenciadas) para cursos de graduação e pós-graduação. (incluindo perspectivas de moradia.</w:t>
            </w:r>
          </w:p>
          <w:p w14:paraId="1F94F238" w14:textId="48F82A79" w:rsidR="00171D52" w:rsidRPr="00485F85" w:rsidRDefault="00A515B3" w:rsidP="001E7500">
            <w:pPr>
              <w:jc w:val="both"/>
              <w:rPr>
                <w:rFonts w:asciiTheme="majorHAnsi" w:hAnsiTheme="majorHAnsi" w:cstheme="majorHAnsi"/>
              </w:rPr>
            </w:pPr>
            <w:hyperlink r:id="rId37" w:history="1">
              <w:r w:rsidR="00171D52" w:rsidRPr="00485F85">
                <w:rPr>
                  <w:rStyle w:val="Hyperlink"/>
                  <w:rFonts w:asciiTheme="majorHAnsi" w:hAnsiTheme="majorHAnsi" w:cstheme="majorHAnsi"/>
                </w:rPr>
                <w:t>https://www.ox.ac.uk/admissions/undergraduate/fees-and-funding</w:t>
              </w:r>
            </w:hyperlink>
            <w:r w:rsidR="00171D52" w:rsidRPr="00485F85">
              <w:rPr>
                <w:rFonts w:asciiTheme="majorHAnsi" w:hAnsiTheme="majorHAnsi" w:cstheme="majorHAnsi"/>
              </w:rPr>
              <w:t xml:space="preserve"> </w:t>
            </w:r>
          </w:p>
          <w:p w14:paraId="7382401E" w14:textId="66E2A8C5" w:rsidR="00171D52" w:rsidRPr="00485F85" w:rsidRDefault="00171D52" w:rsidP="001E7500">
            <w:pPr>
              <w:jc w:val="both"/>
              <w:rPr>
                <w:rFonts w:asciiTheme="majorHAnsi" w:hAnsiTheme="majorHAnsi" w:cstheme="majorHAnsi"/>
              </w:rPr>
            </w:pPr>
          </w:p>
          <w:p w14:paraId="207180BC" w14:textId="021C78E5" w:rsidR="00171D52" w:rsidRPr="00485F85" w:rsidRDefault="00A515B3" w:rsidP="001E7500">
            <w:pPr>
              <w:jc w:val="both"/>
              <w:rPr>
                <w:rFonts w:asciiTheme="majorHAnsi" w:hAnsiTheme="majorHAnsi" w:cstheme="majorHAnsi"/>
              </w:rPr>
            </w:pPr>
            <w:hyperlink r:id="rId38" w:history="1">
              <w:r w:rsidR="00171D52" w:rsidRPr="00485F85">
                <w:rPr>
                  <w:rStyle w:val="Hyperlink"/>
                  <w:rFonts w:asciiTheme="majorHAnsi" w:hAnsiTheme="majorHAnsi" w:cstheme="majorHAnsi"/>
                </w:rPr>
                <w:t>https://www.ox.ac.uk/admissions/graduate/fees-and-funding</w:t>
              </w:r>
            </w:hyperlink>
            <w:r w:rsidR="00171D52" w:rsidRPr="00485F85">
              <w:rPr>
                <w:rFonts w:asciiTheme="majorHAnsi" w:hAnsiTheme="majorHAnsi" w:cstheme="majorHAnsi"/>
              </w:rPr>
              <w:t xml:space="preserve"> </w:t>
            </w:r>
          </w:p>
          <w:p w14:paraId="3C451193" w14:textId="77777777" w:rsidR="00AB55A7" w:rsidRPr="00485F85" w:rsidRDefault="00AB55A7" w:rsidP="001E7500">
            <w:pPr>
              <w:jc w:val="both"/>
              <w:rPr>
                <w:rFonts w:asciiTheme="majorHAnsi" w:hAnsiTheme="majorHAnsi" w:cstheme="majorHAnsi"/>
              </w:rPr>
            </w:pPr>
          </w:p>
          <w:p w14:paraId="2863C538"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xml:space="preserve">- A Universidade demonstrou realizar um serviço de acompanhamento de seus egressos e em conjunto com a HESA recolhe dados para monitorar a mobilidade e empregabilidade de seus ex-alunos. </w:t>
            </w:r>
            <w:hyperlink r:id="rId39" w:history="1">
              <w:r w:rsidRPr="00485F85">
                <w:rPr>
                  <w:rStyle w:val="Hyperlink"/>
                  <w:rFonts w:asciiTheme="majorHAnsi" w:hAnsiTheme="majorHAnsi" w:cstheme="majorHAnsi"/>
                </w:rPr>
                <w:t>https://www.careers.ox.ac.uk/the-graduate-outcomes-survey</w:t>
              </w:r>
            </w:hyperlink>
            <w:r w:rsidRPr="00485F85">
              <w:rPr>
                <w:rFonts w:asciiTheme="majorHAnsi" w:hAnsiTheme="majorHAnsi" w:cstheme="majorHAnsi"/>
              </w:rPr>
              <w:t xml:space="preserve"> </w:t>
            </w:r>
          </w:p>
          <w:p w14:paraId="1691B449" w14:textId="77777777" w:rsidR="005747F1" w:rsidRPr="00485F85" w:rsidRDefault="005747F1" w:rsidP="001E7500">
            <w:pPr>
              <w:jc w:val="both"/>
              <w:rPr>
                <w:rFonts w:asciiTheme="majorHAnsi" w:hAnsiTheme="majorHAnsi" w:cstheme="majorHAnsi"/>
              </w:rPr>
            </w:pPr>
          </w:p>
          <w:p w14:paraId="6EBE1E2C" w14:textId="77777777" w:rsidR="005747F1" w:rsidRPr="00485F85" w:rsidRDefault="00A515B3" w:rsidP="001E7500">
            <w:pPr>
              <w:jc w:val="both"/>
              <w:rPr>
                <w:rFonts w:asciiTheme="majorHAnsi" w:hAnsiTheme="majorHAnsi" w:cstheme="majorHAnsi"/>
              </w:rPr>
            </w:pPr>
            <w:hyperlink r:id="rId40" w:history="1">
              <w:r w:rsidR="005747F1" w:rsidRPr="00485F85">
                <w:rPr>
                  <w:rStyle w:val="Hyperlink"/>
                  <w:rFonts w:asciiTheme="majorHAnsi" w:hAnsiTheme="majorHAnsi" w:cstheme="majorHAnsi"/>
                </w:rPr>
                <w:t>https://public.tableau.com/views/UniversityofOxford-DLHESurvey/SectorsandRoles?%3Aembed=y&amp;%3Adisplay_count=yes&amp;%3AshowTabs=y&amp;%3AshowVizHome=no</w:t>
              </w:r>
            </w:hyperlink>
          </w:p>
          <w:p w14:paraId="0E986D08" w14:textId="77777777" w:rsidR="005747F1" w:rsidRPr="00485F85" w:rsidRDefault="005747F1" w:rsidP="001E7500">
            <w:pPr>
              <w:jc w:val="both"/>
              <w:rPr>
                <w:rFonts w:asciiTheme="majorHAnsi" w:hAnsiTheme="majorHAnsi" w:cstheme="majorHAnsi"/>
              </w:rPr>
            </w:pPr>
          </w:p>
          <w:p w14:paraId="089B86E1"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A Universidade oportuniza a prática por meio do escritório de estágios que possui diversos modelos de oportunidades para enriquecer a experiência do aluno.</w:t>
            </w:r>
          </w:p>
          <w:p w14:paraId="51921757" w14:textId="77777777" w:rsidR="005747F1" w:rsidRPr="00485F85" w:rsidRDefault="00A515B3" w:rsidP="001E7500">
            <w:pPr>
              <w:jc w:val="both"/>
              <w:rPr>
                <w:rFonts w:asciiTheme="majorHAnsi" w:hAnsiTheme="majorHAnsi" w:cstheme="majorHAnsi"/>
              </w:rPr>
            </w:pPr>
            <w:hyperlink r:id="rId41" w:history="1">
              <w:r w:rsidR="005747F1" w:rsidRPr="00485F85">
                <w:rPr>
                  <w:rStyle w:val="Hyperlink"/>
                  <w:rFonts w:asciiTheme="majorHAnsi" w:hAnsiTheme="majorHAnsi" w:cstheme="majorHAnsi"/>
                </w:rPr>
                <w:t>https://www.careers.ox.ac.uk/about-the-internship-office</w:t>
              </w:r>
            </w:hyperlink>
            <w:r w:rsidR="005747F1" w:rsidRPr="00485F85">
              <w:rPr>
                <w:rFonts w:asciiTheme="majorHAnsi" w:hAnsiTheme="majorHAnsi" w:cstheme="majorHAnsi"/>
              </w:rPr>
              <w:t xml:space="preserve"> </w:t>
            </w:r>
          </w:p>
          <w:p w14:paraId="6C9647E2" w14:textId="77777777" w:rsidR="005747F1" w:rsidRPr="00485F85" w:rsidRDefault="005747F1" w:rsidP="001E7500">
            <w:pPr>
              <w:jc w:val="both"/>
              <w:rPr>
                <w:rFonts w:asciiTheme="majorHAnsi" w:hAnsiTheme="majorHAnsi" w:cstheme="majorHAnsi"/>
              </w:rPr>
            </w:pPr>
          </w:p>
          <w:p w14:paraId="5C509CCA"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xml:space="preserve">- O modelo inovador de ensino aprendizagem privilegia práticas ativas que desenvolvem habilidades como disciplina, curiosidade e diálogo entre alunos e professores. </w:t>
            </w:r>
            <w:hyperlink r:id="rId42" w:history="1">
              <w:r w:rsidRPr="00485F85">
                <w:rPr>
                  <w:rStyle w:val="Hyperlink"/>
                  <w:rFonts w:asciiTheme="majorHAnsi" w:hAnsiTheme="majorHAnsi" w:cstheme="majorHAnsi"/>
                </w:rPr>
                <w:t>https://www.ox.ac.uk/admissions/undergraduate/student-life/exceptional-education/personalised-learning</w:t>
              </w:r>
            </w:hyperlink>
          </w:p>
          <w:p w14:paraId="1B9BDC9C" w14:textId="77777777" w:rsidR="005747F1" w:rsidRPr="00485F85" w:rsidRDefault="005747F1" w:rsidP="001E7500">
            <w:pPr>
              <w:jc w:val="both"/>
              <w:rPr>
                <w:rFonts w:asciiTheme="majorHAnsi" w:hAnsiTheme="majorHAnsi" w:cstheme="majorHAnsi"/>
              </w:rPr>
            </w:pPr>
          </w:p>
          <w:p w14:paraId="456AFD60" w14:textId="77777777" w:rsidR="005747F1" w:rsidRPr="00485F85" w:rsidRDefault="005747F1" w:rsidP="001E7500">
            <w:pPr>
              <w:jc w:val="both"/>
              <w:rPr>
                <w:rFonts w:asciiTheme="majorHAnsi" w:hAnsiTheme="majorHAnsi" w:cstheme="majorHAnsi"/>
              </w:rPr>
            </w:pPr>
          </w:p>
          <w:p w14:paraId="34872843"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A Universidade possui ambientes de ensino aprendizagem virtuais modernos que contemplam desde grandes bases de dados até plataformas de estudo e interação virtuais, e-mails institucionais etc com materiais para download e diversas outras ferramentas</w:t>
            </w:r>
          </w:p>
          <w:p w14:paraId="40206AC1" w14:textId="77777777" w:rsidR="005747F1" w:rsidRPr="00485F85" w:rsidRDefault="00A515B3" w:rsidP="001E7500">
            <w:pPr>
              <w:jc w:val="both"/>
              <w:rPr>
                <w:rFonts w:asciiTheme="majorHAnsi" w:hAnsiTheme="majorHAnsi" w:cstheme="majorHAnsi"/>
              </w:rPr>
            </w:pPr>
            <w:hyperlink r:id="rId43" w:history="1">
              <w:r w:rsidR="005747F1" w:rsidRPr="00485F85">
                <w:rPr>
                  <w:rStyle w:val="Hyperlink"/>
                  <w:rFonts w:asciiTheme="majorHAnsi" w:hAnsiTheme="majorHAnsi" w:cstheme="majorHAnsi"/>
                </w:rPr>
                <w:t>https://academic.oup.com/journals/pages/journals_a_to_z</w:t>
              </w:r>
            </w:hyperlink>
            <w:r w:rsidR="005747F1" w:rsidRPr="00485F85">
              <w:rPr>
                <w:rFonts w:asciiTheme="majorHAnsi" w:hAnsiTheme="majorHAnsi" w:cstheme="majorHAnsi"/>
              </w:rPr>
              <w:t xml:space="preserve"> </w:t>
            </w:r>
          </w:p>
          <w:p w14:paraId="36AC54D7"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xml:space="preserve"> </w:t>
            </w:r>
          </w:p>
          <w:p w14:paraId="0C3F9712" w14:textId="77777777" w:rsidR="005747F1" w:rsidRPr="00485F85" w:rsidRDefault="00A515B3" w:rsidP="001E7500">
            <w:pPr>
              <w:jc w:val="both"/>
              <w:rPr>
                <w:rFonts w:asciiTheme="majorHAnsi" w:hAnsiTheme="majorHAnsi" w:cstheme="majorHAnsi"/>
              </w:rPr>
            </w:pPr>
            <w:hyperlink r:id="rId44" w:history="1">
              <w:r w:rsidR="005747F1" w:rsidRPr="00485F85">
                <w:rPr>
                  <w:rStyle w:val="Hyperlink"/>
                  <w:rFonts w:asciiTheme="majorHAnsi" w:hAnsiTheme="majorHAnsi" w:cstheme="majorHAnsi"/>
                </w:rPr>
                <w:t>https://weblearn.ox.ac.uk/portal</w:t>
              </w:r>
            </w:hyperlink>
            <w:r w:rsidR="005747F1" w:rsidRPr="00485F85">
              <w:rPr>
                <w:rFonts w:asciiTheme="majorHAnsi" w:hAnsiTheme="majorHAnsi" w:cstheme="majorHAnsi"/>
              </w:rPr>
              <w:t xml:space="preserve"> </w:t>
            </w:r>
          </w:p>
          <w:p w14:paraId="7E9354A4" w14:textId="77777777" w:rsidR="005747F1" w:rsidRPr="00485F85" w:rsidRDefault="005747F1" w:rsidP="001E7500">
            <w:pPr>
              <w:jc w:val="both"/>
              <w:rPr>
                <w:rFonts w:asciiTheme="majorHAnsi" w:hAnsiTheme="majorHAnsi" w:cstheme="majorHAnsi"/>
              </w:rPr>
            </w:pPr>
          </w:p>
          <w:p w14:paraId="7523263D"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xml:space="preserve">- As propostas com foco em Educação são simples e consistentes e possuem uma dimensão específica no Planejamento Estratégico da Instituição. O plano de acesso a participação também contempla essa esfera e pode ser considerado uma boa prática. </w:t>
            </w:r>
          </w:p>
          <w:p w14:paraId="607EEC5E"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xml:space="preserve"> </w:t>
            </w:r>
          </w:p>
          <w:p w14:paraId="003EB5E2"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Planejamento Estratégico para educação</w:t>
            </w:r>
          </w:p>
          <w:p w14:paraId="00D44984" w14:textId="77777777" w:rsidR="005747F1" w:rsidRPr="00485F85" w:rsidRDefault="00A515B3" w:rsidP="001E7500">
            <w:pPr>
              <w:jc w:val="both"/>
              <w:rPr>
                <w:rFonts w:asciiTheme="majorHAnsi" w:hAnsiTheme="majorHAnsi" w:cstheme="majorHAnsi"/>
              </w:rPr>
            </w:pPr>
            <w:hyperlink r:id="rId45" w:history="1">
              <w:r w:rsidR="005747F1" w:rsidRPr="00485F85">
                <w:rPr>
                  <w:rStyle w:val="Hyperlink"/>
                  <w:rFonts w:asciiTheme="majorHAnsi" w:hAnsiTheme="majorHAnsi" w:cstheme="majorHAnsi"/>
                </w:rPr>
                <w:t>https://www.ox.ac.uk/about/organisation/strategic-plan-2018-23/education</w:t>
              </w:r>
            </w:hyperlink>
            <w:r w:rsidR="005747F1" w:rsidRPr="00485F85">
              <w:rPr>
                <w:rFonts w:asciiTheme="majorHAnsi" w:hAnsiTheme="majorHAnsi" w:cstheme="majorHAnsi"/>
              </w:rPr>
              <w:t xml:space="preserve">  </w:t>
            </w:r>
          </w:p>
          <w:p w14:paraId="6B14F916" w14:textId="77777777" w:rsidR="005747F1" w:rsidRPr="00485F85" w:rsidRDefault="005747F1" w:rsidP="001E7500">
            <w:pPr>
              <w:jc w:val="both"/>
              <w:rPr>
                <w:rFonts w:asciiTheme="majorHAnsi" w:hAnsiTheme="majorHAnsi" w:cstheme="majorHAnsi"/>
              </w:rPr>
            </w:pPr>
          </w:p>
          <w:p w14:paraId="1EA4A8AF"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Plano de Acesso e Participação</w:t>
            </w:r>
          </w:p>
          <w:p w14:paraId="2DE7F8CC" w14:textId="77777777" w:rsidR="005747F1" w:rsidRPr="00485F85" w:rsidRDefault="00A515B3" w:rsidP="001E7500">
            <w:pPr>
              <w:jc w:val="both"/>
              <w:rPr>
                <w:rFonts w:asciiTheme="majorHAnsi" w:hAnsiTheme="majorHAnsi" w:cstheme="majorHAnsi"/>
              </w:rPr>
            </w:pPr>
            <w:hyperlink r:id="rId46" w:history="1">
              <w:r w:rsidR="005747F1" w:rsidRPr="00485F85">
                <w:rPr>
                  <w:rStyle w:val="Hyperlink"/>
                  <w:rFonts w:asciiTheme="majorHAnsi" w:hAnsiTheme="majorHAnsi" w:cstheme="majorHAnsi"/>
                </w:rPr>
                <w:t>https://www.ox.ac.uk/sites/files/oxford/UniversityOfOxford_APP_2020-21.pdf</w:t>
              </w:r>
            </w:hyperlink>
            <w:r w:rsidR="005747F1" w:rsidRPr="00485F85">
              <w:rPr>
                <w:rFonts w:asciiTheme="majorHAnsi" w:hAnsiTheme="majorHAnsi" w:cstheme="majorHAnsi"/>
              </w:rPr>
              <w:t xml:space="preserve"> </w:t>
            </w:r>
          </w:p>
          <w:p w14:paraId="37407EEE" w14:textId="77777777" w:rsidR="005747F1" w:rsidRPr="00485F85" w:rsidRDefault="005747F1" w:rsidP="001E7500">
            <w:pPr>
              <w:jc w:val="both"/>
              <w:rPr>
                <w:rFonts w:asciiTheme="majorHAnsi" w:hAnsiTheme="majorHAnsi" w:cstheme="majorHAnsi"/>
              </w:rPr>
            </w:pPr>
          </w:p>
          <w:p w14:paraId="40523B9D" w14:textId="77777777" w:rsidR="005747F1" w:rsidRPr="00485F85" w:rsidRDefault="005747F1" w:rsidP="001E7500">
            <w:pPr>
              <w:jc w:val="both"/>
              <w:rPr>
                <w:rFonts w:asciiTheme="majorHAnsi" w:hAnsiTheme="majorHAnsi" w:cstheme="majorHAnsi"/>
              </w:rPr>
            </w:pPr>
            <w:r w:rsidRPr="00485F85">
              <w:rPr>
                <w:rFonts w:asciiTheme="majorHAnsi" w:hAnsiTheme="majorHAnsi" w:cstheme="majorHAnsi"/>
              </w:rPr>
              <w:t>- O Departamento de Bioquímica contrata Indivíduos para fornecer apoio de ensino temporário (normalmente na forma de uma série ad hoc de palestras, aulas ou seminários, mas também podem incluir demonstração ad hoc ou vigilância) por períodos de menos de 1 ano. Trata-se da modalidade de ensino casual, remunerada e organizada pelo RH.</w:t>
            </w:r>
          </w:p>
          <w:p w14:paraId="2DC5D6FE" w14:textId="77777777" w:rsidR="005747F1" w:rsidRPr="00485F85" w:rsidRDefault="00A515B3" w:rsidP="001E7500">
            <w:pPr>
              <w:jc w:val="both"/>
              <w:rPr>
                <w:rFonts w:asciiTheme="majorHAnsi" w:hAnsiTheme="majorHAnsi" w:cstheme="majorHAnsi"/>
              </w:rPr>
            </w:pPr>
            <w:hyperlink r:id="rId47" w:history="1">
              <w:r w:rsidR="005747F1" w:rsidRPr="00485F85">
                <w:rPr>
                  <w:rStyle w:val="Hyperlink"/>
                  <w:rFonts w:asciiTheme="majorHAnsi" w:hAnsiTheme="majorHAnsi" w:cstheme="majorHAnsi"/>
                </w:rPr>
                <w:t>https://www.bioch.ox.ac.uk/casual-teaching</w:t>
              </w:r>
            </w:hyperlink>
            <w:r w:rsidR="005747F1" w:rsidRPr="00485F85">
              <w:rPr>
                <w:rFonts w:asciiTheme="majorHAnsi" w:hAnsiTheme="majorHAnsi" w:cstheme="majorHAnsi"/>
              </w:rPr>
              <w:t xml:space="preserve"> </w:t>
            </w:r>
          </w:p>
          <w:p w14:paraId="7077336C" w14:textId="1D5222FD" w:rsidR="005747F1" w:rsidRPr="00485F85" w:rsidRDefault="005747F1" w:rsidP="001E7500">
            <w:pPr>
              <w:tabs>
                <w:tab w:val="clear" w:pos="1615"/>
              </w:tabs>
              <w:spacing w:after="160" w:line="259" w:lineRule="auto"/>
              <w:rPr>
                <w:rFonts w:asciiTheme="majorHAnsi" w:hAnsiTheme="majorHAnsi" w:cstheme="majorHAnsi"/>
                <w:b/>
                <w:bCs/>
              </w:rPr>
            </w:pPr>
          </w:p>
        </w:tc>
      </w:tr>
    </w:tbl>
    <w:p w14:paraId="007D3E87"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1164C1ED" w14:textId="5F42D50E" w:rsidR="00C71F33" w:rsidRDefault="00C71F33">
      <w:pPr>
        <w:tabs>
          <w:tab w:val="clear" w:pos="1615"/>
        </w:tabs>
        <w:spacing w:line="259" w:lineRule="auto"/>
        <w:rPr>
          <w:rFonts w:asciiTheme="majorHAnsi" w:hAnsiTheme="majorHAnsi" w:cstheme="majorHAnsi"/>
          <w:b/>
          <w:bCs/>
        </w:rPr>
      </w:pPr>
      <w:r>
        <w:rPr>
          <w:rFonts w:asciiTheme="majorHAnsi" w:hAnsiTheme="majorHAnsi" w:cstheme="majorHAnsi"/>
          <w:b/>
          <w:bCs/>
        </w:rPr>
        <w:br w:type="page"/>
      </w:r>
    </w:p>
    <w:p w14:paraId="1CCA576F" w14:textId="70675B38" w:rsidR="0058079B" w:rsidRPr="00485F85" w:rsidRDefault="00A206D5" w:rsidP="00A206D5">
      <w:pPr>
        <w:pStyle w:val="Ttulo3"/>
        <w:ind w:left="1276"/>
        <w:rPr>
          <w:rFonts w:asciiTheme="majorHAnsi" w:hAnsiTheme="majorHAnsi" w:cstheme="majorHAnsi"/>
        </w:rPr>
      </w:pPr>
      <w:bookmarkStart w:id="37" w:name="_Toc82101325"/>
      <w:r w:rsidRPr="00485F85">
        <w:rPr>
          <w:rFonts w:asciiTheme="majorHAnsi" w:hAnsiTheme="majorHAnsi" w:cstheme="majorHAnsi"/>
        </w:rPr>
        <w:lastRenderedPageBreak/>
        <w:t>DIMENSÃO 5. PESQUISA E DESENVOLVIMENTO</w:t>
      </w:r>
      <w:bookmarkEnd w:id="37"/>
    </w:p>
    <w:p w14:paraId="55E37282" w14:textId="77777777" w:rsidR="001E7500" w:rsidRPr="00485F85" w:rsidRDefault="001E7500">
      <w:pPr>
        <w:tabs>
          <w:tab w:val="clear" w:pos="1615"/>
        </w:tabs>
        <w:spacing w:line="259" w:lineRule="auto"/>
        <w:rPr>
          <w:rFonts w:asciiTheme="majorHAnsi" w:hAnsiTheme="majorHAnsi" w:cstheme="majorHAnsi"/>
          <w:b/>
          <w:bCs/>
        </w:rPr>
      </w:pPr>
    </w:p>
    <w:p w14:paraId="3F672912" w14:textId="550B3F0E" w:rsidR="00744738" w:rsidRPr="00485F85" w:rsidRDefault="00533F93">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67096134" wp14:editId="331F05B6">
            <wp:extent cx="6120130" cy="3673475"/>
            <wp:effectExtent l="0" t="0" r="0" b="3175"/>
            <wp:docPr id="28" name="Imagem 2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Diagrama&#10;&#10;Descrição gerad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3673475"/>
                    </a:xfrm>
                    <a:prstGeom prst="rect">
                      <a:avLst/>
                    </a:prstGeom>
                  </pic:spPr>
                </pic:pic>
              </a:graphicData>
            </a:graphic>
          </wp:inline>
        </w:drawing>
      </w:r>
    </w:p>
    <w:p w14:paraId="2B7ED900" w14:textId="7AC965F9" w:rsidR="007B2CA8" w:rsidRPr="00485F85" w:rsidRDefault="007B2CA8">
      <w:pPr>
        <w:tabs>
          <w:tab w:val="clear" w:pos="1615"/>
        </w:tabs>
        <w:spacing w:line="259" w:lineRule="auto"/>
        <w:rPr>
          <w:rFonts w:asciiTheme="majorHAnsi" w:hAnsiTheme="majorHAnsi" w:cstheme="majorHAnsi"/>
          <w:b/>
          <w:bCs/>
        </w:rPr>
      </w:pPr>
    </w:p>
    <w:p w14:paraId="7FE763E5" w14:textId="21FD414C"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10 – Boas práticas Dimensão 5. Pesquisa e Desenvolvimento</w:t>
      </w:r>
    </w:p>
    <w:p w14:paraId="1B59FC91" w14:textId="6AF046E5"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3CFA263B" w14:textId="50308CC5" w:rsidR="008210A3" w:rsidRPr="00485F85" w:rsidRDefault="008210A3">
      <w:pPr>
        <w:tabs>
          <w:tab w:val="clear" w:pos="1615"/>
        </w:tabs>
        <w:spacing w:line="259" w:lineRule="auto"/>
        <w:rPr>
          <w:rFonts w:asciiTheme="majorHAnsi" w:hAnsiTheme="majorHAnsi" w:cstheme="majorHAnsi"/>
          <w:b/>
          <w:bCs/>
        </w:rPr>
      </w:pPr>
    </w:p>
    <w:p w14:paraId="4B8F66A7" w14:textId="3DBE54A0"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17</w:t>
      </w:r>
      <w:r w:rsidRPr="00485F85">
        <w:rPr>
          <w:rFonts w:asciiTheme="majorHAnsi" w:hAnsiTheme="majorHAnsi" w:cstheme="majorHAnsi"/>
        </w:rPr>
        <w:t xml:space="preserve"> – Dimensão </w:t>
      </w:r>
      <w:r w:rsidR="00E72FE1" w:rsidRPr="00485F85">
        <w:rPr>
          <w:rFonts w:asciiTheme="majorHAnsi" w:hAnsiTheme="majorHAnsi" w:cstheme="majorHAnsi"/>
        </w:rPr>
        <w:t>5</w:t>
      </w:r>
      <w:r w:rsidRPr="00485F85">
        <w:rPr>
          <w:rFonts w:asciiTheme="majorHAnsi" w:hAnsiTheme="majorHAnsi" w:cstheme="majorHAnsi"/>
        </w:rPr>
        <w:t xml:space="preserve"> – Boas Práticas para Gestão Inovadora</w:t>
      </w:r>
    </w:p>
    <w:tbl>
      <w:tblPr>
        <w:tblStyle w:val="Tabelacomgrade"/>
        <w:tblW w:w="9923" w:type="dxa"/>
        <w:tblInd w:w="-289" w:type="dxa"/>
        <w:tblLook w:val="04A0" w:firstRow="1" w:lastRow="0" w:firstColumn="1" w:lastColumn="0" w:noHBand="0" w:noVBand="1"/>
      </w:tblPr>
      <w:tblGrid>
        <w:gridCol w:w="9923"/>
      </w:tblGrid>
      <w:tr w:rsidR="005747F1" w:rsidRPr="00485F85" w14:paraId="6673F21E" w14:textId="77777777" w:rsidTr="005747F1">
        <w:tc>
          <w:tcPr>
            <w:tcW w:w="9923" w:type="dxa"/>
            <w:hideMark/>
          </w:tcPr>
          <w:p w14:paraId="198A3730" w14:textId="77777777" w:rsidR="005747F1" w:rsidRPr="00485F85" w:rsidRDefault="005747F1" w:rsidP="00BB72C8">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6199427C" w14:textId="77777777" w:rsidTr="005747F1">
        <w:tc>
          <w:tcPr>
            <w:tcW w:w="9923" w:type="dxa"/>
            <w:tcBorders>
              <w:top w:val="single" w:sz="4" w:space="0" w:color="auto"/>
              <w:left w:val="single" w:sz="4" w:space="0" w:color="auto"/>
              <w:bottom w:val="single" w:sz="4" w:space="0" w:color="auto"/>
              <w:right w:val="single" w:sz="4" w:space="0" w:color="auto"/>
            </w:tcBorders>
          </w:tcPr>
          <w:p w14:paraId="1C373CB7"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A Universidade mostrou indícios de que colabora internacionalmente e participa de redes de pesquisa internacionais, não só realizando pesquisas, mas levando seus projetos para fora da Inglaterra.</w:t>
            </w:r>
          </w:p>
          <w:p w14:paraId="0E20F254" w14:textId="77777777" w:rsidR="005747F1" w:rsidRPr="00485F85" w:rsidRDefault="00A515B3" w:rsidP="00473761">
            <w:pPr>
              <w:tabs>
                <w:tab w:val="clear" w:pos="1615"/>
              </w:tabs>
              <w:jc w:val="both"/>
              <w:rPr>
                <w:rFonts w:asciiTheme="majorHAnsi" w:hAnsiTheme="majorHAnsi" w:cstheme="majorHAnsi"/>
              </w:rPr>
            </w:pPr>
            <w:hyperlink r:id="rId49" w:history="1">
              <w:r w:rsidR="005747F1" w:rsidRPr="00485F85">
                <w:rPr>
                  <w:rStyle w:val="Hyperlink"/>
                  <w:rFonts w:asciiTheme="majorHAnsi" w:hAnsiTheme="majorHAnsi" w:cstheme="majorHAnsi"/>
                </w:rPr>
                <w:t>https://www.research.ox.ac.uk/map</w:t>
              </w:r>
            </w:hyperlink>
            <w:r w:rsidR="005747F1" w:rsidRPr="00485F85">
              <w:rPr>
                <w:rFonts w:asciiTheme="majorHAnsi" w:hAnsiTheme="majorHAnsi" w:cstheme="majorHAnsi"/>
                <w:u w:val="single"/>
              </w:rPr>
              <w:t xml:space="preserve"> </w:t>
            </w:r>
          </w:p>
          <w:p w14:paraId="20FD3CAF" w14:textId="77777777" w:rsidR="005747F1" w:rsidRPr="00485F85" w:rsidRDefault="005747F1" w:rsidP="00473761">
            <w:pPr>
              <w:tabs>
                <w:tab w:val="clear" w:pos="1615"/>
              </w:tabs>
              <w:jc w:val="both"/>
              <w:rPr>
                <w:rFonts w:asciiTheme="majorHAnsi" w:hAnsiTheme="majorHAnsi" w:cstheme="majorHAnsi"/>
              </w:rPr>
            </w:pPr>
          </w:p>
          <w:p w14:paraId="2E0DD9F2"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Apesar de não ser possível encontrar os dados de publicação por estarem descentralizados a Universidade demonstra o seu impacto acadêmico por meio de uma seção no site na qual é possível encontrar suas diversas pesquisas realizadas. Tanto em forma de matérias informativas, quanto em pequenos vídeos .</w:t>
            </w:r>
          </w:p>
          <w:p w14:paraId="646EE09E" w14:textId="77777777" w:rsidR="005747F1" w:rsidRPr="00485F85" w:rsidRDefault="00A515B3" w:rsidP="00473761">
            <w:pPr>
              <w:tabs>
                <w:tab w:val="clear" w:pos="1615"/>
              </w:tabs>
              <w:jc w:val="both"/>
              <w:rPr>
                <w:rFonts w:asciiTheme="majorHAnsi" w:hAnsiTheme="majorHAnsi" w:cstheme="majorHAnsi"/>
              </w:rPr>
            </w:pPr>
            <w:hyperlink r:id="rId50" w:history="1">
              <w:r w:rsidR="005747F1" w:rsidRPr="00485F85">
                <w:rPr>
                  <w:rStyle w:val="Hyperlink"/>
                  <w:rFonts w:asciiTheme="majorHAnsi" w:hAnsiTheme="majorHAnsi" w:cstheme="majorHAnsi"/>
                </w:rPr>
                <w:t>https://www.ox.ac.uk/research/research-impact</w:t>
              </w:r>
            </w:hyperlink>
            <w:r w:rsidR="005747F1" w:rsidRPr="00485F85">
              <w:rPr>
                <w:rFonts w:asciiTheme="majorHAnsi" w:hAnsiTheme="majorHAnsi" w:cstheme="majorHAnsi"/>
              </w:rPr>
              <w:t xml:space="preserve"> </w:t>
            </w:r>
          </w:p>
          <w:p w14:paraId="3E9889DE" w14:textId="77777777" w:rsidR="005747F1" w:rsidRPr="00485F85" w:rsidRDefault="00A515B3" w:rsidP="00473761">
            <w:pPr>
              <w:tabs>
                <w:tab w:val="clear" w:pos="1615"/>
              </w:tabs>
              <w:jc w:val="both"/>
              <w:rPr>
                <w:rFonts w:asciiTheme="majorHAnsi" w:hAnsiTheme="majorHAnsi" w:cstheme="majorHAnsi"/>
              </w:rPr>
            </w:pPr>
            <w:hyperlink r:id="rId51" w:history="1">
              <w:r w:rsidR="005747F1" w:rsidRPr="00485F85">
                <w:rPr>
                  <w:rStyle w:val="Hyperlink"/>
                  <w:rFonts w:asciiTheme="majorHAnsi" w:hAnsiTheme="majorHAnsi" w:cstheme="majorHAnsi"/>
                </w:rPr>
                <w:t>https://www.ox.ac.uk/research/research-impact/impact-films</w:t>
              </w:r>
            </w:hyperlink>
            <w:r w:rsidR="005747F1" w:rsidRPr="00485F85">
              <w:rPr>
                <w:rFonts w:asciiTheme="majorHAnsi" w:hAnsiTheme="majorHAnsi" w:cstheme="majorHAnsi"/>
              </w:rPr>
              <w:t xml:space="preserve"> </w:t>
            </w:r>
          </w:p>
          <w:p w14:paraId="4F288DF7" w14:textId="77777777" w:rsidR="005747F1" w:rsidRPr="00485F85" w:rsidRDefault="00A515B3" w:rsidP="00473761">
            <w:pPr>
              <w:tabs>
                <w:tab w:val="clear" w:pos="1615"/>
              </w:tabs>
              <w:jc w:val="both"/>
              <w:rPr>
                <w:rFonts w:asciiTheme="majorHAnsi" w:hAnsiTheme="majorHAnsi" w:cstheme="majorHAnsi"/>
              </w:rPr>
            </w:pPr>
            <w:hyperlink r:id="rId52" w:history="1">
              <w:r w:rsidR="005747F1" w:rsidRPr="00485F85">
                <w:rPr>
                  <w:rStyle w:val="Hyperlink"/>
                  <w:rFonts w:asciiTheme="majorHAnsi" w:hAnsiTheme="majorHAnsi" w:cstheme="majorHAnsi"/>
                </w:rPr>
                <w:t>https://www.ox.ac.uk/research/public-engagement/engaged-research</w:t>
              </w:r>
            </w:hyperlink>
            <w:r w:rsidR="005747F1" w:rsidRPr="00485F85">
              <w:rPr>
                <w:rFonts w:asciiTheme="majorHAnsi" w:hAnsiTheme="majorHAnsi" w:cstheme="majorHAnsi"/>
              </w:rPr>
              <w:t xml:space="preserve"> </w:t>
            </w:r>
          </w:p>
          <w:p w14:paraId="61DB2E65" w14:textId="77777777" w:rsidR="005747F1" w:rsidRPr="00485F85" w:rsidRDefault="005747F1" w:rsidP="00473761">
            <w:pPr>
              <w:tabs>
                <w:tab w:val="clear" w:pos="1615"/>
              </w:tabs>
              <w:jc w:val="both"/>
              <w:rPr>
                <w:rFonts w:asciiTheme="majorHAnsi" w:hAnsiTheme="majorHAnsi" w:cstheme="majorHAnsi"/>
              </w:rPr>
            </w:pPr>
          </w:p>
          <w:p w14:paraId="308FC796"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xml:space="preserve">- As formas de engajamento da comunidade acadêmica na pesquisa também podem ser consideradas uma boa prática e estão alinhadas com os objetivos de pesquisa do Planejamento Estratégico de Oxford. Trata-se de esquema de Liderança (Public Engagement with Research (PER) Leaders) para que os acadêmicos assumam um papel de protagonismo e mudança de cultura para seus departamentos e faculdades para melhorar o apoio à pesquisa. O programa é direcionado àqueles que têm um forte interesse em Pesquisa e que desejam a oportunidade de demonstrar suas habilidades de liderança em um ambiente acadêmico e de </w:t>
            </w:r>
            <w:r w:rsidRPr="00485F85">
              <w:rPr>
                <w:rFonts w:asciiTheme="majorHAnsi" w:hAnsiTheme="majorHAnsi" w:cstheme="majorHAnsi"/>
              </w:rPr>
              <w:lastRenderedPageBreak/>
              <w:t>explorar novas maneiras de trabalhar facilitando a mudança. São escolhidos oito vencedores que receberão cada um £ 5.000 para iniciar iniciativas focadas em PER em seus departamentos e participarão de treinamento de uma variedade de PER internos e externos e profissionais de liderança ao longo do ano.</w:t>
            </w:r>
          </w:p>
          <w:p w14:paraId="16E898BE" w14:textId="77777777" w:rsidR="005747F1" w:rsidRPr="00485F85" w:rsidRDefault="00A515B3" w:rsidP="00473761">
            <w:pPr>
              <w:tabs>
                <w:tab w:val="clear" w:pos="1615"/>
              </w:tabs>
              <w:jc w:val="both"/>
              <w:rPr>
                <w:rFonts w:asciiTheme="majorHAnsi" w:hAnsiTheme="majorHAnsi" w:cstheme="majorHAnsi"/>
              </w:rPr>
            </w:pPr>
            <w:hyperlink r:id="rId53" w:history="1">
              <w:r w:rsidR="005747F1" w:rsidRPr="00485F85">
                <w:rPr>
                  <w:rStyle w:val="Hyperlink"/>
                  <w:rFonts w:asciiTheme="majorHAnsi" w:hAnsiTheme="majorHAnsi" w:cstheme="majorHAnsi"/>
                </w:rPr>
                <w:t>https://www.ox.ac.uk/research/public-engagement/engagement-opportunities</w:t>
              </w:r>
            </w:hyperlink>
            <w:r w:rsidR="005747F1" w:rsidRPr="00485F85">
              <w:rPr>
                <w:rFonts w:asciiTheme="majorHAnsi" w:hAnsiTheme="majorHAnsi" w:cstheme="majorHAnsi"/>
              </w:rPr>
              <w:t xml:space="preserve"> </w:t>
            </w:r>
          </w:p>
          <w:p w14:paraId="74385CEE" w14:textId="77777777" w:rsidR="005747F1" w:rsidRPr="00485F85" w:rsidRDefault="005747F1" w:rsidP="00473761">
            <w:pPr>
              <w:tabs>
                <w:tab w:val="clear" w:pos="1615"/>
              </w:tabs>
              <w:jc w:val="both"/>
              <w:rPr>
                <w:rFonts w:asciiTheme="majorHAnsi" w:hAnsiTheme="majorHAnsi" w:cstheme="majorHAnsi"/>
              </w:rPr>
            </w:pPr>
          </w:p>
          <w:p w14:paraId="3152013C"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Oxford também oferece um suporte de engajamento público para os pesquisadores, mostrando suas fases de planejamento, ferramentas, ações, financiamentos entre outros. Até mesmo um documento orientativo foi criado em 2016 com esse objetivo.</w:t>
            </w:r>
          </w:p>
          <w:p w14:paraId="32326D7E" w14:textId="77777777" w:rsidR="005747F1" w:rsidRPr="00485F85" w:rsidRDefault="00A515B3" w:rsidP="00473761">
            <w:pPr>
              <w:tabs>
                <w:tab w:val="clear" w:pos="1615"/>
              </w:tabs>
              <w:jc w:val="both"/>
              <w:rPr>
                <w:rFonts w:asciiTheme="majorHAnsi" w:hAnsiTheme="majorHAnsi" w:cstheme="majorHAnsi"/>
              </w:rPr>
            </w:pPr>
            <w:hyperlink r:id="rId54" w:history="1">
              <w:r w:rsidR="005747F1" w:rsidRPr="00485F85">
                <w:rPr>
                  <w:rStyle w:val="Hyperlink"/>
                  <w:rFonts w:asciiTheme="majorHAnsi" w:hAnsiTheme="majorHAnsi" w:cstheme="majorHAnsi"/>
                </w:rPr>
                <w:t>https://www.ox.ac.uk/research/public-engagement/support-researchers</w:t>
              </w:r>
            </w:hyperlink>
            <w:r w:rsidR="005747F1" w:rsidRPr="00485F85">
              <w:rPr>
                <w:rFonts w:asciiTheme="majorHAnsi" w:hAnsiTheme="majorHAnsi" w:cstheme="majorHAnsi"/>
              </w:rPr>
              <w:t xml:space="preserve"> </w:t>
            </w:r>
          </w:p>
          <w:p w14:paraId="2152EA29" w14:textId="77777777" w:rsidR="005747F1" w:rsidRPr="00485F85" w:rsidRDefault="00A515B3" w:rsidP="00473761">
            <w:pPr>
              <w:tabs>
                <w:tab w:val="clear" w:pos="1615"/>
              </w:tabs>
              <w:jc w:val="both"/>
              <w:rPr>
                <w:rFonts w:asciiTheme="majorHAnsi" w:hAnsiTheme="majorHAnsi" w:cstheme="majorHAnsi"/>
              </w:rPr>
            </w:pPr>
            <w:hyperlink r:id="rId55" w:history="1">
              <w:r w:rsidR="005747F1" w:rsidRPr="00485F85">
                <w:rPr>
                  <w:rStyle w:val="Hyperlink"/>
                  <w:rFonts w:asciiTheme="majorHAnsi" w:hAnsiTheme="majorHAnsi" w:cstheme="majorHAnsi"/>
                </w:rPr>
                <w:t>https://www.ox.ac.uk/sites/files/oxford/media_wysiwyg/University%20of%20Oxford%20-%20Public%20Engagement%20with%20Research%20Strategic%20Plan.pdf</w:t>
              </w:r>
            </w:hyperlink>
            <w:r w:rsidR="005747F1" w:rsidRPr="00485F85">
              <w:rPr>
                <w:rFonts w:asciiTheme="majorHAnsi" w:hAnsiTheme="majorHAnsi" w:cstheme="majorHAnsi"/>
              </w:rPr>
              <w:t xml:space="preserve"> </w:t>
            </w:r>
          </w:p>
          <w:p w14:paraId="110A051D" w14:textId="77777777" w:rsidR="005747F1" w:rsidRPr="00485F85" w:rsidRDefault="005747F1" w:rsidP="00473761">
            <w:pPr>
              <w:tabs>
                <w:tab w:val="clear" w:pos="1615"/>
              </w:tabs>
              <w:jc w:val="both"/>
              <w:rPr>
                <w:rFonts w:asciiTheme="majorHAnsi" w:hAnsiTheme="majorHAnsi" w:cstheme="majorHAnsi"/>
              </w:rPr>
            </w:pPr>
          </w:p>
          <w:p w14:paraId="693C0F7F" w14:textId="43CFAC19"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A quantidade de patentes e as formas de reconhecimento (intelectual e financeiras) dos pesquisadores podem ser consideradas boas práticas e contribuem para fortalecer essa dimensão na Universidade.</w:t>
            </w:r>
          </w:p>
          <w:p w14:paraId="5C44CB83" w14:textId="326BE5EB"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xml:space="preserve">Oxford possui uma legislação embasada para registros de suas inovações, </w:t>
            </w:r>
          </w:p>
          <w:p w14:paraId="56405148" w14:textId="77777777" w:rsidR="005747F1" w:rsidRPr="00485F85" w:rsidRDefault="005747F1" w:rsidP="00473761">
            <w:pPr>
              <w:tabs>
                <w:tab w:val="clear" w:pos="1615"/>
              </w:tabs>
              <w:jc w:val="both"/>
              <w:rPr>
                <w:rFonts w:asciiTheme="majorHAnsi" w:hAnsiTheme="majorHAnsi" w:cstheme="majorHAnsi"/>
                <w:lang w:val="en-US"/>
              </w:rPr>
            </w:pPr>
            <w:r w:rsidRPr="00485F85">
              <w:rPr>
                <w:rFonts w:asciiTheme="majorHAnsi" w:hAnsiTheme="majorHAnsi" w:cstheme="majorHAnsi"/>
                <w:lang w:val="en-US"/>
              </w:rPr>
              <w:t>Estatuto - Statute XVI: Property, Contracts, and Trusts</w:t>
            </w:r>
          </w:p>
          <w:p w14:paraId="7C7B182F" w14:textId="77777777" w:rsidR="005747F1" w:rsidRPr="00485F85" w:rsidRDefault="00A515B3" w:rsidP="00473761">
            <w:pPr>
              <w:tabs>
                <w:tab w:val="clear" w:pos="1615"/>
              </w:tabs>
              <w:jc w:val="both"/>
              <w:rPr>
                <w:rFonts w:asciiTheme="majorHAnsi" w:hAnsiTheme="majorHAnsi" w:cstheme="majorHAnsi"/>
                <w:lang w:val="en-US"/>
              </w:rPr>
            </w:pPr>
            <w:hyperlink r:id="rId56" w:anchor="collapse1383596" w:history="1">
              <w:r w:rsidR="005747F1" w:rsidRPr="00485F85">
                <w:rPr>
                  <w:rStyle w:val="Hyperlink"/>
                  <w:rFonts w:asciiTheme="majorHAnsi" w:hAnsiTheme="majorHAnsi" w:cstheme="majorHAnsi"/>
                  <w:lang w:val="en-US"/>
                </w:rPr>
                <w:t>https://governance.admin.ox.ac.uk/legislation/statute-xvi-property-contracts-and-trusts#collapse1383596</w:t>
              </w:r>
            </w:hyperlink>
            <w:r w:rsidR="005747F1" w:rsidRPr="00485F85">
              <w:rPr>
                <w:rFonts w:asciiTheme="majorHAnsi" w:hAnsiTheme="majorHAnsi" w:cstheme="majorHAnsi"/>
                <w:lang w:val="en-US"/>
              </w:rPr>
              <w:t xml:space="preserve">   </w:t>
            </w:r>
          </w:p>
          <w:p w14:paraId="195BCBE5" w14:textId="77777777" w:rsidR="005747F1" w:rsidRPr="00485F85" w:rsidRDefault="005747F1" w:rsidP="00473761">
            <w:pPr>
              <w:tabs>
                <w:tab w:val="clear" w:pos="1615"/>
              </w:tabs>
              <w:jc w:val="both"/>
              <w:rPr>
                <w:rFonts w:asciiTheme="majorHAnsi" w:hAnsiTheme="majorHAnsi" w:cstheme="majorHAnsi"/>
                <w:lang w:val="en-US"/>
              </w:rPr>
            </w:pPr>
          </w:p>
          <w:p w14:paraId="71A9DDBD"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Oferece as etapas para a comercialização da Propriedade Intelectual</w:t>
            </w:r>
          </w:p>
          <w:p w14:paraId="1CAC9BCA" w14:textId="77777777" w:rsidR="005747F1" w:rsidRPr="00485F85" w:rsidRDefault="00A515B3" w:rsidP="00473761">
            <w:pPr>
              <w:tabs>
                <w:tab w:val="clear" w:pos="1615"/>
              </w:tabs>
              <w:jc w:val="both"/>
              <w:rPr>
                <w:rFonts w:asciiTheme="majorHAnsi" w:hAnsiTheme="majorHAnsi" w:cstheme="majorHAnsi"/>
              </w:rPr>
            </w:pPr>
            <w:hyperlink r:id="rId57" w:history="1">
              <w:r w:rsidR="005747F1" w:rsidRPr="00485F85">
                <w:rPr>
                  <w:rStyle w:val="Hyperlink"/>
                  <w:rFonts w:asciiTheme="majorHAnsi" w:hAnsiTheme="majorHAnsi" w:cstheme="majorHAnsi"/>
                </w:rPr>
                <w:t>https://researchsupport.admin.ox.ac.uk/innovation/ip/commercialisation</w:t>
              </w:r>
            </w:hyperlink>
            <w:r w:rsidR="005747F1" w:rsidRPr="00485F85">
              <w:rPr>
                <w:rFonts w:asciiTheme="majorHAnsi" w:hAnsiTheme="majorHAnsi" w:cstheme="majorHAnsi"/>
              </w:rPr>
              <w:t xml:space="preserve"> </w:t>
            </w:r>
          </w:p>
          <w:p w14:paraId="24E15F3D" w14:textId="77777777" w:rsidR="005747F1" w:rsidRPr="00485F85" w:rsidRDefault="005747F1" w:rsidP="00473761">
            <w:pPr>
              <w:tabs>
                <w:tab w:val="clear" w:pos="1615"/>
              </w:tabs>
              <w:jc w:val="both"/>
              <w:rPr>
                <w:rFonts w:asciiTheme="majorHAnsi" w:hAnsiTheme="majorHAnsi" w:cstheme="majorHAnsi"/>
              </w:rPr>
            </w:pPr>
          </w:p>
          <w:p w14:paraId="750F6C3E"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Além de promover o compartilhamento da Receita de Licenciamento</w:t>
            </w:r>
          </w:p>
          <w:p w14:paraId="6BB8727E" w14:textId="77777777" w:rsidR="005747F1" w:rsidRPr="00485F85" w:rsidRDefault="00A515B3" w:rsidP="00473761">
            <w:pPr>
              <w:tabs>
                <w:tab w:val="clear" w:pos="1615"/>
              </w:tabs>
              <w:jc w:val="both"/>
              <w:rPr>
                <w:rFonts w:asciiTheme="majorHAnsi" w:hAnsiTheme="majorHAnsi" w:cstheme="majorHAnsi"/>
              </w:rPr>
            </w:pPr>
            <w:hyperlink r:id="rId58" w:history="1">
              <w:r w:rsidR="005747F1" w:rsidRPr="00485F85">
                <w:rPr>
                  <w:rStyle w:val="Hyperlink"/>
                  <w:rFonts w:asciiTheme="majorHAnsi" w:hAnsiTheme="majorHAnsi" w:cstheme="majorHAnsi"/>
                </w:rPr>
                <w:t>https://innovation.ox.ac.uk/university-members/commercialising-technology/ip-patents-licenses/revenue-sharing-licensing/</w:t>
              </w:r>
            </w:hyperlink>
            <w:r w:rsidR="005747F1" w:rsidRPr="00485F85">
              <w:rPr>
                <w:rFonts w:asciiTheme="majorHAnsi" w:hAnsiTheme="majorHAnsi" w:cstheme="majorHAnsi"/>
              </w:rPr>
              <w:t xml:space="preserve">  </w:t>
            </w:r>
          </w:p>
          <w:p w14:paraId="7DB2D860" w14:textId="77777777" w:rsidR="005747F1" w:rsidRPr="00485F85" w:rsidRDefault="005747F1" w:rsidP="00473761">
            <w:pPr>
              <w:tabs>
                <w:tab w:val="clear" w:pos="1615"/>
              </w:tabs>
              <w:jc w:val="both"/>
              <w:rPr>
                <w:rFonts w:asciiTheme="majorHAnsi" w:hAnsiTheme="majorHAnsi" w:cstheme="majorHAnsi"/>
              </w:rPr>
            </w:pPr>
          </w:p>
          <w:p w14:paraId="5123E03F" w14:textId="77777777" w:rsidR="005747F1" w:rsidRPr="00485F85" w:rsidRDefault="005747F1" w:rsidP="00473761">
            <w:pPr>
              <w:tabs>
                <w:tab w:val="clear" w:pos="1615"/>
              </w:tabs>
              <w:jc w:val="both"/>
              <w:rPr>
                <w:rFonts w:asciiTheme="majorHAnsi" w:hAnsiTheme="majorHAnsi" w:cstheme="majorHAnsi"/>
              </w:rPr>
            </w:pPr>
            <w:r w:rsidRPr="00485F85">
              <w:rPr>
                <w:rFonts w:asciiTheme="majorHAnsi" w:hAnsiTheme="majorHAnsi" w:cstheme="majorHAnsi"/>
              </w:rPr>
              <w:t>- A universidade oferece o Research Professional: um banco de dados online de financiamento de pesquisas e serviço de notícias no qual os pesquisadores podem pesquisar oportunidades internacionais e do Reino Unido</w:t>
            </w:r>
          </w:p>
          <w:p w14:paraId="5415C0FB" w14:textId="614233F2" w:rsidR="005747F1" w:rsidRPr="00485F85" w:rsidRDefault="00A515B3" w:rsidP="00473761">
            <w:pPr>
              <w:tabs>
                <w:tab w:val="clear" w:pos="1615"/>
              </w:tabs>
              <w:jc w:val="both"/>
              <w:rPr>
                <w:rFonts w:asciiTheme="majorHAnsi" w:hAnsiTheme="majorHAnsi" w:cstheme="majorHAnsi"/>
              </w:rPr>
            </w:pPr>
            <w:hyperlink r:id="rId59" w:history="1">
              <w:r w:rsidR="005747F1" w:rsidRPr="00485F85">
                <w:rPr>
                  <w:rStyle w:val="Hyperlink"/>
                  <w:rFonts w:asciiTheme="majorHAnsi" w:hAnsiTheme="majorHAnsi" w:cstheme="majorHAnsi"/>
                </w:rPr>
                <w:t>https://researchsupport.admin.ox.ac.uk/funding/rp</w:t>
              </w:r>
            </w:hyperlink>
          </w:p>
        </w:tc>
      </w:tr>
    </w:tbl>
    <w:p w14:paraId="53CA5C7B" w14:textId="77777777" w:rsidR="00904F9B" w:rsidRPr="00485F85" w:rsidRDefault="00904F9B" w:rsidP="00904F9B">
      <w:pPr>
        <w:tabs>
          <w:tab w:val="clear" w:pos="1615"/>
        </w:tabs>
        <w:spacing w:line="259" w:lineRule="auto"/>
        <w:rPr>
          <w:rFonts w:asciiTheme="majorHAnsi" w:hAnsiTheme="majorHAnsi" w:cstheme="majorHAnsi"/>
          <w:b/>
          <w:bCs/>
        </w:rPr>
      </w:pPr>
      <w:bookmarkStart w:id="38" w:name="_Hlk80140581"/>
      <w:r w:rsidRPr="00485F85">
        <w:rPr>
          <w:rFonts w:asciiTheme="majorHAnsi" w:hAnsiTheme="majorHAnsi" w:cstheme="majorHAnsi"/>
          <w:b/>
          <w:bCs/>
        </w:rPr>
        <w:lastRenderedPageBreak/>
        <w:t>Fonte: Autora</w:t>
      </w:r>
    </w:p>
    <w:bookmarkEnd w:id="38"/>
    <w:p w14:paraId="4437907D" w14:textId="2364834A" w:rsidR="00363248" w:rsidRPr="00485F85" w:rsidRDefault="00363248">
      <w:pPr>
        <w:tabs>
          <w:tab w:val="clear" w:pos="1615"/>
        </w:tabs>
        <w:spacing w:line="259" w:lineRule="auto"/>
        <w:rPr>
          <w:rFonts w:asciiTheme="majorHAnsi" w:hAnsiTheme="majorHAnsi" w:cstheme="majorHAnsi"/>
          <w:b/>
          <w:bCs/>
        </w:rPr>
      </w:pPr>
    </w:p>
    <w:p w14:paraId="06FD264B" w14:textId="77777777" w:rsidR="00473761" w:rsidRPr="00485F85" w:rsidRDefault="00473761" w:rsidP="00775044">
      <w:pPr>
        <w:tabs>
          <w:tab w:val="clear" w:pos="1615"/>
        </w:tabs>
        <w:spacing w:line="259" w:lineRule="auto"/>
        <w:rPr>
          <w:rFonts w:asciiTheme="majorHAnsi" w:hAnsiTheme="majorHAnsi" w:cstheme="majorHAnsi"/>
          <w:b/>
          <w:bCs/>
        </w:rPr>
      </w:pPr>
    </w:p>
    <w:p w14:paraId="3B90B949" w14:textId="77777777" w:rsidR="00473761" w:rsidRPr="00485F85" w:rsidRDefault="00473761" w:rsidP="00775044">
      <w:pPr>
        <w:tabs>
          <w:tab w:val="clear" w:pos="1615"/>
        </w:tabs>
        <w:spacing w:line="259" w:lineRule="auto"/>
        <w:rPr>
          <w:rFonts w:asciiTheme="majorHAnsi" w:hAnsiTheme="majorHAnsi" w:cstheme="majorHAnsi"/>
          <w:b/>
          <w:bCs/>
        </w:rPr>
      </w:pPr>
    </w:p>
    <w:p w14:paraId="1EC62009" w14:textId="77777777" w:rsidR="00473761" w:rsidRPr="00485F85" w:rsidRDefault="00473761" w:rsidP="00775044">
      <w:pPr>
        <w:tabs>
          <w:tab w:val="clear" w:pos="1615"/>
        </w:tabs>
        <w:spacing w:line="259" w:lineRule="auto"/>
        <w:rPr>
          <w:rFonts w:asciiTheme="majorHAnsi" w:hAnsiTheme="majorHAnsi" w:cstheme="majorHAnsi"/>
          <w:b/>
          <w:bCs/>
        </w:rPr>
      </w:pPr>
    </w:p>
    <w:p w14:paraId="57AD655B" w14:textId="2F4C2A33" w:rsidR="00473761" w:rsidRPr="00485F85" w:rsidRDefault="00473761" w:rsidP="00775044">
      <w:pPr>
        <w:tabs>
          <w:tab w:val="clear" w:pos="1615"/>
        </w:tabs>
        <w:spacing w:line="259" w:lineRule="auto"/>
        <w:rPr>
          <w:rFonts w:asciiTheme="majorHAnsi" w:hAnsiTheme="majorHAnsi" w:cstheme="majorHAnsi"/>
          <w:b/>
          <w:bCs/>
        </w:rPr>
      </w:pPr>
    </w:p>
    <w:p w14:paraId="17FBAB2A" w14:textId="77777777" w:rsidR="0058079B" w:rsidRPr="00485F85" w:rsidRDefault="0058079B" w:rsidP="00775044">
      <w:pPr>
        <w:tabs>
          <w:tab w:val="clear" w:pos="1615"/>
        </w:tabs>
        <w:spacing w:line="259" w:lineRule="auto"/>
        <w:rPr>
          <w:rFonts w:asciiTheme="majorHAnsi" w:hAnsiTheme="majorHAnsi" w:cstheme="majorHAnsi"/>
          <w:b/>
          <w:bCs/>
        </w:rPr>
      </w:pPr>
    </w:p>
    <w:p w14:paraId="17FA0195" w14:textId="77777777" w:rsidR="00473761" w:rsidRPr="00485F85" w:rsidRDefault="00473761" w:rsidP="00775044">
      <w:pPr>
        <w:tabs>
          <w:tab w:val="clear" w:pos="1615"/>
        </w:tabs>
        <w:spacing w:line="259" w:lineRule="auto"/>
        <w:rPr>
          <w:rFonts w:asciiTheme="majorHAnsi" w:hAnsiTheme="majorHAnsi" w:cstheme="majorHAnsi"/>
          <w:b/>
          <w:bCs/>
        </w:rPr>
      </w:pPr>
    </w:p>
    <w:p w14:paraId="5187621B" w14:textId="77777777" w:rsidR="00473761" w:rsidRPr="00485F85" w:rsidRDefault="00473761" w:rsidP="00775044">
      <w:pPr>
        <w:tabs>
          <w:tab w:val="clear" w:pos="1615"/>
        </w:tabs>
        <w:spacing w:line="259" w:lineRule="auto"/>
        <w:rPr>
          <w:rFonts w:asciiTheme="majorHAnsi" w:hAnsiTheme="majorHAnsi" w:cstheme="majorHAnsi"/>
          <w:b/>
          <w:bCs/>
        </w:rPr>
      </w:pPr>
    </w:p>
    <w:p w14:paraId="76CA205D" w14:textId="77777777" w:rsidR="005747F1" w:rsidRPr="00485F85" w:rsidRDefault="005747F1">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083CB708" w14:textId="4B4D6DBD" w:rsidR="0058079B" w:rsidRPr="00485F85" w:rsidRDefault="00A206D5" w:rsidP="00A206D5">
      <w:pPr>
        <w:pStyle w:val="Ttulo3"/>
        <w:ind w:left="1276"/>
        <w:rPr>
          <w:rFonts w:asciiTheme="majorHAnsi" w:hAnsiTheme="majorHAnsi" w:cstheme="majorHAnsi"/>
        </w:rPr>
      </w:pPr>
      <w:bookmarkStart w:id="39" w:name="_Toc82101326"/>
      <w:r w:rsidRPr="00485F85">
        <w:rPr>
          <w:rFonts w:asciiTheme="majorHAnsi" w:hAnsiTheme="majorHAnsi" w:cstheme="majorHAnsi"/>
        </w:rPr>
        <w:lastRenderedPageBreak/>
        <w:t>DIMENSÃO 6. POLÍTICAS DE EXTENSÃO</w:t>
      </w:r>
      <w:bookmarkEnd w:id="39"/>
    </w:p>
    <w:p w14:paraId="226367CC" w14:textId="77777777" w:rsidR="00533F93" w:rsidRPr="00485F85" w:rsidRDefault="00533F93" w:rsidP="00775044">
      <w:pPr>
        <w:tabs>
          <w:tab w:val="clear" w:pos="1615"/>
        </w:tabs>
        <w:spacing w:line="259" w:lineRule="auto"/>
        <w:rPr>
          <w:rFonts w:asciiTheme="majorHAnsi" w:hAnsiTheme="majorHAnsi" w:cstheme="majorHAnsi"/>
          <w:b/>
          <w:bCs/>
        </w:rPr>
      </w:pPr>
    </w:p>
    <w:p w14:paraId="101339DD" w14:textId="0BBEC94B" w:rsidR="00473761" w:rsidRPr="00485F85" w:rsidRDefault="00533F93" w:rsidP="00775044">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6D4E620B" wp14:editId="09418C78">
            <wp:extent cx="6120130" cy="3539490"/>
            <wp:effectExtent l="0" t="0" r="0" b="3810"/>
            <wp:docPr id="29" name="Imagem 2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iagrama&#10;&#10;Descrição gerad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3539490"/>
                    </a:xfrm>
                    <a:prstGeom prst="rect">
                      <a:avLst/>
                    </a:prstGeom>
                  </pic:spPr>
                </pic:pic>
              </a:graphicData>
            </a:graphic>
          </wp:inline>
        </w:drawing>
      </w:r>
    </w:p>
    <w:p w14:paraId="313CFD11" w14:textId="0BC53F35" w:rsidR="007B2CA8" w:rsidRPr="00485F85" w:rsidRDefault="007B2CA8" w:rsidP="00775044">
      <w:pPr>
        <w:tabs>
          <w:tab w:val="clear" w:pos="1615"/>
        </w:tabs>
        <w:spacing w:line="259" w:lineRule="auto"/>
        <w:rPr>
          <w:rFonts w:asciiTheme="majorHAnsi" w:hAnsiTheme="majorHAnsi" w:cstheme="majorHAnsi"/>
          <w:b/>
          <w:bCs/>
        </w:rPr>
      </w:pPr>
    </w:p>
    <w:p w14:paraId="357BE673"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11 – Boas práticas Dimensão 6. Políticas de Extensão</w:t>
      </w:r>
    </w:p>
    <w:p w14:paraId="2916996A" w14:textId="6D449F1E"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236C6DF1" w14:textId="5761FC5E" w:rsidR="00533F93" w:rsidRPr="00485F85" w:rsidRDefault="00533F93" w:rsidP="00775044">
      <w:pPr>
        <w:tabs>
          <w:tab w:val="clear" w:pos="1615"/>
        </w:tabs>
        <w:spacing w:line="259" w:lineRule="auto"/>
        <w:rPr>
          <w:rFonts w:asciiTheme="majorHAnsi" w:hAnsiTheme="majorHAnsi" w:cstheme="majorHAnsi"/>
          <w:b/>
          <w:bCs/>
        </w:rPr>
      </w:pPr>
    </w:p>
    <w:p w14:paraId="69B9F82B" w14:textId="384F0A33"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18</w:t>
      </w:r>
      <w:r w:rsidRPr="00485F85">
        <w:rPr>
          <w:rFonts w:asciiTheme="majorHAnsi" w:hAnsiTheme="majorHAnsi" w:cstheme="majorHAnsi"/>
        </w:rPr>
        <w:t xml:space="preserve"> – Dimensão </w:t>
      </w:r>
      <w:r w:rsidR="00E72FE1" w:rsidRPr="00485F85">
        <w:rPr>
          <w:rFonts w:asciiTheme="majorHAnsi" w:hAnsiTheme="majorHAnsi" w:cstheme="majorHAnsi"/>
        </w:rPr>
        <w:t>6</w:t>
      </w:r>
      <w:r w:rsidRPr="00485F85">
        <w:rPr>
          <w:rFonts w:asciiTheme="majorHAnsi" w:hAnsiTheme="majorHAnsi" w:cstheme="majorHAnsi"/>
        </w:rPr>
        <w:t xml:space="preserve"> – Boas Práticas para Gestão Inovadora</w:t>
      </w:r>
    </w:p>
    <w:tbl>
      <w:tblPr>
        <w:tblStyle w:val="Tabelacomgrade"/>
        <w:tblW w:w="10065" w:type="dxa"/>
        <w:tblInd w:w="-289" w:type="dxa"/>
        <w:tblLook w:val="04A0" w:firstRow="1" w:lastRow="0" w:firstColumn="1" w:lastColumn="0" w:noHBand="0" w:noVBand="1"/>
      </w:tblPr>
      <w:tblGrid>
        <w:gridCol w:w="10065"/>
      </w:tblGrid>
      <w:tr w:rsidR="005747F1" w:rsidRPr="00485F85" w14:paraId="7B6A985A" w14:textId="77777777" w:rsidTr="005747F1">
        <w:tc>
          <w:tcPr>
            <w:tcW w:w="10065" w:type="dxa"/>
            <w:hideMark/>
          </w:tcPr>
          <w:p w14:paraId="1F0E1C91" w14:textId="77777777" w:rsidR="005747F1" w:rsidRPr="00485F85" w:rsidRDefault="005747F1" w:rsidP="00775044">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2644579D" w14:textId="77777777" w:rsidTr="005747F1">
        <w:tc>
          <w:tcPr>
            <w:tcW w:w="10065" w:type="dxa"/>
            <w:tcBorders>
              <w:top w:val="single" w:sz="4" w:space="0" w:color="auto"/>
              <w:left w:val="single" w:sz="4" w:space="0" w:color="auto"/>
              <w:bottom w:val="single" w:sz="4" w:space="0" w:color="auto"/>
              <w:right w:val="single" w:sz="4" w:space="0" w:color="auto"/>
            </w:tcBorders>
          </w:tcPr>
          <w:p w14:paraId="14F01D27"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 O concurso de arte Beyond Boundaries 2020, da Divisão de Matemática, Física e Ciências da Vida (MPLS) para alunos da escola estadual de Oxfordshire nos anos 5, 6, 7 e 8, teve a proposta de criar arte inspirada por pesquisas de cientistas negros, asiáticos e de minorias étnicas e matemáticos.</w:t>
            </w:r>
          </w:p>
          <w:p w14:paraId="5A9B20A2" w14:textId="77777777" w:rsidR="005747F1" w:rsidRPr="00485F85" w:rsidRDefault="005747F1" w:rsidP="00775044">
            <w:pPr>
              <w:jc w:val="both"/>
              <w:rPr>
                <w:rFonts w:asciiTheme="majorHAnsi" w:hAnsiTheme="majorHAnsi" w:cstheme="majorHAnsi"/>
              </w:rPr>
            </w:pPr>
          </w:p>
          <w:p w14:paraId="0C3FBAED"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 O concurso '50 palavras, criado em</w:t>
            </w:r>
            <w:r w:rsidRPr="00485F85">
              <w:rPr>
                <w:rFonts w:asciiTheme="majorHAnsi" w:hAnsiTheme="majorHAnsi" w:cstheme="majorHAnsi"/>
              </w:rPr>
              <w:tab/>
              <w:t xml:space="preserve">2021, proporcionou a interação de alunos ensino médio de Oxfordshire em um concurso de redação para explicar, em 50 palavras ou menos, “o que eles pensam quando pensam sobre pesquisa. </w:t>
            </w:r>
          </w:p>
          <w:p w14:paraId="03F2C1EF" w14:textId="77777777" w:rsidR="005747F1" w:rsidRPr="00485F85" w:rsidRDefault="005747F1" w:rsidP="00775044">
            <w:pPr>
              <w:jc w:val="both"/>
              <w:rPr>
                <w:rFonts w:asciiTheme="majorHAnsi" w:hAnsiTheme="majorHAnsi" w:cstheme="majorHAnsi"/>
              </w:rPr>
            </w:pPr>
          </w:p>
          <w:p w14:paraId="1306AB45"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 O Oxford Sparks</w:t>
            </w:r>
            <w:r w:rsidRPr="00485F85">
              <w:rPr>
                <w:rFonts w:asciiTheme="majorHAnsi" w:hAnsiTheme="majorHAnsi" w:cstheme="majorHAnsi"/>
              </w:rPr>
              <w:tab/>
              <w:t>reúne recursos e informações  de toda a universidade para que a comunidade possa explorar e descobrir a pesquisa de Oxford. Ao todo, são mais de 400 exemplos de maneiras pelas quais o cidadão pode acessar e se envolver com as pesquisas de Oxford, que foram projetadas especificamente para serem acessíveis e envolventes.</w:t>
            </w:r>
          </w:p>
          <w:p w14:paraId="01E52773" w14:textId="77777777" w:rsidR="005747F1" w:rsidRPr="00485F85" w:rsidRDefault="005747F1" w:rsidP="00775044">
            <w:pPr>
              <w:jc w:val="both"/>
              <w:rPr>
                <w:rFonts w:asciiTheme="majorHAnsi" w:hAnsiTheme="majorHAnsi" w:cstheme="majorHAnsi"/>
              </w:rPr>
            </w:pPr>
          </w:p>
          <w:p w14:paraId="286F3513" w14:textId="395445B1" w:rsidR="005747F1" w:rsidRPr="00485F85" w:rsidRDefault="005747F1" w:rsidP="00775044">
            <w:pPr>
              <w:tabs>
                <w:tab w:val="clear" w:pos="1615"/>
              </w:tabs>
              <w:jc w:val="both"/>
              <w:rPr>
                <w:rFonts w:asciiTheme="majorHAnsi" w:hAnsiTheme="majorHAnsi" w:cstheme="majorHAnsi"/>
              </w:rPr>
            </w:pPr>
            <w:r w:rsidRPr="00485F85">
              <w:rPr>
                <w:rFonts w:asciiTheme="majorHAnsi" w:hAnsiTheme="majorHAnsi" w:cstheme="majorHAnsi"/>
              </w:rPr>
              <w:t>- Visitações aos jardins e parques Universitários acontecem desde 1864 Oxford convida a comunidade a participar de eventos como jogos, passeios, cantatas e muito mais.</w:t>
            </w:r>
          </w:p>
          <w:p w14:paraId="4D53F4A4" w14:textId="77777777" w:rsidR="005747F1" w:rsidRPr="00485F85" w:rsidRDefault="005747F1" w:rsidP="00775044">
            <w:pPr>
              <w:jc w:val="both"/>
              <w:rPr>
                <w:rFonts w:asciiTheme="majorHAnsi" w:hAnsiTheme="majorHAnsi" w:cstheme="majorHAnsi"/>
              </w:rPr>
            </w:pPr>
          </w:p>
          <w:p w14:paraId="43C129BE"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 xml:space="preserve">- Espaço para contato com o objetivo de colaborar com o a comunidade. No site de contato os alunos e professores podem trabalhar com projetos comunitários. Caso o interessado da comunidade achar que seu </w:t>
            </w:r>
            <w:r w:rsidRPr="00485F85">
              <w:rPr>
                <w:rFonts w:asciiTheme="majorHAnsi" w:hAnsiTheme="majorHAnsi" w:cstheme="majorHAnsi"/>
              </w:rPr>
              <w:lastRenderedPageBreak/>
              <w:t>grupo ou projeto poderia explorar de maneira útil, a parceria poderia ser estabelecida; seja com mentor e aconselhamento, voluntariado e participação, compartilhamento de dados e experiência ou até mesmo um empreendimento comercial. O interessado deve entrar em contato pelo site com os departamentos específicos.</w:t>
            </w:r>
          </w:p>
          <w:p w14:paraId="646B30BE" w14:textId="77777777" w:rsidR="005747F1" w:rsidRPr="00485F85" w:rsidRDefault="005747F1" w:rsidP="00775044">
            <w:pPr>
              <w:jc w:val="both"/>
              <w:rPr>
                <w:rFonts w:asciiTheme="majorHAnsi" w:hAnsiTheme="majorHAnsi" w:cstheme="majorHAnsi"/>
              </w:rPr>
            </w:pPr>
          </w:p>
          <w:p w14:paraId="7F39D73D" w14:textId="77777777" w:rsidR="005747F1" w:rsidRPr="00485F85" w:rsidRDefault="00A515B3" w:rsidP="00775044">
            <w:pPr>
              <w:jc w:val="both"/>
              <w:rPr>
                <w:rFonts w:asciiTheme="majorHAnsi" w:hAnsiTheme="majorHAnsi" w:cstheme="majorHAnsi"/>
              </w:rPr>
            </w:pPr>
            <w:hyperlink r:id="rId61" w:history="1">
              <w:r w:rsidR="005747F1" w:rsidRPr="00485F85">
                <w:rPr>
                  <w:rStyle w:val="Hyperlink"/>
                  <w:rFonts w:asciiTheme="majorHAnsi" w:hAnsiTheme="majorHAnsi" w:cstheme="majorHAnsi"/>
                </w:rPr>
                <w:t>https://www.ox.ac.uk/local-community/small-community-grants/collaboration</w:t>
              </w:r>
            </w:hyperlink>
            <w:r w:rsidR="005747F1" w:rsidRPr="00485F85">
              <w:rPr>
                <w:rFonts w:asciiTheme="majorHAnsi" w:hAnsiTheme="majorHAnsi" w:cstheme="majorHAnsi"/>
              </w:rPr>
              <w:t xml:space="preserve"> </w:t>
            </w:r>
          </w:p>
          <w:p w14:paraId="690346C7" w14:textId="77777777" w:rsidR="005747F1" w:rsidRPr="00485F85" w:rsidRDefault="005747F1" w:rsidP="00775044">
            <w:pPr>
              <w:jc w:val="both"/>
              <w:rPr>
                <w:rFonts w:asciiTheme="majorHAnsi" w:hAnsiTheme="majorHAnsi" w:cstheme="majorHAnsi"/>
              </w:rPr>
            </w:pPr>
          </w:p>
          <w:p w14:paraId="3DBF37CE" w14:textId="77777777" w:rsidR="005747F1" w:rsidRPr="00485F85" w:rsidRDefault="005747F1" w:rsidP="00775044">
            <w:pPr>
              <w:rPr>
                <w:rFonts w:asciiTheme="majorHAnsi" w:hAnsiTheme="majorHAnsi" w:cstheme="majorHAnsi"/>
              </w:rPr>
            </w:pPr>
            <w:r w:rsidRPr="00485F85">
              <w:rPr>
                <w:rFonts w:asciiTheme="majorHAnsi" w:hAnsiTheme="majorHAnsi" w:cstheme="majorHAnsi"/>
              </w:rPr>
              <w:t xml:space="preserve">- Oxford também sugere a participação da comunidade em seus projetos de pesquisa, como voluntários ou colaboradores. Trata-se de um espaço no site dedicado ao chamamento da Comunidade para participar ativamente como voluntários ou parceiros das pesquisas da universidade. Link: </w:t>
            </w:r>
            <w:hyperlink r:id="rId62" w:history="1">
              <w:r w:rsidRPr="00485F85">
                <w:rPr>
                  <w:rStyle w:val="Hyperlink"/>
                  <w:rFonts w:asciiTheme="majorHAnsi" w:hAnsiTheme="majorHAnsi" w:cstheme="majorHAnsi"/>
                </w:rPr>
                <w:t>https://www.ox.ac.uk/local-community/get-involved</w:t>
              </w:r>
            </w:hyperlink>
            <w:r w:rsidRPr="00485F85">
              <w:rPr>
                <w:rFonts w:asciiTheme="majorHAnsi" w:hAnsiTheme="majorHAnsi" w:cstheme="majorHAnsi"/>
              </w:rPr>
              <w:t xml:space="preserve"> </w:t>
            </w:r>
          </w:p>
          <w:p w14:paraId="6BCCA8CF" w14:textId="77777777" w:rsidR="005747F1" w:rsidRPr="00485F85" w:rsidRDefault="005747F1" w:rsidP="00775044">
            <w:pPr>
              <w:rPr>
                <w:rFonts w:asciiTheme="majorHAnsi" w:hAnsiTheme="majorHAnsi" w:cstheme="majorHAnsi"/>
              </w:rPr>
            </w:pPr>
          </w:p>
          <w:p w14:paraId="2574F846" w14:textId="77777777" w:rsidR="005747F1" w:rsidRPr="00485F85" w:rsidRDefault="005747F1" w:rsidP="00775044">
            <w:pPr>
              <w:rPr>
                <w:rFonts w:asciiTheme="majorHAnsi" w:hAnsiTheme="majorHAnsi" w:cstheme="majorHAnsi"/>
              </w:rPr>
            </w:pPr>
            <w:r w:rsidRPr="00485F85">
              <w:rPr>
                <w:rFonts w:asciiTheme="majorHAnsi" w:hAnsiTheme="majorHAnsi" w:cstheme="majorHAnsi"/>
              </w:rPr>
              <w:t>- A organização de eventos acadêmicos, de negócios até casamentos (</w:t>
            </w:r>
            <w:hyperlink r:id="rId63" w:history="1">
              <w:r w:rsidRPr="00485F85">
                <w:rPr>
                  <w:rStyle w:val="Hyperlink"/>
                  <w:rFonts w:asciiTheme="majorHAnsi" w:hAnsiTheme="majorHAnsi" w:cstheme="majorHAnsi"/>
                </w:rPr>
                <w:t>https://conference-oxford.com/about/weddings</w:t>
              </w:r>
            </w:hyperlink>
            <w:r w:rsidRPr="00485F85">
              <w:rPr>
                <w:rFonts w:asciiTheme="majorHAnsi" w:hAnsiTheme="majorHAnsi" w:cstheme="majorHAnsi"/>
              </w:rPr>
              <w:t>) é incentivada na Instituição e a comunidade pode frequentar seus espaços.</w:t>
            </w:r>
          </w:p>
          <w:p w14:paraId="13655EA3" w14:textId="77777777" w:rsidR="005747F1" w:rsidRPr="00485F85" w:rsidRDefault="00A515B3" w:rsidP="00775044">
            <w:pPr>
              <w:rPr>
                <w:rFonts w:asciiTheme="majorHAnsi" w:hAnsiTheme="majorHAnsi" w:cstheme="majorHAnsi"/>
              </w:rPr>
            </w:pPr>
            <w:hyperlink r:id="rId64" w:history="1">
              <w:r w:rsidR="005747F1" w:rsidRPr="00485F85">
                <w:rPr>
                  <w:rStyle w:val="Hyperlink"/>
                  <w:rFonts w:asciiTheme="majorHAnsi" w:hAnsiTheme="majorHAnsi" w:cstheme="majorHAnsi"/>
                </w:rPr>
                <w:t>https://www.ox.ac.uk/visitors</w:t>
              </w:r>
            </w:hyperlink>
            <w:r w:rsidR="005747F1" w:rsidRPr="00485F85">
              <w:rPr>
                <w:rFonts w:asciiTheme="majorHAnsi" w:hAnsiTheme="majorHAnsi" w:cstheme="majorHAnsi"/>
              </w:rPr>
              <w:t xml:space="preserve"> </w:t>
            </w:r>
          </w:p>
          <w:p w14:paraId="32EC5873" w14:textId="77777777" w:rsidR="005747F1" w:rsidRPr="00485F85" w:rsidRDefault="005747F1" w:rsidP="00775044">
            <w:pPr>
              <w:jc w:val="both"/>
              <w:rPr>
                <w:rFonts w:asciiTheme="majorHAnsi" w:hAnsiTheme="majorHAnsi" w:cstheme="majorHAnsi"/>
              </w:rPr>
            </w:pPr>
          </w:p>
          <w:p w14:paraId="300A0753"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 A divisão de educação Continuada é o melhor esforço da Universidade em se fazer presente e interagir com a comunidade. Para atingir esse objetivo oferece:</w:t>
            </w:r>
          </w:p>
          <w:p w14:paraId="0BC7C2F0"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•Aulas semanais</w:t>
            </w:r>
          </w:p>
          <w:p w14:paraId="098E251E"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•Cursos online</w:t>
            </w:r>
          </w:p>
          <w:p w14:paraId="2D329EA8"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•Escolas diurnas e finais de semana</w:t>
            </w:r>
          </w:p>
          <w:p w14:paraId="09FD53B3"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•Escolas de verão</w:t>
            </w:r>
          </w:p>
          <w:p w14:paraId="5680A423" w14:textId="77777777" w:rsidR="005747F1" w:rsidRPr="00485F85" w:rsidRDefault="005747F1" w:rsidP="00775044">
            <w:pPr>
              <w:jc w:val="both"/>
              <w:rPr>
                <w:rFonts w:asciiTheme="majorHAnsi" w:hAnsiTheme="majorHAnsi" w:cstheme="majorHAnsi"/>
              </w:rPr>
            </w:pPr>
            <w:r w:rsidRPr="00485F85">
              <w:rPr>
                <w:rFonts w:asciiTheme="majorHAnsi" w:hAnsiTheme="majorHAnsi" w:cstheme="majorHAnsi"/>
              </w:rPr>
              <w:t>•Desenvolvimento profissional contínuo , incluindo treinamento personalizado para empresas</w:t>
            </w:r>
          </w:p>
          <w:p w14:paraId="2025AFB4" w14:textId="77777777" w:rsidR="005747F1" w:rsidRPr="00485F85" w:rsidRDefault="00A515B3" w:rsidP="00775044">
            <w:pPr>
              <w:jc w:val="both"/>
              <w:rPr>
                <w:rFonts w:asciiTheme="majorHAnsi" w:hAnsiTheme="majorHAnsi" w:cstheme="majorHAnsi"/>
              </w:rPr>
            </w:pPr>
            <w:hyperlink r:id="rId65" w:anchor="/?s=&amp;sort=availability" w:history="1">
              <w:r w:rsidR="005747F1" w:rsidRPr="00485F85">
                <w:rPr>
                  <w:rStyle w:val="Hyperlink"/>
                  <w:rFonts w:asciiTheme="majorHAnsi" w:hAnsiTheme="majorHAnsi" w:cstheme="majorHAnsi"/>
                </w:rPr>
                <w:t>https://www.conted.ox.ac.uk/search#/?s=&amp;sort=availability</w:t>
              </w:r>
            </w:hyperlink>
            <w:r w:rsidR="005747F1" w:rsidRPr="00485F85">
              <w:rPr>
                <w:rFonts w:asciiTheme="majorHAnsi" w:hAnsiTheme="majorHAnsi" w:cstheme="majorHAnsi"/>
              </w:rPr>
              <w:t xml:space="preserve"> </w:t>
            </w:r>
          </w:p>
          <w:p w14:paraId="5B033CE7" w14:textId="3D105FFD" w:rsidR="005747F1" w:rsidRPr="00485F85" w:rsidRDefault="005747F1" w:rsidP="00775044">
            <w:pPr>
              <w:tabs>
                <w:tab w:val="clear" w:pos="1615"/>
              </w:tabs>
              <w:spacing w:after="160" w:line="259" w:lineRule="auto"/>
              <w:rPr>
                <w:rFonts w:asciiTheme="majorHAnsi" w:hAnsiTheme="majorHAnsi" w:cstheme="majorHAnsi"/>
                <w:b/>
                <w:bCs/>
              </w:rPr>
            </w:pPr>
          </w:p>
        </w:tc>
      </w:tr>
    </w:tbl>
    <w:p w14:paraId="7ADBA783" w14:textId="77777777" w:rsidR="00F756AF" w:rsidRPr="00485F85" w:rsidRDefault="00F756AF" w:rsidP="00F756AF">
      <w:pPr>
        <w:rPr>
          <w:rFonts w:asciiTheme="majorHAnsi" w:hAnsiTheme="majorHAnsi" w:cstheme="majorHAnsi"/>
          <w:b/>
          <w:bCs/>
        </w:rPr>
      </w:pPr>
      <w:r w:rsidRPr="00485F85">
        <w:rPr>
          <w:rFonts w:asciiTheme="majorHAnsi" w:hAnsiTheme="majorHAnsi" w:cstheme="majorHAnsi"/>
          <w:b/>
          <w:bCs/>
        </w:rPr>
        <w:lastRenderedPageBreak/>
        <w:t>Fonte: Autora</w:t>
      </w:r>
    </w:p>
    <w:p w14:paraId="4FBE092D" w14:textId="4872ECEC" w:rsidR="005747F1" w:rsidRPr="00485F85" w:rsidRDefault="005747F1" w:rsidP="005747F1">
      <w:pPr>
        <w:rPr>
          <w:rFonts w:asciiTheme="majorHAnsi" w:hAnsiTheme="majorHAnsi" w:cstheme="majorHAnsi"/>
        </w:rPr>
      </w:pPr>
    </w:p>
    <w:p w14:paraId="7BF7F0F3" w14:textId="71E38499" w:rsidR="005747F1" w:rsidRPr="00485F85" w:rsidRDefault="005747F1" w:rsidP="005747F1">
      <w:pPr>
        <w:rPr>
          <w:rFonts w:asciiTheme="majorHAnsi" w:hAnsiTheme="majorHAnsi" w:cstheme="majorHAnsi"/>
        </w:rPr>
      </w:pPr>
    </w:p>
    <w:p w14:paraId="4062D832" w14:textId="2B0CBE52" w:rsidR="005747F1" w:rsidRPr="00485F85" w:rsidRDefault="005747F1" w:rsidP="005747F1">
      <w:pPr>
        <w:rPr>
          <w:rFonts w:asciiTheme="majorHAnsi" w:hAnsiTheme="majorHAnsi" w:cstheme="majorHAnsi"/>
        </w:rPr>
      </w:pPr>
    </w:p>
    <w:p w14:paraId="22EE268F" w14:textId="2549FC77" w:rsidR="005747F1" w:rsidRPr="00485F85" w:rsidRDefault="005747F1" w:rsidP="005747F1">
      <w:pPr>
        <w:rPr>
          <w:rFonts w:asciiTheme="majorHAnsi" w:hAnsiTheme="majorHAnsi" w:cstheme="majorHAnsi"/>
        </w:rPr>
      </w:pPr>
    </w:p>
    <w:p w14:paraId="226723C5" w14:textId="77777777" w:rsidR="005747F1" w:rsidRPr="00485F85" w:rsidRDefault="005747F1" w:rsidP="005747F1">
      <w:pPr>
        <w:rPr>
          <w:rFonts w:asciiTheme="majorHAnsi" w:hAnsiTheme="majorHAnsi" w:cstheme="majorHAnsi"/>
        </w:rPr>
      </w:pPr>
    </w:p>
    <w:p w14:paraId="2437FD0B" w14:textId="12F34D90" w:rsidR="005747F1" w:rsidRPr="00485F85" w:rsidRDefault="005747F1" w:rsidP="005747F1">
      <w:pPr>
        <w:rPr>
          <w:rFonts w:asciiTheme="majorHAnsi" w:hAnsiTheme="majorHAnsi" w:cstheme="majorHAnsi"/>
        </w:rPr>
      </w:pPr>
    </w:p>
    <w:p w14:paraId="1AF35A7E" w14:textId="77777777" w:rsidR="005747F1" w:rsidRPr="00485F85" w:rsidRDefault="005747F1" w:rsidP="005747F1">
      <w:pPr>
        <w:rPr>
          <w:rFonts w:asciiTheme="majorHAnsi" w:hAnsiTheme="majorHAnsi" w:cstheme="majorHAnsi"/>
        </w:rPr>
      </w:pPr>
    </w:p>
    <w:p w14:paraId="04619404" w14:textId="77777777" w:rsidR="005747F1" w:rsidRPr="00485F85" w:rsidRDefault="005747F1">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7B384AF0" w14:textId="364ACB37" w:rsidR="0058079B" w:rsidRPr="00485F85" w:rsidRDefault="00A206D5" w:rsidP="00A206D5">
      <w:pPr>
        <w:pStyle w:val="Ttulo3"/>
        <w:ind w:left="1276"/>
        <w:rPr>
          <w:rFonts w:asciiTheme="majorHAnsi" w:hAnsiTheme="majorHAnsi" w:cstheme="majorHAnsi"/>
        </w:rPr>
      </w:pPr>
      <w:bookmarkStart w:id="40" w:name="_Toc82101327"/>
      <w:r w:rsidRPr="00485F85">
        <w:rPr>
          <w:rFonts w:asciiTheme="majorHAnsi" w:hAnsiTheme="majorHAnsi" w:cstheme="majorHAnsi"/>
        </w:rPr>
        <w:lastRenderedPageBreak/>
        <w:t>DIMENSÃO 7. FINANCIAMENTO</w:t>
      </w:r>
      <w:bookmarkEnd w:id="40"/>
    </w:p>
    <w:p w14:paraId="1103FBCB" w14:textId="77777777" w:rsidR="005747F1" w:rsidRPr="00485F85" w:rsidRDefault="005747F1" w:rsidP="005747F1">
      <w:pPr>
        <w:rPr>
          <w:rFonts w:asciiTheme="majorHAnsi" w:hAnsiTheme="majorHAnsi" w:cstheme="majorHAnsi"/>
        </w:rPr>
      </w:pPr>
    </w:p>
    <w:p w14:paraId="2CB4CF41" w14:textId="3E5AD230" w:rsidR="00D22F84" w:rsidRPr="00485F85" w:rsidRDefault="00533F93" w:rsidP="00775044">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0C6297D5" wp14:editId="6D70FAD5">
            <wp:extent cx="5930153" cy="3763721"/>
            <wp:effectExtent l="0" t="0" r="0" b="8255"/>
            <wp:docPr id="30" name="Imagem 3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iagrama&#10;&#10;Descrição gerad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2610" cy="3765281"/>
                    </a:xfrm>
                    <a:prstGeom prst="rect">
                      <a:avLst/>
                    </a:prstGeom>
                  </pic:spPr>
                </pic:pic>
              </a:graphicData>
            </a:graphic>
          </wp:inline>
        </w:drawing>
      </w:r>
    </w:p>
    <w:p w14:paraId="3D3E5859" w14:textId="1BD0312A" w:rsidR="007B2CA8" w:rsidRPr="00485F85" w:rsidRDefault="007B2CA8" w:rsidP="00775044">
      <w:pPr>
        <w:tabs>
          <w:tab w:val="clear" w:pos="1615"/>
        </w:tabs>
        <w:spacing w:line="259" w:lineRule="auto"/>
        <w:rPr>
          <w:rFonts w:asciiTheme="majorHAnsi" w:hAnsiTheme="majorHAnsi" w:cstheme="majorHAnsi"/>
          <w:b/>
          <w:bCs/>
        </w:rPr>
      </w:pPr>
    </w:p>
    <w:p w14:paraId="2460C73B"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12 – Boas práticas Dimensão 7. Financiamento</w:t>
      </w:r>
    </w:p>
    <w:p w14:paraId="1CFAE224" w14:textId="2FC7DB88"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69460DF7" w14:textId="1E7274EC" w:rsidR="005747F1" w:rsidRPr="00485F85" w:rsidRDefault="005747F1" w:rsidP="00775044">
      <w:pPr>
        <w:tabs>
          <w:tab w:val="clear" w:pos="1615"/>
        </w:tabs>
        <w:spacing w:line="259" w:lineRule="auto"/>
        <w:rPr>
          <w:rFonts w:asciiTheme="majorHAnsi" w:hAnsiTheme="majorHAnsi" w:cstheme="majorHAnsi"/>
          <w:b/>
          <w:bCs/>
        </w:rPr>
      </w:pPr>
    </w:p>
    <w:p w14:paraId="43E00103" w14:textId="59B4B4E7"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19</w:t>
      </w:r>
      <w:r w:rsidRPr="00485F85">
        <w:rPr>
          <w:rFonts w:asciiTheme="majorHAnsi" w:hAnsiTheme="majorHAnsi" w:cstheme="majorHAnsi"/>
        </w:rPr>
        <w:t xml:space="preserve"> – Dimensão</w:t>
      </w:r>
      <w:r w:rsidR="00E72FE1" w:rsidRPr="00485F85">
        <w:rPr>
          <w:rFonts w:asciiTheme="majorHAnsi" w:hAnsiTheme="majorHAnsi" w:cstheme="majorHAnsi"/>
        </w:rPr>
        <w:t>7</w:t>
      </w:r>
      <w:r w:rsidRPr="00485F85">
        <w:rPr>
          <w:rFonts w:asciiTheme="majorHAnsi" w:hAnsiTheme="majorHAnsi" w:cstheme="majorHAnsi"/>
        </w:rPr>
        <w:t xml:space="preserve"> – Boas Práticas para Gestão Inovadora</w:t>
      </w:r>
    </w:p>
    <w:tbl>
      <w:tblPr>
        <w:tblStyle w:val="Tabelacomgrade"/>
        <w:tblW w:w="9923" w:type="dxa"/>
        <w:tblInd w:w="-289" w:type="dxa"/>
        <w:tblLook w:val="04A0" w:firstRow="1" w:lastRow="0" w:firstColumn="1" w:lastColumn="0" w:noHBand="0" w:noVBand="1"/>
      </w:tblPr>
      <w:tblGrid>
        <w:gridCol w:w="9923"/>
      </w:tblGrid>
      <w:tr w:rsidR="005747F1" w:rsidRPr="00485F85" w14:paraId="1C20B547" w14:textId="77777777" w:rsidTr="005747F1">
        <w:tc>
          <w:tcPr>
            <w:tcW w:w="9923" w:type="dxa"/>
            <w:hideMark/>
          </w:tcPr>
          <w:p w14:paraId="5E20671D" w14:textId="77777777" w:rsidR="005747F1" w:rsidRPr="00485F85" w:rsidRDefault="005747F1" w:rsidP="00BB72C8">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1DD495E7" w14:textId="77777777" w:rsidTr="005747F1">
        <w:tc>
          <w:tcPr>
            <w:tcW w:w="9923" w:type="dxa"/>
            <w:tcBorders>
              <w:top w:val="single" w:sz="4" w:space="0" w:color="auto"/>
              <w:left w:val="single" w:sz="4" w:space="0" w:color="auto"/>
              <w:bottom w:val="single" w:sz="4" w:space="0" w:color="auto"/>
              <w:right w:val="single" w:sz="4" w:space="0" w:color="auto"/>
            </w:tcBorders>
          </w:tcPr>
          <w:p w14:paraId="3DC6B6CA"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A partir das informações do site a Universidade se mostrou organizada com suas finanças e exibiu diversas formas de captação de recursos para suas atividades. Foi observado que a maior parte de sua renda não advém de matrículas, por exemplo, mas de Bolsas e contratos de pesquisa no ano de 19/20.</w:t>
            </w:r>
          </w:p>
          <w:p w14:paraId="6051FEA7"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xml:space="preserve">- Foram encontrados indícios de que a alocação e priorização de recursos em Oxford é conduzido com planejamento e organização uma vez que existem diversos comitês que auxiliam na fiscalização e proposição de alocação interna de recursos. Foram apurados mais de 10 comitês dedicados a isso. Seus registros, membros e atribuições estão no link: </w:t>
            </w:r>
            <w:hyperlink r:id="rId67" w:history="1">
              <w:r w:rsidRPr="00485F85">
                <w:rPr>
                  <w:rStyle w:val="Hyperlink"/>
                  <w:rFonts w:asciiTheme="majorHAnsi" w:hAnsiTheme="majorHAnsi" w:cstheme="majorHAnsi"/>
                </w:rPr>
                <w:t>https://governance.admin.ox.ac.uk/committees</w:t>
              </w:r>
            </w:hyperlink>
          </w:p>
          <w:p w14:paraId="44594042"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Oxford possui um escritório somente com foco em receber e prospectar doações. Trata-se do “Development Office (UODO)” um escritório dedicado que busca arrecadar fundos para apoiar as prioridades acadêmicas da Universidade. A UODO colabora com colegas em toda a universidade colegiada para garantir doações em todos os aspectos do esforço acadêmico e estudantil. Sua arrecadação entre 1 de agosto de 2019 - 31 de julho de 2020 foi de £ 316 milhões de libras.</w:t>
            </w:r>
          </w:p>
          <w:p w14:paraId="2F02F86C" w14:textId="77777777" w:rsidR="005747F1" w:rsidRPr="00485F85" w:rsidRDefault="00A515B3" w:rsidP="00775044">
            <w:pPr>
              <w:tabs>
                <w:tab w:val="clear" w:pos="1615"/>
              </w:tabs>
              <w:spacing w:after="160" w:line="259" w:lineRule="auto"/>
              <w:jc w:val="both"/>
              <w:rPr>
                <w:rFonts w:asciiTheme="majorHAnsi" w:hAnsiTheme="majorHAnsi" w:cstheme="majorHAnsi"/>
              </w:rPr>
            </w:pPr>
            <w:hyperlink r:id="rId68" w:history="1">
              <w:r w:rsidR="005747F1" w:rsidRPr="00485F85">
                <w:rPr>
                  <w:rStyle w:val="Hyperlink"/>
                  <w:rFonts w:asciiTheme="majorHAnsi" w:hAnsiTheme="majorHAnsi" w:cstheme="majorHAnsi"/>
                </w:rPr>
                <w:t>https://www.development.ox.ac.uk/fundraising-reports</w:t>
              </w:r>
            </w:hyperlink>
            <w:r w:rsidR="005747F1" w:rsidRPr="00485F85">
              <w:rPr>
                <w:rFonts w:asciiTheme="majorHAnsi" w:hAnsiTheme="majorHAnsi" w:cstheme="majorHAnsi"/>
              </w:rPr>
              <w:t xml:space="preserve"> </w:t>
            </w:r>
          </w:p>
          <w:p w14:paraId="64B25AD8" w14:textId="10FA4E35"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lastRenderedPageBreak/>
              <w:t xml:space="preserve"> - Balanços financeiros da universidade puderam ser encontrados no site da Instituição numa série histórica a partir de 2015, o que leva a crer que a transparência dos processos é uma de suas boas práticas. Sua estabilidade financeira e seus demonstrativos são suficientes para que ela atinja a sua missão com qualidade.</w:t>
            </w:r>
          </w:p>
          <w:p w14:paraId="2953EA16" w14:textId="77777777" w:rsidR="005747F1" w:rsidRPr="00485F85" w:rsidRDefault="00A515B3" w:rsidP="00775044">
            <w:pPr>
              <w:tabs>
                <w:tab w:val="clear" w:pos="1615"/>
              </w:tabs>
              <w:spacing w:after="160" w:line="259" w:lineRule="auto"/>
              <w:jc w:val="both"/>
              <w:rPr>
                <w:rFonts w:asciiTheme="majorHAnsi" w:hAnsiTheme="majorHAnsi" w:cstheme="majorHAnsi"/>
                <w:u w:val="single"/>
              </w:rPr>
            </w:pPr>
            <w:hyperlink r:id="rId69" w:history="1">
              <w:r w:rsidR="005747F1" w:rsidRPr="00485F85">
                <w:rPr>
                  <w:rStyle w:val="Hyperlink"/>
                  <w:rFonts w:asciiTheme="majorHAnsi" w:hAnsiTheme="majorHAnsi" w:cstheme="majorHAnsi"/>
                </w:rPr>
                <w:t>https://www.ox.ac.uk/about/organisation/finance-and-funding</w:t>
              </w:r>
            </w:hyperlink>
            <w:r w:rsidR="005747F1" w:rsidRPr="00485F85">
              <w:rPr>
                <w:rFonts w:asciiTheme="majorHAnsi" w:hAnsiTheme="majorHAnsi" w:cstheme="majorHAnsi"/>
                <w:u w:val="single"/>
              </w:rPr>
              <w:t xml:space="preserve"> </w:t>
            </w:r>
          </w:p>
          <w:p w14:paraId="4DD19A3B"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Uma dimensão do planejamento estratégico da Instituição é dedicada a dimensão financeira com uma régua simples e consiste para a administração dos recursos da Universidade. As principais prioridades são:</w:t>
            </w:r>
          </w:p>
          <w:p w14:paraId="7D169688"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Diversificar as fontes de renda e investimento, inclusive por meio de parcerias com o setor privado, atividades comerciais, filantropia e a variedade de fontes de financiamento para pesquisa.</w:t>
            </w:r>
          </w:p>
          <w:p w14:paraId="379D1B6C" w14:textId="6B3B30AF"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Por meio do programa Focus, forne</w:t>
            </w:r>
            <w:r w:rsidR="00AA6586" w:rsidRPr="00485F85">
              <w:rPr>
                <w:rFonts w:asciiTheme="majorHAnsi" w:hAnsiTheme="majorHAnsi" w:cstheme="majorHAnsi"/>
              </w:rPr>
              <w:t>cer</w:t>
            </w:r>
            <w:r w:rsidRPr="00485F85">
              <w:rPr>
                <w:rFonts w:asciiTheme="majorHAnsi" w:hAnsiTheme="majorHAnsi" w:cstheme="majorHAnsi"/>
              </w:rPr>
              <w:t xml:space="preserve"> melhorias de serviço e processo para permitir o crescimento contínuo em pesquisa e educação sem um crescimento equivalente nos custos de serviço.</w:t>
            </w:r>
          </w:p>
          <w:p w14:paraId="06572B13" w14:textId="43672D77" w:rsidR="005747F1" w:rsidRPr="00485F85" w:rsidRDefault="00A515B3" w:rsidP="00775044">
            <w:pPr>
              <w:tabs>
                <w:tab w:val="clear" w:pos="1615"/>
              </w:tabs>
              <w:spacing w:after="160" w:line="259" w:lineRule="auto"/>
              <w:jc w:val="both"/>
              <w:rPr>
                <w:rFonts w:asciiTheme="majorHAnsi" w:hAnsiTheme="majorHAnsi" w:cstheme="majorHAnsi"/>
              </w:rPr>
            </w:pPr>
            <w:hyperlink r:id="rId70" w:history="1">
              <w:r w:rsidR="005747F1" w:rsidRPr="00485F85">
                <w:rPr>
                  <w:rStyle w:val="Hyperlink"/>
                  <w:rFonts w:asciiTheme="majorHAnsi" w:hAnsiTheme="majorHAnsi" w:cstheme="majorHAnsi"/>
                </w:rPr>
                <w:t>https://governance.admin.ox.ac.uk/focus-programme</w:t>
              </w:r>
            </w:hyperlink>
            <w:r w:rsidR="005747F1" w:rsidRPr="00485F85">
              <w:rPr>
                <w:rFonts w:asciiTheme="majorHAnsi" w:hAnsiTheme="majorHAnsi" w:cstheme="majorHAnsi"/>
              </w:rPr>
              <w:t xml:space="preserve"> </w:t>
            </w:r>
          </w:p>
          <w:p w14:paraId="1071C01F"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Oferecer um programa de investimento de capital em propriedade e TI de pelo menos £ 500 milhões até 2023.</w:t>
            </w:r>
          </w:p>
          <w:p w14:paraId="27483FD3" w14:textId="77777777"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Até 2023, em parceria com o setor privado, ter iniciado a construção de pelo menos 1.000 novas moradias subsidiadas para universidades e funcionários de faculdades.</w:t>
            </w:r>
          </w:p>
          <w:p w14:paraId="42B2C9B0" w14:textId="5849CF72" w:rsidR="005747F1" w:rsidRPr="00485F85" w:rsidRDefault="005747F1" w:rsidP="00775044">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Conceber e implementar uma estratégia de desenvolvimento, com recursos adequados, que corresponda à escala e ambição dos objetivos estratégicos da Universidade.</w:t>
            </w:r>
          </w:p>
          <w:p w14:paraId="1EAAE9B5" w14:textId="6C3A3B1A" w:rsidR="005747F1" w:rsidRPr="00485F85" w:rsidRDefault="00A515B3" w:rsidP="00775044">
            <w:pPr>
              <w:tabs>
                <w:tab w:val="clear" w:pos="1615"/>
              </w:tabs>
              <w:spacing w:after="160" w:line="259" w:lineRule="auto"/>
              <w:jc w:val="both"/>
              <w:rPr>
                <w:rFonts w:asciiTheme="majorHAnsi" w:hAnsiTheme="majorHAnsi" w:cstheme="majorHAnsi"/>
              </w:rPr>
            </w:pPr>
            <w:hyperlink r:id="rId71" w:history="1">
              <w:r w:rsidR="005747F1" w:rsidRPr="00485F85">
                <w:rPr>
                  <w:rStyle w:val="Hyperlink"/>
                  <w:rFonts w:asciiTheme="majorHAnsi" w:hAnsiTheme="majorHAnsi" w:cstheme="majorHAnsi"/>
                </w:rPr>
                <w:t>https://www.ox.ac.uk/about/organisation/strategic-plan-2018-23/resources</w:t>
              </w:r>
            </w:hyperlink>
            <w:r w:rsidR="005747F1" w:rsidRPr="00485F85">
              <w:rPr>
                <w:rFonts w:asciiTheme="majorHAnsi" w:hAnsiTheme="majorHAnsi" w:cstheme="majorHAnsi"/>
              </w:rPr>
              <w:t xml:space="preserve"> </w:t>
            </w:r>
          </w:p>
        </w:tc>
      </w:tr>
    </w:tbl>
    <w:p w14:paraId="2EB6CF71" w14:textId="77777777" w:rsidR="00F756AF" w:rsidRPr="00485F85" w:rsidRDefault="00F756AF" w:rsidP="00F756AF">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71A229B4" w14:textId="77777777" w:rsidR="005747F1" w:rsidRPr="00485F85" w:rsidRDefault="005747F1">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632037B3" w14:textId="22F7F5D1" w:rsidR="0058079B" w:rsidRPr="00485F85" w:rsidRDefault="00A206D5" w:rsidP="00A206D5">
      <w:pPr>
        <w:pStyle w:val="Ttulo3"/>
        <w:ind w:left="1276"/>
        <w:rPr>
          <w:rFonts w:asciiTheme="majorHAnsi" w:hAnsiTheme="majorHAnsi" w:cstheme="majorHAnsi"/>
        </w:rPr>
      </w:pPr>
      <w:bookmarkStart w:id="41" w:name="_Toc82101328"/>
      <w:r w:rsidRPr="00485F85">
        <w:rPr>
          <w:rFonts w:asciiTheme="majorHAnsi" w:hAnsiTheme="majorHAnsi" w:cstheme="majorHAnsi"/>
        </w:rPr>
        <w:lastRenderedPageBreak/>
        <w:t>DIMENSÃO 8. POLÍTICA DE RELACIONAMENTO EXTERNO</w:t>
      </w:r>
      <w:bookmarkEnd w:id="41"/>
    </w:p>
    <w:p w14:paraId="17401FBC" w14:textId="77777777" w:rsidR="00F6428A" w:rsidRPr="00485F85" w:rsidRDefault="00F6428A" w:rsidP="00775044">
      <w:pPr>
        <w:tabs>
          <w:tab w:val="clear" w:pos="1615"/>
        </w:tabs>
        <w:spacing w:line="259" w:lineRule="auto"/>
        <w:rPr>
          <w:rFonts w:asciiTheme="majorHAnsi" w:hAnsiTheme="majorHAnsi" w:cstheme="majorHAnsi"/>
          <w:b/>
          <w:bCs/>
        </w:rPr>
      </w:pPr>
    </w:p>
    <w:p w14:paraId="50ADB8DC" w14:textId="1DC7B3B2" w:rsidR="00013E9D" w:rsidRPr="00485F85" w:rsidRDefault="00E80133" w:rsidP="00775044">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07AA71CB" wp14:editId="5580AFF6">
            <wp:extent cx="6120130" cy="4174490"/>
            <wp:effectExtent l="0" t="0" r="0" b="0"/>
            <wp:docPr id="31" name="Imagem 3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Diagrama&#10;&#10;Descrição gerada automa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130" cy="4174490"/>
                    </a:xfrm>
                    <a:prstGeom prst="rect">
                      <a:avLst/>
                    </a:prstGeom>
                  </pic:spPr>
                </pic:pic>
              </a:graphicData>
            </a:graphic>
          </wp:inline>
        </w:drawing>
      </w:r>
    </w:p>
    <w:p w14:paraId="11458796" w14:textId="336F49C1" w:rsidR="007B2CA8" w:rsidRPr="00485F85" w:rsidRDefault="007B2CA8" w:rsidP="00775044">
      <w:pPr>
        <w:tabs>
          <w:tab w:val="clear" w:pos="1615"/>
        </w:tabs>
        <w:spacing w:line="259" w:lineRule="auto"/>
        <w:rPr>
          <w:rFonts w:asciiTheme="majorHAnsi" w:hAnsiTheme="majorHAnsi" w:cstheme="majorHAnsi"/>
          <w:b/>
          <w:bCs/>
        </w:rPr>
      </w:pPr>
    </w:p>
    <w:p w14:paraId="33345DA4"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13 – Boas práticas Dimensão 8. Política de relacionamento externo</w:t>
      </w:r>
    </w:p>
    <w:p w14:paraId="4F6D36CC" w14:textId="03C31AAC"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6EE2D854" w14:textId="77777777" w:rsidR="003A735A" w:rsidRPr="00485F85" w:rsidRDefault="003A735A" w:rsidP="007B2CA8">
      <w:pPr>
        <w:tabs>
          <w:tab w:val="clear" w:pos="1615"/>
        </w:tabs>
        <w:spacing w:after="0"/>
        <w:rPr>
          <w:rFonts w:asciiTheme="majorHAnsi" w:hAnsiTheme="majorHAnsi" w:cstheme="majorHAnsi"/>
        </w:rPr>
      </w:pPr>
    </w:p>
    <w:p w14:paraId="4FFF82C2" w14:textId="1848232C" w:rsidR="003A735A" w:rsidRPr="00485F85" w:rsidRDefault="003A735A" w:rsidP="007B2CA8">
      <w:pPr>
        <w:tabs>
          <w:tab w:val="clear" w:pos="1615"/>
        </w:tabs>
        <w:spacing w:after="0"/>
        <w:rPr>
          <w:rFonts w:asciiTheme="majorHAnsi" w:hAnsiTheme="majorHAnsi" w:cstheme="majorHAnsi"/>
        </w:rPr>
      </w:pPr>
    </w:p>
    <w:p w14:paraId="3EA61010" w14:textId="0AEEC218"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20</w:t>
      </w:r>
      <w:r w:rsidRPr="00485F85">
        <w:rPr>
          <w:rFonts w:asciiTheme="majorHAnsi" w:hAnsiTheme="majorHAnsi" w:cstheme="majorHAnsi"/>
        </w:rPr>
        <w:t xml:space="preserve"> – Dimensão </w:t>
      </w:r>
      <w:r w:rsidR="00E72FE1" w:rsidRPr="00485F85">
        <w:rPr>
          <w:rFonts w:asciiTheme="majorHAnsi" w:hAnsiTheme="majorHAnsi" w:cstheme="majorHAnsi"/>
        </w:rPr>
        <w:t>8</w:t>
      </w:r>
      <w:r w:rsidRPr="00485F85">
        <w:rPr>
          <w:rFonts w:asciiTheme="majorHAnsi" w:hAnsiTheme="majorHAnsi" w:cstheme="majorHAnsi"/>
        </w:rPr>
        <w:t xml:space="preserve"> – Boas Práticas para Gestão Inovadora</w:t>
      </w:r>
    </w:p>
    <w:tbl>
      <w:tblPr>
        <w:tblStyle w:val="Tabelacomgrade"/>
        <w:tblW w:w="10065" w:type="dxa"/>
        <w:tblInd w:w="-289" w:type="dxa"/>
        <w:tblLook w:val="04A0" w:firstRow="1" w:lastRow="0" w:firstColumn="1" w:lastColumn="0" w:noHBand="0" w:noVBand="1"/>
      </w:tblPr>
      <w:tblGrid>
        <w:gridCol w:w="10065"/>
      </w:tblGrid>
      <w:tr w:rsidR="005747F1" w:rsidRPr="00485F85" w14:paraId="0BD2C084" w14:textId="77777777" w:rsidTr="005747F1">
        <w:tc>
          <w:tcPr>
            <w:tcW w:w="10065" w:type="dxa"/>
            <w:hideMark/>
          </w:tcPr>
          <w:p w14:paraId="3586B4CC" w14:textId="77777777" w:rsidR="005747F1" w:rsidRPr="00485F85" w:rsidRDefault="005747F1" w:rsidP="008A2F73">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3AF81DA8" w14:textId="77777777" w:rsidTr="005747F1">
        <w:tc>
          <w:tcPr>
            <w:tcW w:w="10065" w:type="dxa"/>
            <w:tcBorders>
              <w:top w:val="single" w:sz="4" w:space="0" w:color="auto"/>
              <w:left w:val="single" w:sz="4" w:space="0" w:color="auto"/>
              <w:bottom w:val="single" w:sz="4" w:space="0" w:color="auto"/>
              <w:right w:val="single" w:sz="4" w:space="0" w:color="auto"/>
            </w:tcBorders>
          </w:tcPr>
          <w:p w14:paraId="0F34760A" w14:textId="77777777" w:rsidR="005747F1" w:rsidRPr="00485F85" w:rsidRDefault="005747F1" w:rsidP="008A2F73">
            <w:pPr>
              <w:spacing w:after="160"/>
              <w:jc w:val="both"/>
              <w:rPr>
                <w:rFonts w:asciiTheme="majorHAnsi" w:hAnsiTheme="majorHAnsi" w:cstheme="majorHAnsi"/>
              </w:rPr>
            </w:pPr>
            <w:r w:rsidRPr="00485F85">
              <w:rPr>
                <w:rFonts w:asciiTheme="majorHAnsi" w:hAnsiTheme="majorHAnsi" w:cstheme="majorHAnsi"/>
              </w:rPr>
              <w:t xml:space="preserve">- Conforme pode ser observado na pesquisa, há indícios de que as estratégias de parceria com empresas são muitas e descentralizadas. Ao contrário, cada vertente da universidade é incentivada a buscar suas próprias parcerias e maneiras de associar com a indústria e a comunidade para que possam crescer. Assim observou iniciativas interessantes como: </w:t>
            </w:r>
          </w:p>
          <w:p w14:paraId="6AA10AD0" w14:textId="77777777" w:rsidR="005747F1" w:rsidRPr="00485F85" w:rsidRDefault="005747F1" w:rsidP="00BF497F">
            <w:pPr>
              <w:pStyle w:val="PargrafodaLista"/>
              <w:numPr>
                <w:ilvl w:val="0"/>
                <w:numId w:val="40"/>
              </w:numPr>
              <w:jc w:val="both"/>
              <w:rPr>
                <w:rFonts w:asciiTheme="majorHAnsi" w:hAnsiTheme="majorHAnsi" w:cstheme="majorHAnsi"/>
              </w:rPr>
            </w:pPr>
            <w:r w:rsidRPr="00485F85">
              <w:rPr>
                <w:rFonts w:asciiTheme="majorHAnsi" w:hAnsiTheme="majorHAnsi" w:cstheme="majorHAnsi"/>
              </w:rPr>
              <w:t xml:space="preserve">O próprio Planejamento estratégico trata a questão da parceria e do engajamento como um de seus 5 pilares prioritários: </w:t>
            </w:r>
            <w:hyperlink r:id="rId73" w:history="1">
              <w:r w:rsidRPr="00485F85">
                <w:rPr>
                  <w:rStyle w:val="Hyperlink"/>
                  <w:rFonts w:asciiTheme="majorHAnsi" w:hAnsiTheme="majorHAnsi" w:cstheme="majorHAnsi"/>
                </w:rPr>
                <w:t>https://www.ox.ac.uk/about/organisation/strategic-plan-2018-23/engagement-and-partnership</w:t>
              </w:r>
            </w:hyperlink>
            <w:r w:rsidRPr="00485F85">
              <w:rPr>
                <w:rFonts w:asciiTheme="majorHAnsi" w:hAnsiTheme="majorHAnsi" w:cstheme="majorHAnsi"/>
              </w:rPr>
              <w:t xml:space="preserve"> </w:t>
            </w:r>
          </w:p>
          <w:p w14:paraId="3F28BBB5" w14:textId="77777777" w:rsidR="005747F1" w:rsidRPr="00485F85" w:rsidRDefault="005747F1" w:rsidP="008A2F73">
            <w:pPr>
              <w:pStyle w:val="PargrafodaLista"/>
              <w:jc w:val="both"/>
              <w:rPr>
                <w:rFonts w:asciiTheme="majorHAnsi" w:hAnsiTheme="majorHAnsi" w:cstheme="majorHAnsi"/>
              </w:rPr>
            </w:pPr>
          </w:p>
          <w:p w14:paraId="18B5E90C" w14:textId="77777777" w:rsidR="005747F1" w:rsidRPr="00485F85" w:rsidRDefault="005747F1" w:rsidP="00BF497F">
            <w:pPr>
              <w:pStyle w:val="PargrafodaLista"/>
              <w:numPr>
                <w:ilvl w:val="0"/>
                <w:numId w:val="40"/>
              </w:numPr>
              <w:jc w:val="both"/>
              <w:rPr>
                <w:rFonts w:asciiTheme="majorHAnsi" w:hAnsiTheme="majorHAnsi" w:cstheme="majorHAnsi"/>
              </w:rPr>
            </w:pPr>
            <w:r w:rsidRPr="00485F85">
              <w:rPr>
                <w:rFonts w:asciiTheme="majorHAnsi" w:hAnsiTheme="majorHAnsi" w:cstheme="majorHAnsi"/>
              </w:rPr>
              <w:t>Pesquisa nos diversos times das divisões acadêmicas, principalmente MPLS (https://www.mpls.ox.ac.uk/our-team/industry-links)  e a Medical Science (</w:t>
            </w:r>
            <w:hyperlink r:id="rId74" w:history="1">
              <w:r w:rsidRPr="00485F85">
                <w:rPr>
                  <w:rStyle w:val="Hyperlink"/>
                  <w:rFonts w:asciiTheme="majorHAnsi" w:hAnsiTheme="majorHAnsi" w:cstheme="majorHAnsi"/>
                </w:rPr>
                <w:t>https://www.medsci.ox.ac.uk/divisional-services/support-services-1/business-partnerships-office</w:t>
              </w:r>
            </w:hyperlink>
            <w:r w:rsidRPr="00485F85">
              <w:rPr>
                <w:rFonts w:asciiTheme="majorHAnsi" w:hAnsiTheme="majorHAnsi" w:cstheme="majorHAnsi"/>
              </w:rPr>
              <w:t>)</w:t>
            </w:r>
          </w:p>
          <w:p w14:paraId="15BA201E" w14:textId="77777777" w:rsidR="005747F1" w:rsidRPr="00485F85" w:rsidRDefault="005747F1" w:rsidP="008A2F73">
            <w:pPr>
              <w:pStyle w:val="PargrafodaLista"/>
              <w:rPr>
                <w:rFonts w:asciiTheme="majorHAnsi" w:hAnsiTheme="majorHAnsi" w:cstheme="majorHAnsi"/>
              </w:rPr>
            </w:pPr>
          </w:p>
          <w:p w14:paraId="588367C9" w14:textId="77777777" w:rsidR="005747F1" w:rsidRPr="00485F85" w:rsidRDefault="005747F1" w:rsidP="00BF497F">
            <w:pPr>
              <w:pStyle w:val="PargrafodaLista"/>
              <w:numPr>
                <w:ilvl w:val="0"/>
                <w:numId w:val="40"/>
              </w:numPr>
              <w:jc w:val="both"/>
              <w:rPr>
                <w:rFonts w:asciiTheme="majorHAnsi" w:hAnsiTheme="majorHAnsi" w:cstheme="majorHAnsi"/>
              </w:rPr>
            </w:pPr>
            <w:r w:rsidRPr="00485F85">
              <w:rPr>
                <w:rFonts w:asciiTheme="majorHAnsi" w:hAnsiTheme="majorHAnsi" w:cstheme="majorHAnsi"/>
              </w:rPr>
              <w:t>Inovação por meio da Oxford University Innovation</w:t>
            </w:r>
          </w:p>
          <w:p w14:paraId="36497B2A" w14:textId="77777777" w:rsidR="005747F1" w:rsidRPr="00485F85" w:rsidRDefault="005747F1" w:rsidP="008A2F73">
            <w:pPr>
              <w:jc w:val="both"/>
              <w:rPr>
                <w:rFonts w:asciiTheme="majorHAnsi" w:hAnsiTheme="majorHAnsi" w:cstheme="majorHAnsi"/>
              </w:rPr>
            </w:pPr>
          </w:p>
          <w:p w14:paraId="3C06C004" w14:textId="77777777" w:rsidR="005747F1" w:rsidRPr="00485F85" w:rsidRDefault="005747F1" w:rsidP="00BF497F">
            <w:pPr>
              <w:pStyle w:val="PargrafodaLista"/>
              <w:numPr>
                <w:ilvl w:val="0"/>
                <w:numId w:val="40"/>
              </w:numPr>
              <w:jc w:val="both"/>
              <w:rPr>
                <w:rFonts w:asciiTheme="majorHAnsi" w:hAnsiTheme="majorHAnsi" w:cstheme="majorHAnsi"/>
              </w:rPr>
            </w:pPr>
            <w:r w:rsidRPr="00485F85">
              <w:rPr>
                <w:rFonts w:asciiTheme="majorHAnsi" w:hAnsiTheme="majorHAnsi" w:cstheme="majorHAnsi"/>
              </w:rPr>
              <w:t xml:space="preserve">- Estágios por meio do departamento de carreiras com as parcerias na comunidade </w:t>
            </w:r>
            <w:hyperlink r:id="rId75" w:history="1">
              <w:r w:rsidRPr="00485F85">
                <w:rPr>
                  <w:rStyle w:val="Hyperlink"/>
                  <w:rFonts w:asciiTheme="majorHAnsi" w:hAnsiTheme="majorHAnsi" w:cstheme="majorHAnsi"/>
                </w:rPr>
                <w:t>https://www.careers.ox.ac.uk/partnerships-in-the-community</w:t>
              </w:r>
            </w:hyperlink>
          </w:p>
          <w:p w14:paraId="6A013769" w14:textId="77777777" w:rsidR="005747F1" w:rsidRPr="00485F85" w:rsidRDefault="005747F1" w:rsidP="008A2F73">
            <w:pPr>
              <w:pStyle w:val="PargrafodaLista"/>
              <w:jc w:val="both"/>
              <w:rPr>
                <w:rFonts w:asciiTheme="majorHAnsi" w:hAnsiTheme="majorHAnsi" w:cstheme="majorHAnsi"/>
              </w:rPr>
            </w:pPr>
          </w:p>
          <w:p w14:paraId="4BB7AECE" w14:textId="77777777" w:rsidR="005747F1" w:rsidRPr="00485F85" w:rsidRDefault="005747F1" w:rsidP="00BF497F">
            <w:pPr>
              <w:pStyle w:val="PargrafodaLista"/>
              <w:numPr>
                <w:ilvl w:val="0"/>
                <w:numId w:val="40"/>
              </w:numPr>
              <w:jc w:val="both"/>
              <w:rPr>
                <w:rFonts w:asciiTheme="majorHAnsi" w:hAnsiTheme="majorHAnsi" w:cstheme="majorHAnsi"/>
                <w:lang w:val="en-US"/>
              </w:rPr>
            </w:pPr>
            <w:r w:rsidRPr="00485F85">
              <w:rPr>
                <w:rFonts w:asciiTheme="majorHAnsi" w:hAnsiTheme="majorHAnsi" w:cstheme="majorHAnsi"/>
                <w:lang w:val="en-US"/>
              </w:rPr>
              <w:t xml:space="preserve">Business por meio da Saïd Business School https://www.sbs.ox.ac.uk/about-us/support-us/corporate-partnerships </w:t>
            </w:r>
          </w:p>
          <w:p w14:paraId="60B9F1BF" w14:textId="77777777" w:rsidR="005747F1" w:rsidRPr="00485F85" w:rsidRDefault="005747F1" w:rsidP="008A2F73">
            <w:pPr>
              <w:jc w:val="both"/>
              <w:rPr>
                <w:rFonts w:asciiTheme="majorHAnsi" w:hAnsiTheme="majorHAnsi" w:cstheme="majorHAnsi"/>
                <w:lang w:val="en-US"/>
              </w:rPr>
            </w:pPr>
          </w:p>
          <w:p w14:paraId="587C0F37" w14:textId="77777777" w:rsidR="005747F1" w:rsidRPr="00485F85" w:rsidRDefault="005747F1" w:rsidP="00BF497F">
            <w:pPr>
              <w:pStyle w:val="PargrafodaLista"/>
              <w:numPr>
                <w:ilvl w:val="0"/>
                <w:numId w:val="41"/>
              </w:numPr>
              <w:jc w:val="both"/>
              <w:rPr>
                <w:rFonts w:asciiTheme="majorHAnsi" w:hAnsiTheme="majorHAnsi" w:cstheme="majorHAnsi"/>
              </w:rPr>
            </w:pPr>
            <w:r w:rsidRPr="00485F85">
              <w:rPr>
                <w:rFonts w:asciiTheme="majorHAnsi" w:hAnsiTheme="majorHAnsi" w:cstheme="majorHAnsi"/>
              </w:rPr>
              <w:t xml:space="preserve">As próprias faculdades ou colleges também possuem espaços para busca de parcerias - </w:t>
            </w:r>
            <w:hyperlink r:id="rId76" w:history="1">
              <w:r w:rsidRPr="00485F85">
                <w:rPr>
                  <w:rStyle w:val="Hyperlink"/>
                  <w:rFonts w:asciiTheme="majorHAnsi" w:hAnsiTheme="majorHAnsi" w:cstheme="majorHAnsi"/>
                </w:rPr>
                <w:t>https://www.law.ox.ac.uk/support-oxford-law/corporate-partnerships</w:t>
              </w:r>
            </w:hyperlink>
            <w:r w:rsidRPr="00485F85">
              <w:rPr>
                <w:rFonts w:asciiTheme="majorHAnsi" w:hAnsiTheme="majorHAnsi" w:cstheme="majorHAnsi"/>
              </w:rPr>
              <w:t xml:space="preserve"> </w:t>
            </w:r>
          </w:p>
          <w:p w14:paraId="2A60A13A" w14:textId="77777777" w:rsidR="005747F1" w:rsidRPr="00485F85" w:rsidRDefault="005747F1" w:rsidP="008A2F73">
            <w:pPr>
              <w:spacing w:after="160"/>
              <w:jc w:val="both"/>
              <w:rPr>
                <w:rFonts w:asciiTheme="majorHAnsi" w:hAnsiTheme="majorHAnsi" w:cstheme="majorHAnsi"/>
              </w:rPr>
            </w:pPr>
          </w:p>
          <w:p w14:paraId="5815E54B" w14:textId="77777777" w:rsidR="005747F1" w:rsidRPr="00485F85" w:rsidRDefault="005747F1" w:rsidP="008A2F73">
            <w:pPr>
              <w:spacing w:after="160"/>
              <w:jc w:val="both"/>
              <w:rPr>
                <w:rFonts w:asciiTheme="majorHAnsi" w:hAnsiTheme="majorHAnsi" w:cstheme="majorHAnsi"/>
              </w:rPr>
            </w:pPr>
            <w:r w:rsidRPr="00485F85">
              <w:rPr>
                <w:rFonts w:asciiTheme="majorHAnsi" w:hAnsiTheme="majorHAnsi" w:cstheme="majorHAnsi"/>
              </w:rPr>
              <w:t xml:space="preserve">- Os escritórios de estágio além de possuírem opções para férias, microestágios, estágios remunerados e voluntários, também incentiva seus estudantes e compartilharem suas experiências por meio do site. Com a publicação </w:t>
            </w:r>
            <w:hyperlink r:id="rId77" w:anchor="/" w:history="1">
              <w:r w:rsidRPr="00485F85">
                <w:rPr>
                  <w:rStyle w:val="Hyperlink"/>
                  <w:rFonts w:asciiTheme="majorHAnsi" w:hAnsiTheme="majorHAnsi" w:cstheme="majorHAnsi"/>
                </w:rPr>
                <w:t>https://www.careers.ox.ac.uk/internship-experience#/</w:t>
              </w:r>
            </w:hyperlink>
            <w:r w:rsidRPr="00485F85">
              <w:rPr>
                <w:rFonts w:asciiTheme="majorHAnsi" w:hAnsiTheme="majorHAnsi" w:cstheme="majorHAnsi"/>
              </w:rPr>
              <w:t xml:space="preserve"> dos alunos que participaram de estágios de verão</w:t>
            </w:r>
          </w:p>
          <w:p w14:paraId="33BBAE54" w14:textId="77777777" w:rsidR="005747F1" w:rsidRPr="00485F85" w:rsidRDefault="005747F1" w:rsidP="008A2F73">
            <w:pPr>
              <w:spacing w:after="160"/>
              <w:jc w:val="both"/>
              <w:rPr>
                <w:rFonts w:asciiTheme="majorHAnsi" w:hAnsiTheme="majorHAnsi" w:cstheme="majorHAnsi"/>
              </w:rPr>
            </w:pPr>
            <w:r w:rsidRPr="00485F85">
              <w:rPr>
                <w:rFonts w:asciiTheme="majorHAnsi" w:hAnsiTheme="majorHAnsi" w:cstheme="majorHAnsi"/>
              </w:rPr>
              <w:t>- Foi possível observar que a rede de relacionamento de Oxford com seus ex-alunos oportuniza diversas vagas para estágios e que esse elo entre ex-alunos e alunos regulares é muito importante.</w:t>
            </w:r>
          </w:p>
          <w:p w14:paraId="3ADAD672" w14:textId="77777777" w:rsidR="005747F1" w:rsidRPr="00485F85" w:rsidRDefault="005747F1" w:rsidP="008A2F73">
            <w:pPr>
              <w:spacing w:after="160"/>
              <w:jc w:val="both"/>
              <w:rPr>
                <w:rFonts w:asciiTheme="majorHAnsi" w:hAnsiTheme="majorHAnsi" w:cstheme="majorHAnsi"/>
              </w:rPr>
            </w:pPr>
            <w:r w:rsidRPr="00485F85">
              <w:rPr>
                <w:rFonts w:asciiTheme="majorHAnsi" w:hAnsiTheme="majorHAnsi" w:cstheme="majorHAnsi"/>
              </w:rPr>
              <w:t>- Notou-se que o estabelecimento de parcerias com outras universidades se dá por meio de redes de cooperação mais amplas e que poucas vezes a parceria é direta. Salvo no caso de financiamento de bolsas de estudo. Desse modo, a Aliança Internacional de Universidades de Pesquisa, a Europaeum, ou a Liga das Universidades de Pesquisa Européias fazem parte de sua rede de parcerias.</w:t>
            </w:r>
          </w:p>
          <w:p w14:paraId="550156A4"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 Intercâmbios, programas de verão e outras oportunidades de estudo no exterior são oferecidas aos estudantes com o objetivo de aprimorar seus estudos durante ou fora do período letivo. Algumas das oportunidades ofertadas são organizadas e financiadas pela Universidade de Oxford, enquanto outras são administradas por instituições afiliadas. São elas:</w:t>
            </w:r>
          </w:p>
          <w:p w14:paraId="2F65A81F"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•Oxford estudo no exterior / intercâmbios</w:t>
            </w:r>
          </w:p>
          <w:p w14:paraId="69EF7F3B"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•Bolsas de viagem e expedições</w:t>
            </w:r>
          </w:p>
          <w:p w14:paraId="23F0EFB3"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•Programas de verão</w:t>
            </w:r>
          </w:p>
          <w:p w14:paraId="6D2863C4"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•Outras oportunidades</w:t>
            </w:r>
          </w:p>
          <w:p w14:paraId="418849D1" w14:textId="77777777" w:rsidR="005747F1" w:rsidRPr="00485F85" w:rsidRDefault="00A515B3" w:rsidP="008A2F73">
            <w:pPr>
              <w:spacing w:after="160"/>
              <w:jc w:val="both"/>
              <w:rPr>
                <w:rFonts w:asciiTheme="majorHAnsi" w:hAnsiTheme="majorHAnsi" w:cstheme="majorHAnsi"/>
              </w:rPr>
            </w:pPr>
            <w:hyperlink r:id="rId78" w:history="1">
              <w:r w:rsidR="005747F1" w:rsidRPr="00485F85">
                <w:rPr>
                  <w:rStyle w:val="Hyperlink"/>
                  <w:rFonts w:asciiTheme="majorHAnsi" w:hAnsiTheme="majorHAnsi" w:cstheme="majorHAnsi"/>
                </w:rPr>
                <w:t>https://www.ox.ac.uk/students/fees-funding/international/scholarships-exchanges</w:t>
              </w:r>
            </w:hyperlink>
            <w:r w:rsidR="005747F1" w:rsidRPr="00485F85">
              <w:rPr>
                <w:rFonts w:asciiTheme="majorHAnsi" w:hAnsiTheme="majorHAnsi" w:cstheme="majorHAnsi"/>
              </w:rPr>
              <w:t xml:space="preserve"> </w:t>
            </w:r>
          </w:p>
          <w:p w14:paraId="13108EC6" w14:textId="77777777" w:rsidR="005747F1" w:rsidRPr="00485F85" w:rsidRDefault="005747F1" w:rsidP="008A2F73">
            <w:pPr>
              <w:spacing w:after="160"/>
              <w:jc w:val="both"/>
              <w:rPr>
                <w:rFonts w:asciiTheme="majorHAnsi" w:hAnsiTheme="majorHAnsi" w:cstheme="majorHAnsi"/>
              </w:rPr>
            </w:pPr>
            <w:r w:rsidRPr="00485F85">
              <w:rPr>
                <w:rFonts w:asciiTheme="majorHAnsi" w:hAnsiTheme="majorHAnsi" w:cstheme="majorHAnsi"/>
              </w:rPr>
              <w:t xml:space="preserve">- Notou-se fortes indícios de internacionalização com professores e docentes provenientes de várias partes do globo. </w:t>
            </w:r>
          </w:p>
          <w:p w14:paraId="7D41F374" w14:textId="77777777" w:rsidR="005747F1" w:rsidRPr="00485F85" w:rsidRDefault="00A515B3" w:rsidP="008A2F73">
            <w:pPr>
              <w:spacing w:after="160"/>
              <w:jc w:val="both"/>
              <w:rPr>
                <w:rFonts w:asciiTheme="majorHAnsi" w:hAnsiTheme="majorHAnsi" w:cstheme="majorHAnsi"/>
              </w:rPr>
            </w:pPr>
            <w:hyperlink r:id="rId79" w:history="1">
              <w:r w:rsidR="005747F1" w:rsidRPr="00485F85">
                <w:rPr>
                  <w:rStyle w:val="Hyperlink"/>
                  <w:rFonts w:asciiTheme="majorHAnsi" w:hAnsiTheme="majorHAnsi" w:cstheme="majorHAnsi"/>
                </w:rPr>
                <w:t>https://www.ox.ac.uk/about/international-oxford</w:t>
              </w:r>
            </w:hyperlink>
            <w:r w:rsidR="005747F1" w:rsidRPr="00485F85">
              <w:rPr>
                <w:rFonts w:asciiTheme="majorHAnsi" w:hAnsiTheme="majorHAnsi" w:cstheme="majorHAnsi"/>
              </w:rPr>
              <w:t xml:space="preserve"> </w:t>
            </w:r>
          </w:p>
          <w:p w14:paraId="4E3D425F" w14:textId="77777777" w:rsidR="005747F1" w:rsidRPr="00485F85" w:rsidRDefault="005747F1" w:rsidP="008A2F73">
            <w:pPr>
              <w:jc w:val="both"/>
              <w:rPr>
                <w:rFonts w:asciiTheme="majorHAnsi" w:hAnsiTheme="majorHAnsi" w:cstheme="majorHAnsi"/>
                <w:bCs/>
              </w:rPr>
            </w:pPr>
            <w:r w:rsidRPr="00485F85">
              <w:rPr>
                <w:rFonts w:asciiTheme="majorHAnsi" w:hAnsiTheme="majorHAnsi" w:cstheme="majorHAnsi"/>
                <w:bCs/>
              </w:rPr>
              <w:t xml:space="preserve">- Ao todo pode-se observar que a coleção de Journals de OXFORD é extensa e possui 596 exemplares diferentes de journals das suas diversas áreas de pesquisa. </w:t>
            </w:r>
          </w:p>
          <w:p w14:paraId="1F28215D" w14:textId="77777777" w:rsidR="005747F1" w:rsidRPr="00485F85" w:rsidRDefault="005747F1" w:rsidP="008A2F73">
            <w:pPr>
              <w:jc w:val="both"/>
              <w:rPr>
                <w:rFonts w:asciiTheme="majorHAnsi" w:hAnsiTheme="majorHAnsi" w:cstheme="majorHAnsi"/>
                <w:bCs/>
              </w:rPr>
            </w:pPr>
            <w:r w:rsidRPr="00485F85">
              <w:rPr>
                <w:rFonts w:asciiTheme="majorHAnsi" w:hAnsiTheme="majorHAnsi" w:cstheme="majorHAnsi"/>
                <w:bCs/>
              </w:rPr>
              <w:t>Mais informações podem ser consultadas em: Journals de A-Z</w:t>
            </w:r>
          </w:p>
          <w:p w14:paraId="6194A102" w14:textId="77777777" w:rsidR="005747F1" w:rsidRPr="00485F85" w:rsidRDefault="00A515B3" w:rsidP="008A2F73">
            <w:pPr>
              <w:spacing w:after="160"/>
              <w:jc w:val="both"/>
              <w:rPr>
                <w:rFonts w:asciiTheme="majorHAnsi" w:hAnsiTheme="majorHAnsi" w:cstheme="majorHAnsi"/>
                <w:bCs/>
              </w:rPr>
            </w:pPr>
            <w:hyperlink r:id="rId80" w:history="1">
              <w:r w:rsidR="005747F1" w:rsidRPr="00485F85">
                <w:rPr>
                  <w:rStyle w:val="Hyperlink"/>
                  <w:rFonts w:asciiTheme="majorHAnsi" w:hAnsiTheme="majorHAnsi" w:cstheme="majorHAnsi"/>
                  <w:bCs/>
                </w:rPr>
                <w:t>https://academic.oup.com/journals/pages/journals_a_to_z</w:t>
              </w:r>
            </w:hyperlink>
            <w:r w:rsidR="005747F1" w:rsidRPr="00485F85">
              <w:rPr>
                <w:rFonts w:asciiTheme="majorHAnsi" w:hAnsiTheme="majorHAnsi" w:cstheme="majorHAnsi"/>
                <w:bCs/>
              </w:rPr>
              <w:t xml:space="preserve"> </w:t>
            </w:r>
          </w:p>
          <w:p w14:paraId="39FD06BC" w14:textId="024709EC" w:rsidR="005747F1" w:rsidRPr="00485F85" w:rsidRDefault="005747F1" w:rsidP="008A2F73">
            <w:pPr>
              <w:tabs>
                <w:tab w:val="clear" w:pos="1615"/>
              </w:tabs>
              <w:spacing w:after="160" w:line="259" w:lineRule="auto"/>
              <w:rPr>
                <w:rFonts w:asciiTheme="majorHAnsi" w:hAnsiTheme="majorHAnsi" w:cstheme="majorHAnsi"/>
                <w:b/>
                <w:bCs/>
              </w:rPr>
            </w:pPr>
          </w:p>
        </w:tc>
      </w:tr>
    </w:tbl>
    <w:p w14:paraId="46EF9061"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4D305454" w14:textId="6D094557" w:rsidR="008A2F73" w:rsidRPr="00485F85" w:rsidRDefault="008A2F73" w:rsidP="00775044">
      <w:pPr>
        <w:tabs>
          <w:tab w:val="clear" w:pos="1615"/>
        </w:tabs>
        <w:spacing w:line="259" w:lineRule="auto"/>
        <w:rPr>
          <w:rFonts w:asciiTheme="majorHAnsi" w:hAnsiTheme="majorHAnsi" w:cstheme="majorHAnsi"/>
          <w:b/>
          <w:bCs/>
        </w:rPr>
      </w:pPr>
    </w:p>
    <w:p w14:paraId="17B60EE6" w14:textId="120E2300" w:rsidR="008A2F73" w:rsidRPr="00485F85" w:rsidRDefault="008A2F73" w:rsidP="00775044">
      <w:pPr>
        <w:tabs>
          <w:tab w:val="clear" w:pos="1615"/>
        </w:tabs>
        <w:spacing w:line="259" w:lineRule="auto"/>
        <w:rPr>
          <w:rFonts w:asciiTheme="majorHAnsi" w:hAnsiTheme="majorHAnsi" w:cstheme="majorHAnsi"/>
          <w:b/>
          <w:bCs/>
        </w:rPr>
      </w:pPr>
    </w:p>
    <w:p w14:paraId="43617737" w14:textId="0D274603" w:rsidR="00F6428A" w:rsidRPr="00485F85" w:rsidRDefault="00F6428A" w:rsidP="00775044">
      <w:pPr>
        <w:tabs>
          <w:tab w:val="clear" w:pos="1615"/>
        </w:tabs>
        <w:spacing w:line="259" w:lineRule="auto"/>
        <w:rPr>
          <w:rFonts w:asciiTheme="majorHAnsi" w:hAnsiTheme="majorHAnsi" w:cstheme="majorHAnsi"/>
          <w:b/>
          <w:bCs/>
        </w:rPr>
      </w:pPr>
    </w:p>
    <w:p w14:paraId="36B58A14" w14:textId="6D7EE273" w:rsidR="00F6428A" w:rsidRPr="00485F85" w:rsidRDefault="00F6428A" w:rsidP="00775044">
      <w:pPr>
        <w:tabs>
          <w:tab w:val="clear" w:pos="1615"/>
        </w:tabs>
        <w:spacing w:line="259" w:lineRule="auto"/>
        <w:rPr>
          <w:rFonts w:asciiTheme="majorHAnsi" w:hAnsiTheme="majorHAnsi" w:cstheme="majorHAnsi"/>
          <w:b/>
          <w:bCs/>
        </w:rPr>
      </w:pPr>
    </w:p>
    <w:p w14:paraId="37C25708" w14:textId="35918E1F" w:rsidR="00F6428A" w:rsidRPr="00485F85" w:rsidRDefault="00F6428A" w:rsidP="00775044">
      <w:pPr>
        <w:tabs>
          <w:tab w:val="clear" w:pos="1615"/>
        </w:tabs>
        <w:spacing w:line="259" w:lineRule="auto"/>
        <w:rPr>
          <w:rFonts w:asciiTheme="majorHAnsi" w:hAnsiTheme="majorHAnsi" w:cstheme="majorHAnsi"/>
          <w:b/>
          <w:bCs/>
        </w:rPr>
      </w:pPr>
    </w:p>
    <w:p w14:paraId="27897EA1" w14:textId="1D1DE457" w:rsidR="0058079B" w:rsidRPr="00485F85" w:rsidRDefault="00A206D5" w:rsidP="00A206D5">
      <w:pPr>
        <w:pStyle w:val="Ttulo3"/>
        <w:ind w:left="1276"/>
        <w:rPr>
          <w:rFonts w:asciiTheme="majorHAnsi" w:hAnsiTheme="majorHAnsi" w:cstheme="majorHAnsi"/>
        </w:rPr>
      </w:pPr>
      <w:bookmarkStart w:id="42" w:name="_Toc82101329"/>
      <w:r w:rsidRPr="00485F85">
        <w:rPr>
          <w:rFonts w:asciiTheme="majorHAnsi" w:hAnsiTheme="majorHAnsi" w:cstheme="majorHAnsi"/>
        </w:rPr>
        <w:lastRenderedPageBreak/>
        <w:t>DIMENSÃO 9. VINCULAÇÃO COM A EDUCAÇÃO BÁSICA</w:t>
      </w:r>
      <w:bookmarkEnd w:id="42"/>
    </w:p>
    <w:p w14:paraId="67C80DF3" w14:textId="77777777" w:rsidR="00E519E5" w:rsidRPr="00485F85" w:rsidRDefault="00E519E5" w:rsidP="00775044">
      <w:pPr>
        <w:tabs>
          <w:tab w:val="clear" w:pos="1615"/>
        </w:tabs>
        <w:spacing w:line="259" w:lineRule="auto"/>
        <w:rPr>
          <w:rFonts w:asciiTheme="majorHAnsi" w:hAnsiTheme="majorHAnsi" w:cstheme="majorHAnsi"/>
          <w:b/>
          <w:bCs/>
        </w:rPr>
      </w:pPr>
    </w:p>
    <w:p w14:paraId="67194FEC" w14:textId="6A881E43" w:rsidR="00F6428A" w:rsidRPr="00485F85" w:rsidRDefault="00E80133" w:rsidP="00775044">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081F0CE8" wp14:editId="74E1B1BB">
            <wp:extent cx="6120130" cy="3156585"/>
            <wp:effectExtent l="0" t="0" r="0" b="5715"/>
            <wp:docPr id="32" name="Imagem 3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iagrama&#10;&#10;Descrição gerada automaticament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130" cy="3156585"/>
                    </a:xfrm>
                    <a:prstGeom prst="rect">
                      <a:avLst/>
                    </a:prstGeom>
                  </pic:spPr>
                </pic:pic>
              </a:graphicData>
            </a:graphic>
          </wp:inline>
        </w:drawing>
      </w:r>
    </w:p>
    <w:p w14:paraId="02FDD246" w14:textId="5B320B66" w:rsidR="007B2CA8" w:rsidRPr="00485F85" w:rsidRDefault="007B2CA8" w:rsidP="00775044">
      <w:pPr>
        <w:tabs>
          <w:tab w:val="clear" w:pos="1615"/>
        </w:tabs>
        <w:spacing w:line="259" w:lineRule="auto"/>
        <w:rPr>
          <w:rFonts w:asciiTheme="majorHAnsi" w:hAnsiTheme="majorHAnsi" w:cstheme="majorHAnsi"/>
          <w:b/>
          <w:bCs/>
        </w:rPr>
      </w:pPr>
    </w:p>
    <w:p w14:paraId="680EE9CB"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14 – Boas práticas Dimensão 9. Vinculação com a Educação Básica</w:t>
      </w:r>
    </w:p>
    <w:p w14:paraId="29EC3467" w14:textId="1F2C100D"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66910A9E" w14:textId="0F91EFED" w:rsidR="00F6428A" w:rsidRPr="00485F85" w:rsidRDefault="00F6428A" w:rsidP="00775044">
      <w:pPr>
        <w:tabs>
          <w:tab w:val="clear" w:pos="1615"/>
        </w:tabs>
        <w:spacing w:line="259" w:lineRule="auto"/>
        <w:rPr>
          <w:rFonts w:asciiTheme="majorHAnsi" w:hAnsiTheme="majorHAnsi" w:cstheme="majorHAnsi"/>
          <w:b/>
          <w:bCs/>
        </w:rPr>
      </w:pPr>
    </w:p>
    <w:p w14:paraId="694A5613" w14:textId="34CB8E0B"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21</w:t>
      </w:r>
      <w:r w:rsidRPr="00485F85">
        <w:rPr>
          <w:rFonts w:asciiTheme="majorHAnsi" w:hAnsiTheme="majorHAnsi" w:cstheme="majorHAnsi"/>
        </w:rPr>
        <w:t xml:space="preserve"> – Dimensão </w:t>
      </w:r>
      <w:r w:rsidR="00E72FE1" w:rsidRPr="00485F85">
        <w:rPr>
          <w:rFonts w:asciiTheme="majorHAnsi" w:hAnsiTheme="majorHAnsi" w:cstheme="majorHAnsi"/>
        </w:rPr>
        <w:t>9</w:t>
      </w:r>
      <w:r w:rsidRPr="00485F85">
        <w:rPr>
          <w:rFonts w:asciiTheme="majorHAnsi" w:hAnsiTheme="majorHAnsi" w:cstheme="majorHAnsi"/>
        </w:rPr>
        <w:t xml:space="preserve"> – Boas Práticas para Gestão Inovadora</w:t>
      </w:r>
    </w:p>
    <w:tbl>
      <w:tblPr>
        <w:tblStyle w:val="Tabelacomgrade"/>
        <w:tblW w:w="9782" w:type="dxa"/>
        <w:tblInd w:w="-289" w:type="dxa"/>
        <w:tblLook w:val="04A0" w:firstRow="1" w:lastRow="0" w:firstColumn="1" w:lastColumn="0" w:noHBand="0" w:noVBand="1"/>
      </w:tblPr>
      <w:tblGrid>
        <w:gridCol w:w="9782"/>
      </w:tblGrid>
      <w:tr w:rsidR="005747F1" w:rsidRPr="00485F85" w14:paraId="509130C8" w14:textId="77777777" w:rsidTr="005747F1">
        <w:tc>
          <w:tcPr>
            <w:tcW w:w="9782" w:type="dxa"/>
            <w:hideMark/>
          </w:tcPr>
          <w:p w14:paraId="349B9ADF" w14:textId="77777777" w:rsidR="005747F1" w:rsidRPr="00485F85" w:rsidRDefault="005747F1" w:rsidP="00BB72C8">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1B259FA2" w14:textId="77777777" w:rsidTr="005747F1">
        <w:tc>
          <w:tcPr>
            <w:tcW w:w="9782" w:type="dxa"/>
            <w:tcBorders>
              <w:top w:val="single" w:sz="4" w:space="0" w:color="auto"/>
              <w:left w:val="single" w:sz="4" w:space="0" w:color="auto"/>
              <w:bottom w:val="single" w:sz="4" w:space="0" w:color="auto"/>
              <w:right w:val="single" w:sz="4" w:space="0" w:color="auto"/>
            </w:tcBorders>
          </w:tcPr>
          <w:p w14:paraId="5AA66FB2" w14:textId="77777777" w:rsidR="005747F1" w:rsidRPr="00485F85" w:rsidRDefault="005747F1" w:rsidP="008A2F73">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Ações pontuais foram observadas como investimentos para treinar lideranças das escolas primárias na cidade de Oxford. Trata-se uma iniciativa conjunta patrocinada pelo Oxford City Council. Chamado de 'Programa de Liderança para Aprendizagem', ele será executado em ciclos de dois anos com até 40 participantes cada ano das 11 escolas.</w:t>
            </w:r>
          </w:p>
          <w:p w14:paraId="3E17DE4D" w14:textId="77777777" w:rsidR="005747F1" w:rsidRPr="00485F85" w:rsidRDefault="00A515B3" w:rsidP="008A2F73">
            <w:pPr>
              <w:tabs>
                <w:tab w:val="clear" w:pos="1615"/>
              </w:tabs>
              <w:spacing w:after="160" w:line="259" w:lineRule="auto"/>
              <w:jc w:val="both"/>
              <w:rPr>
                <w:rFonts w:asciiTheme="majorHAnsi" w:hAnsiTheme="majorHAnsi" w:cstheme="majorHAnsi"/>
              </w:rPr>
            </w:pPr>
            <w:hyperlink r:id="rId82" w:history="1">
              <w:r w:rsidR="005747F1" w:rsidRPr="00485F85">
                <w:rPr>
                  <w:rStyle w:val="Hyperlink"/>
                  <w:rFonts w:asciiTheme="majorHAnsi" w:hAnsiTheme="majorHAnsi" w:cstheme="majorHAnsi"/>
                </w:rPr>
                <w:t>https://www.ox.ac.uk/news/2013-01-17-supporting-leadership-development-primary-schools</w:t>
              </w:r>
            </w:hyperlink>
          </w:p>
          <w:p w14:paraId="34B7F342" w14:textId="77777777" w:rsidR="005747F1" w:rsidRPr="00485F85" w:rsidRDefault="005747F1" w:rsidP="008A2F73">
            <w:pPr>
              <w:tabs>
                <w:tab w:val="clear" w:pos="1615"/>
              </w:tabs>
              <w:spacing w:after="160" w:line="259" w:lineRule="auto"/>
              <w:jc w:val="both"/>
              <w:rPr>
                <w:rFonts w:asciiTheme="majorHAnsi" w:hAnsiTheme="majorHAnsi" w:cstheme="majorHAnsi"/>
              </w:rPr>
            </w:pPr>
          </w:p>
          <w:p w14:paraId="0FFC092A" w14:textId="77777777" w:rsidR="005747F1" w:rsidRPr="00485F85" w:rsidRDefault="005747F1" w:rsidP="008A2F73">
            <w:pPr>
              <w:tabs>
                <w:tab w:val="clear" w:pos="1615"/>
              </w:tabs>
              <w:spacing w:after="160" w:line="259" w:lineRule="auto"/>
              <w:jc w:val="both"/>
              <w:rPr>
                <w:rFonts w:asciiTheme="majorHAnsi" w:hAnsiTheme="majorHAnsi" w:cstheme="majorHAnsi"/>
              </w:rPr>
            </w:pPr>
            <w:r w:rsidRPr="00485F85">
              <w:rPr>
                <w:rFonts w:asciiTheme="majorHAnsi" w:hAnsiTheme="majorHAnsi" w:cstheme="majorHAnsi"/>
              </w:rPr>
              <w:t xml:space="preserve">- 80 alunos voluntários do Christ Church e University College contribuem mentoria, apoio acadêmico e programas de construção de aspirações para 900 alunos. A equipe trabalha em estreita colaboração com escolas locais e organizações comunitárias para apoiar alunos a partir de sete anos com seus deveres de casa e para fornecer orientação e aconselhamento sobre inscrições para universidades e escolhas de disciplinas para GCSE e A-level. </w:t>
            </w:r>
          </w:p>
          <w:p w14:paraId="52F85019" w14:textId="77777777" w:rsidR="005747F1" w:rsidRPr="00485F85" w:rsidRDefault="00A515B3" w:rsidP="008A2F73">
            <w:pPr>
              <w:tabs>
                <w:tab w:val="clear" w:pos="1615"/>
              </w:tabs>
              <w:spacing w:after="160" w:line="259" w:lineRule="auto"/>
              <w:jc w:val="both"/>
              <w:rPr>
                <w:rFonts w:asciiTheme="majorHAnsi" w:hAnsiTheme="majorHAnsi" w:cstheme="majorHAnsi"/>
              </w:rPr>
            </w:pPr>
            <w:hyperlink r:id="rId83" w:history="1">
              <w:r w:rsidR="005747F1" w:rsidRPr="00485F85">
                <w:rPr>
                  <w:rStyle w:val="Hyperlink"/>
                  <w:rFonts w:asciiTheme="majorHAnsi" w:hAnsiTheme="majorHAnsi" w:cstheme="majorHAnsi"/>
                </w:rPr>
                <w:t>https://www.ox.ac.uk/local-community/engagement/enhancing-oxford/learning</w:t>
              </w:r>
            </w:hyperlink>
            <w:r w:rsidR="005747F1" w:rsidRPr="00485F85">
              <w:rPr>
                <w:rFonts w:asciiTheme="majorHAnsi" w:hAnsiTheme="majorHAnsi" w:cstheme="majorHAnsi"/>
              </w:rPr>
              <w:t xml:space="preserve"> </w:t>
            </w:r>
          </w:p>
        </w:tc>
      </w:tr>
    </w:tbl>
    <w:p w14:paraId="6DAE4C2A"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t>Fonte: Autora</w:t>
      </w:r>
    </w:p>
    <w:p w14:paraId="66D5AC1A" w14:textId="0692248B" w:rsidR="00775044" w:rsidRPr="00485F85" w:rsidRDefault="00775044">
      <w:pPr>
        <w:tabs>
          <w:tab w:val="clear" w:pos="1615"/>
        </w:tabs>
        <w:spacing w:line="259" w:lineRule="auto"/>
        <w:rPr>
          <w:rFonts w:asciiTheme="majorHAnsi" w:hAnsiTheme="majorHAnsi" w:cstheme="majorHAnsi"/>
          <w:b/>
          <w:bCs/>
        </w:rPr>
      </w:pPr>
    </w:p>
    <w:p w14:paraId="540A2072" w14:textId="1ECD9E1F" w:rsidR="0058079B" w:rsidRPr="00485F85" w:rsidRDefault="00A206D5" w:rsidP="00A206D5">
      <w:pPr>
        <w:pStyle w:val="Ttulo3"/>
        <w:ind w:left="1276"/>
        <w:rPr>
          <w:rFonts w:asciiTheme="majorHAnsi" w:hAnsiTheme="majorHAnsi" w:cstheme="majorHAnsi"/>
        </w:rPr>
      </w:pPr>
      <w:bookmarkStart w:id="43" w:name="_Toc82101330"/>
      <w:r>
        <w:rPr>
          <w:rFonts w:asciiTheme="majorHAnsi" w:hAnsiTheme="majorHAnsi" w:cstheme="majorHAnsi"/>
        </w:rPr>
        <w:lastRenderedPageBreak/>
        <w:t xml:space="preserve"> </w:t>
      </w:r>
      <w:r w:rsidRPr="00485F85">
        <w:rPr>
          <w:rFonts w:asciiTheme="majorHAnsi" w:hAnsiTheme="majorHAnsi" w:cstheme="majorHAnsi"/>
        </w:rPr>
        <w:t>DIMENSÃO 10 IMPACTO NA INDÚSTRIA/SETOR PRODUTIVO</w:t>
      </w:r>
      <w:bookmarkEnd w:id="43"/>
    </w:p>
    <w:p w14:paraId="32AAC577" w14:textId="19C1A31B" w:rsidR="00E519E5" w:rsidRPr="00485F85" w:rsidRDefault="00E519E5" w:rsidP="00E519E5">
      <w:pPr>
        <w:tabs>
          <w:tab w:val="clear" w:pos="1615"/>
        </w:tabs>
        <w:spacing w:line="259" w:lineRule="auto"/>
        <w:rPr>
          <w:rFonts w:asciiTheme="majorHAnsi" w:hAnsiTheme="majorHAnsi" w:cstheme="majorHAnsi"/>
          <w:b/>
          <w:bCs/>
        </w:rPr>
      </w:pPr>
    </w:p>
    <w:p w14:paraId="349B11B6" w14:textId="573F60FB" w:rsidR="00E519E5" w:rsidRPr="00485F85" w:rsidRDefault="00E80133" w:rsidP="00E519E5">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7E3449F8" wp14:editId="516168C1">
            <wp:extent cx="6120130" cy="2818765"/>
            <wp:effectExtent l="0" t="0" r="0" b="635"/>
            <wp:docPr id="33" name="Imagem 3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iagrama&#10;&#10;Descrição gerada automa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130" cy="2818765"/>
                    </a:xfrm>
                    <a:prstGeom prst="rect">
                      <a:avLst/>
                    </a:prstGeom>
                  </pic:spPr>
                </pic:pic>
              </a:graphicData>
            </a:graphic>
          </wp:inline>
        </w:drawing>
      </w:r>
    </w:p>
    <w:p w14:paraId="35786E54" w14:textId="692B0DC7" w:rsidR="007B2CA8" w:rsidRPr="00485F85" w:rsidRDefault="007B2CA8" w:rsidP="00E519E5">
      <w:pPr>
        <w:tabs>
          <w:tab w:val="clear" w:pos="1615"/>
        </w:tabs>
        <w:spacing w:line="259" w:lineRule="auto"/>
        <w:rPr>
          <w:rFonts w:asciiTheme="majorHAnsi" w:hAnsiTheme="majorHAnsi" w:cstheme="majorHAnsi"/>
          <w:b/>
          <w:bCs/>
        </w:rPr>
      </w:pPr>
    </w:p>
    <w:p w14:paraId="1A8ACF36"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15 – Boas práticas Dimensão 10. Impacto na Indústria/Setor produtivo</w:t>
      </w:r>
    </w:p>
    <w:p w14:paraId="33BC685B" w14:textId="4A8830C8"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65C44710" w14:textId="77777777" w:rsidR="003A735A" w:rsidRPr="00485F85" w:rsidRDefault="003A735A" w:rsidP="007B2CA8">
      <w:pPr>
        <w:tabs>
          <w:tab w:val="clear" w:pos="1615"/>
        </w:tabs>
        <w:spacing w:after="0"/>
        <w:rPr>
          <w:rFonts w:asciiTheme="majorHAnsi" w:hAnsiTheme="majorHAnsi" w:cstheme="majorHAnsi"/>
        </w:rPr>
      </w:pPr>
    </w:p>
    <w:p w14:paraId="7D328306" w14:textId="15D98A0C" w:rsidR="003A735A" w:rsidRPr="00485F85" w:rsidRDefault="003A735A" w:rsidP="007B2CA8">
      <w:pPr>
        <w:tabs>
          <w:tab w:val="clear" w:pos="1615"/>
        </w:tabs>
        <w:spacing w:after="0"/>
        <w:rPr>
          <w:rFonts w:asciiTheme="majorHAnsi" w:hAnsiTheme="majorHAnsi" w:cstheme="majorHAnsi"/>
        </w:rPr>
      </w:pPr>
    </w:p>
    <w:p w14:paraId="51C34057" w14:textId="486AFD20"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22</w:t>
      </w:r>
      <w:r w:rsidRPr="00485F85">
        <w:rPr>
          <w:rFonts w:asciiTheme="majorHAnsi" w:hAnsiTheme="majorHAnsi" w:cstheme="majorHAnsi"/>
        </w:rPr>
        <w:t xml:space="preserve"> – Dimensão 1</w:t>
      </w:r>
      <w:r w:rsidR="00E72FE1" w:rsidRPr="00485F85">
        <w:rPr>
          <w:rFonts w:asciiTheme="majorHAnsi" w:hAnsiTheme="majorHAnsi" w:cstheme="majorHAnsi"/>
        </w:rPr>
        <w:t>0</w:t>
      </w:r>
      <w:r w:rsidRPr="00485F85">
        <w:rPr>
          <w:rFonts w:asciiTheme="majorHAnsi" w:hAnsiTheme="majorHAnsi" w:cstheme="majorHAnsi"/>
        </w:rPr>
        <w:t xml:space="preserve"> – Boas Práticas para Gestão Inovadora</w:t>
      </w:r>
    </w:p>
    <w:tbl>
      <w:tblPr>
        <w:tblStyle w:val="Tabelacomgrade"/>
        <w:tblW w:w="10065" w:type="dxa"/>
        <w:tblInd w:w="-289" w:type="dxa"/>
        <w:tblLook w:val="04A0" w:firstRow="1" w:lastRow="0" w:firstColumn="1" w:lastColumn="0" w:noHBand="0" w:noVBand="1"/>
      </w:tblPr>
      <w:tblGrid>
        <w:gridCol w:w="10065"/>
      </w:tblGrid>
      <w:tr w:rsidR="005747F1" w:rsidRPr="00485F85" w14:paraId="2530322D" w14:textId="77777777" w:rsidTr="005747F1">
        <w:tc>
          <w:tcPr>
            <w:tcW w:w="10065" w:type="dxa"/>
            <w:hideMark/>
          </w:tcPr>
          <w:p w14:paraId="1131239F" w14:textId="77777777" w:rsidR="005747F1" w:rsidRPr="00485F85" w:rsidRDefault="005747F1" w:rsidP="00BB72C8">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2B8BF053" w14:textId="77777777" w:rsidTr="005747F1">
        <w:tc>
          <w:tcPr>
            <w:tcW w:w="10065" w:type="dxa"/>
            <w:tcBorders>
              <w:top w:val="single" w:sz="4" w:space="0" w:color="auto"/>
              <w:left w:val="single" w:sz="4" w:space="0" w:color="auto"/>
              <w:bottom w:val="single" w:sz="4" w:space="0" w:color="auto"/>
              <w:right w:val="single" w:sz="4" w:space="0" w:color="auto"/>
            </w:tcBorders>
          </w:tcPr>
          <w:p w14:paraId="063D7C0C" w14:textId="77777777" w:rsidR="005747F1" w:rsidRPr="00485F85" w:rsidRDefault="005747F1" w:rsidP="008A2F73">
            <w:pPr>
              <w:jc w:val="both"/>
              <w:rPr>
                <w:rFonts w:asciiTheme="majorHAnsi" w:hAnsiTheme="majorHAnsi" w:cstheme="majorHAnsi"/>
              </w:rPr>
            </w:pPr>
          </w:p>
          <w:p w14:paraId="7FCC8E3B"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 Foi observado que a Universidade de Oxford colabora com o setor produtivo a partir de inovações, consultorias acadêmicas, patentes e invenções por meio da OXFORD UNIVERSITY INNOVATION. Trata-se de uma empresa subsidiária integral da Universidade de Oxford, supervisionada por um conselho formado por funcionários seniores da Universidade e membros externos com ampla experiência no setor.</w:t>
            </w:r>
          </w:p>
          <w:p w14:paraId="65795E46" w14:textId="77777777" w:rsidR="005747F1" w:rsidRPr="00485F85" w:rsidRDefault="00A515B3" w:rsidP="008A2F73">
            <w:pPr>
              <w:jc w:val="both"/>
              <w:rPr>
                <w:rFonts w:asciiTheme="majorHAnsi" w:hAnsiTheme="majorHAnsi" w:cstheme="majorHAnsi"/>
              </w:rPr>
            </w:pPr>
            <w:hyperlink r:id="rId85" w:history="1">
              <w:r w:rsidR="005747F1" w:rsidRPr="00485F85">
                <w:rPr>
                  <w:rStyle w:val="Hyperlink"/>
                  <w:rFonts w:asciiTheme="majorHAnsi" w:hAnsiTheme="majorHAnsi" w:cstheme="majorHAnsi"/>
                </w:rPr>
                <w:t>https://innovation.ox.ac.uk/about/</w:t>
              </w:r>
            </w:hyperlink>
            <w:r w:rsidR="005747F1" w:rsidRPr="00485F85">
              <w:rPr>
                <w:rFonts w:asciiTheme="majorHAnsi" w:hAnsiTheme="majorHAnsi" w:cstheme="majorHAnsi"/>
              </w:rPr>
              <w:t xml:space="preserve"> </w:t>
            </w:r>
          </w:p>
          <w:p w14:paraId="555CED02" w14:textId="63DB8AF8" w:rsidR="005747F1" w:rsidRPr="00485F85" w:rsidRDefault="005747F1" w:rsidP="008A2F73">
            <w:pPr>
              <w:jc w:val="both"/>
              <w:rPr>
                <w:rFonts w:asciiTheme="majorHAnsi" w:hAnsiTheme="majorHAnsi" w:cstheme="majorHAnsi"/>
              </w:rPr>
            </w:pPr>
            <w:r w:rsidRPr="00485F85">
              <w:rPr>
                <w:rFonts w:asciiTheme="majorHAnsi" w:hAnsiTheme="majorHAnsi" w:cstheme="majorHAnsi"/>
              </w:rPr>
              <w:t xml:space="preserve"> </w:t>
            </w:r>
          </w:p>
          <w:p w14:paraId="68FD5225" w14:textId="53E1759D" w:rsidR="005747F1" w:rsidRPr="00485F85" w:rsidRDefault="005747F1" w:rsidP="008A2F73">
            <w:pPr>
              <w:jc w:val="both"/>
              <w:rPr>
                <w:rFonts w:asciiTheme="majorHAnsi" w:hAnsiTheme="majorHAnsi" w:cstheme="majorHAnsi"/>
                <w:bCs/>
              </w:rPr>
            </w:pPr>
            <w:r w:rsidRPr="00485F85">
              <w:rPr>
                <w:rFonts w:asciiTheme="majorHAnsi" w:hAnsiTheme="majorHAnsi" w:cstheme="majorHAnsi"/>
              </w:rPr>
              <w:t xml:space="preserve">- A partir dos dados obtidos com a consultoria de foi possível observar que apenas com as consultorias prestadas em 2020 a renda foi de </w:t>
            </w:r>
            <w:r w:rsidRPr="00485F85">
              <w:rPr>
                <w:rFonts w:asciiTheme="majorHAnsi" w:hAnsiTheme="majorHAnsi" w:cstheme="majorHAnsi"/>
                <w:bCs/>
              </w:rPr>
              <w:t xml:space="preserve"> £ 4,49 milhões de libras. Houve também </w:t>
            </w:r>
            <w:r w:rsidRPr="00485F85">
              <w:rPr>
                <w:rFonts w:asciiTheme="majorHAnsi" w:hAnsiTheme="majorHAnsi" w:cstheme="majorHAnsi"/>
              </w:rPr>
              <w:t xml:space="preserve">Impacto positivo na empregabilidade com cerca de 2.300 consultores registrados e mais de 500 negócios consolidados somente em 2020 </w:t>
            </w:r>
          </w:p>
          <w:p w14:paraId="59454F46" w14:textId="77777777" w:rsidR="005747F1" w:rsidRPr="00485F85" w:rsidRDefault="005747F1" w:rsidP="008A2F73">
            <w:pPr>
              <w:jc w:val="both"/>
              <w:rPr>
                <w:rFonts w:asciiTheme="majorHAnsi" w:hAnsiTheme="majorHAnsi" w:cstheme="majorHAnsi"/>
              </w:rPr>
            </w:pPr>
          </w:p>
          <w:p w14:paraId="1F3973B8"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 xml:space="preserve">- Governos, empresas e universidades em todo o mundo podem acessar suporte e know-how para gestão de inovação por meio da Oxentia (agora uma empresa separada, anteriormente conhecida como Isis Enterprise). </w:t>
            </w:r>
            <w:hyperlink r:id="rId86" w:history="1">
              <w:r w:rsidRPr="00485F85">
                <w:rPr>
                  <w:rStyle w:val="Hyperlink"/>
                  <w:rFonts w:asciiTheme="majorHAnsi" w:hAnsiTheme="majorHAnsi" w:cstheme="majorHAnsi"/>
                </w:rPr>
                <w:t>https://www.oxentia.com/</w:t>
              </w:r>
            </w:hyperlink>
            <w:r w:rsidRPr="00485F85">
              <w:rPr>
                <w:rFonts w:asciiTheme="majorHAnsi" w:hAnsiTheme="majorHAnsi" w:cstheme="majorHAnsi"/>
              </w:rPr>
              <w:t xml:space="preserve"> </w:t>
            </w:r>
          </w:p>
          <w:p w14:paraId="7A192E96" w14:textId="77777777" w:rsidR="005747F1" w:rsidRPr="00485F85" w:rsidRDefault="005747F1" w:rsidP="008A2F73">
            <w:pPr>
              <w:jc w:val="both"/>
              <w:rPr>
                <w:rFonts w:asciiTheme="majorHAnsi" w:hAnsiTheme="majorHAnsi" w:cstheme="majorHAnsi"/>
              </w:rPr>
            </w:pPr>
          </w:p>
          <w:p w14:paraId="7EA333DC"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 Foi detectado um ambiente de empreendedorismo na universidade por meio de práticas de suporte à comunidade como:</w:t>
            </w:r>
          </w:p>
          <w:p w14:paraId="560967F8"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t>construção flexível e aluguel no Oxford Science Park</w:t>
            </w:r>
          </w:p>
          <w:p w14:paraId="41E68869"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t>instalações flexíveis em um ambiente de pesquisa exclusivo no Begbroke Science Park e no BioEscalator</w:t>
            </w:r>
          </w:p>
          <w:p w14:paraId="440BEC86"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t>engajamento com empreendedores, acadêmicos e alunos do Centro de Empreendedorismo</w:t>
            </w:r>
          </w:p>
          <w:p w14:paraId="187DBC5B"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lastRenderedPageBreak/>
              <w:t>instalações para inovação e empresas baseadas em ciência e tecnologia no campus The Harwell Science &amp; Innovation</w:t>
            </w:r>
          </w:p>
          <w:p w14:paraId="2AAFA336"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t>espaço de escritório e serviços especializados de apoio empresarial no Culham Science Center</w:t>
            </w:r>
          </w:p>
          <w:p w14:paraId="2F151247" w14:textId="77777777" w:rsidR="005747F1" w:rsidRPr="00485F85" w:rsidRDefault="005747F1" w:rsidP="00BF497F">
            <w:pPr>
              <w:pStyle w:val="PargrafodaLista"/>
              <w:numPr>
                <w:ilvl w:val="0"/>
                <w:numId w:val="37"/>
              </w:numPr>
              <w:jc w:val="both"/>
              <w:rPr>
                <w:rFonts w:asciiTheme="majorHAnsi" w:hAnsiTheme="majorHAnsi" w:cstheme="majorHAnsi"/>
                <w:bCs/>
              </w:rPr>
            </w:pPr>
            <w:r w:rsidRPr="00485F85">
              <w:rPr>
                <w:rFonts w:asciiTheme="majorHAnsi" w:hAnsiTheme="majorHAnsi" w:cstheme="majorHAnsi"/>
                <w:bCs/>
              </w:rPr>
              <w:t xml:space="preserve">redes locais, apoio governamental regional e nacional para empresas locais   </w:t>
            </w:r>
          </w:p>
          <w:p w14:paraId="566B0875" w14:textId="77777777" w:rsidR="005747F1" w:rsidRPr="00485F85" w:rsidRDefault="005747F1" w:rsidP="008A2F73">
            <w:pPr>
              <w:jc w:val="both"/>
              <w:rPr>
                <w:rFonts w:asciiTheme="majorHAnsi" w:hAnsiTheme="majorHAnsi" w:cstheme="majorHAnsi"/>
              </w:rPr>
            </w:pPr>
          </w:p>
          <w:p w14:paraId="63304219"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 A Universidade trabalha em estreita colaboração com a Oxfordshire Local Enterprise Partnership  (OxLEP), cujo papel é defender o potencial econômico de Oxfordshire e impulsionar o crescimento dos negócios, incluindo investimento interno por meio de investimentos em Oxfordshire . Ele também oferece um serviço gratuito de Suporte a Negócios em Oxfordshire .</w:t>
            </w:r>
          </w:p>
          <w:p w14:paraId="4D64B1DE" w14:textId="77777777" w:rsidR="005747F1" w:rsidRPr="00485F85" w:rsidRDefault="005747F1" w:rsidP="008A2F73">
            <w:pPr>
              <w:jc w:val="both"/>
              <w:rPr>
                <w:rFonts w:asciiTheme="majorHAnsi" w:hAnsiTheme="majorHAnsi" w:cstheme="majorHAnsi"/>
              </w:rPr>
            </w:pPr>
            <w:r w:rsidRPr="00485F85">
              <w:rPr>
                <w:rFonts w:asciiTheme="majorHAnsi" w:hAnsiTheme="majorHAnsi" w:cstheme="majorHAnsi"/>
              </w:rPr>
              <w:t>A Universidade está envolvida nas redes regionais de negócios:</w:t>
            </w:r>
          </w:p>
          <w:p w14:paraId="2B0863FF" w14:textId="77777777" w:rsidR="005747F1" w:rsidRPr="00485F85" w:rsidRDefault="00A515B3" w:rsidP="008A2F73">
            <w:pPr>
              <w:jc w:val="both"/>
              <w:rPr>
                <w:rFonts w:asciiTheme="majorHAnsi" w:hAnsiTheme="majorHAnsi" w:cstheme="majorHAnsi"/>
              </w:rPr>
            </w:pPr>
            <w:hyperlink r:id="rId87" w:history="1">
              <w:r w:rsidR="005747F1" w:rsidRPr="00485F85">
                <w:rPr>
                  <w:rStyle w:val="Hyperlink"/>
                  <w:rFonts w:asciiTheme="majorHAnsi" w:hAnsiTheme="majorHAnsi" w:cstheme="majorHAnsi"/>
                </w:rPr>
                <w:t>https://venturefestoxford.com</w:t>
              </w:r>
            </w:hyperlink>
            <w:r w:rsidR="005747F1" w:rsidRPr="00485F85">
              <w:rPr>
                <w:rFonts w:asciiTheme="majorHAnsi" w:hAnsiTheme="majorHAnsi" w:cstheme="majorHAnsi"/>
              </w:rPr>
              <w:t xml:space="preserve"> </w:t>
            </w:r>
          </w:p>
          <w:p w14:paraId="7BF0F903" w14:textId="77777777" w:rsidR="005747F1" w:rsidRPr="00485F85" w:rsidRDefault="00A515B3" w:rsidP="008A2F73">
            <w:pPr>
              <w:jc w:val="both"/>
              <w:rPr>
                <w:rFonts w:asciiTheme="majorHAnsi" w:hAnsiTheme="majorHAnsi" w:cstheme="majorHAnsi"/>
              </w:rPr>
            </w:pPr>
            <w:hyperlink r:id="rId88" w:history="1">
              <w:r w:rsidR="005747F1" w:rsidRPr="00485F85">
                <w:rPr>
                  <w:rStyle w:val="Hyperlink"/>
                  <w:rFonts w:asciiTheme="majorHAnsi" w:hAnsiTheme="majorHAnsi" w:cstheme="majorHAnsi"/>
                </w:rPr>
                <w:t>https://www.businessinoxford.com</w:t>
              </w:r>
            </w:hyperlink>
            <w:r w:rsidR="005747F1" w:rsidRPr="00485F85">
              <w:rPr>
                <w:rFonts w:asciiTheme="majorHAnsi" w:hAnsiTheme="majorHAnsi" w:cstheme="majorHAnsi"/>
              </w:rPr>
              <w:t xml:space="preserve">  </w:t>
            </w:r>
          </w:p>
          <w:p w14:paraId="668DDDF3" w14:textId="77777777" w:rsidR="005747F1" w:rsidRPr="00485F85" w:rsidRDefault="00A515B3" w:rsidP="008A2F73">
            <w:pPr>
              <w:jc w:val="both"/>
              <w:rPr>
                <w:rFonts w:asciiTheme="majorHAnsi" w:hAnsiTheme="majorHAnsi" w:cstheme="majorHAnsi"/>
              </w:rPr>
            </w:pPr>
            <w:hyperlink r:id="rId89" w:history="1">
              <w:r w:rsidR="005747F1" w:rsidRPr="00485F85">
                <w:rPr>
                  <w:rStyle w:val="Hyperlink"/>
                  <w:rFonts w:asciiTheme="majorHAnsi" w:hAnsiTheme="majorHAnsi" w:cstheme="majorHAnsi"/>
                </w:rPr>
                <w:t>http://obn.org.uk</w:t>
              </w:r>
            </w:hyperlink>
            <w:r w:rsidR="005747F1" w:rsidRPr="00485F85">
              <w:rPr>
                <w:rFonts w:asciiTheme="majorHAnsi" w:hAnsiTheme="majorHAnsi" w:cstheme="majorHAnsi"/>
              </w:rPr>
              <w:t xml:space="preserve"> </w:t>
            </w:r>
          </w:p>
          <w:p w14:paraId="6B88A8D6" w14:textId="77777777" w:rsidR="005747F1" w:rsidRPr="00485F85" w:rsidRDefault="00A515B3" w:rsidP="008A2F73">
            <w:pPr>
              <w:jc w:val="both"/>
              <w:rPr>
                <w:rFonts w:asciiTheme="majorHAnsi" w:hAnsiTheme="majorHAnsi" w:cstheme="majorHAnsi"/>
              </w:rPr>
            </w:pPr>
            <w:hyperlink r:id="rId90" w:history="1">
              <w:r w:rsidR="005747F1" w:rsidRPr="00485F85">
                <w:rPr>
                  <w:rStyle w:val="Hyperlink"/>
                  <w:rFonts w:asciiTheme="majorHAnsi" w:hAnsiTheme="majorHAnsi" w:cstheme="majorHAnsi"/>
                </w:rPr>
                <w:t>https://otmn.co.uk</w:t>
              </w:r>
            </w:hyperlink>
            <w:r w:rsidR="005747F1" w:rsidRPr="00485F85">
              <w:rPr>
                <w:rFonts w:asciiTheme="majorHAnsi" w:hAnsiTheme="majorHAnsi" w:cstheme="majorHAnsi"/>
              </w:rPr>
              <w:t xml:space="preserve"> </w:t>
            </w:r>
          </w:p>
          <w:p w14:paraId="55618AF9" w14:textId="77777777" w:rsidR="005747F1" w:rsidRPr="00485F85" w:rsidRDefault="00A515B3" w:rsidP="008A2F73">
            <w:pPr>
              <w:jc w:val="both"/>
              <w:rPr>
                <w:rFonts w:asciiTheme="majorHAnsi" w:hAnsiTheme="majorHAnsi" w:cstheme="majorHAnsi"/>
              </w:rPr>
            </w:pPr>
            <w:hyperlink r:id="rId91" w:history="1">
              <w:r w:rsidR="005747F1" w:rsidRPr="00485F85">
                <w:rPr>
                  <w:rStyle w:val="Hyperlink"/>
                  <w:rFonts w:asciiTheme="majorHAnsi" w:hAnsiTheme="majorHAnsi" w:cstheme="majorHAnsi"/>
                </w:rPr>
                <w:t>https://www.ox.ac.uk/research/innovation-and-partnership/resources-facilities/grow-your-business-oxford</w:t>
              </w:r>
            </w:hyperlink>
            <w:r w:rsidR="005747F1" w:rsidRPr="00485F85">
              <w:rPr>
                <w:rFonts w:asciiTheme="majorHAnsi" w:hAnsiTheme="majorHAnsi" w:cstheme="majorHAnsi"/>
              </w:rPr>
              <w:t xml:space="preserve"> </w:t>
            </w:r>
          </w:p>
          <w:p w14:paraId="60836379" w14:textId="262B04B1" w:rsidR="005747F1" w:rsidRPr="00485F85" w:rsidRDefault="005747F1" w:rsidP="008A2F73">
            <w:pPr>
              <w:tabs>
                <w:tab w:val="clear" w:pos="1615"/>
              </w:tabs>
              <w:spacing w:after="160" w:line="259" w:lineRule="auto"/>
              <w:jc w:val="both"/>
              <w:rPr>
                <w:rFonts w:asciiTheme="majorHAnsi" w:hAnsiTheme="majorHAnsi" w:cstheme="majorHAnsi"/>
              </w:rPr>
            </w:pPr>
          </w:p>
        </w:tc>
      </w:tr>
    </w:tbl>
    <w:p w14:paraId="5BE40C97"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328F720D" w14:textId="1045EE52" w:rsidR="008A2F73" w:rsidRPr="00485F85" w:rsidRDefault="008A2F73" w:rsidP="008A2F73">
      <w:pPr>
        <w:tabs>
          <w:tab w:val="clear" w:pos="1615"/>
        </w:tabs>
        <w:spacing w:line="259" w:lineRule="auto"/>
        <w:rPr>
          <w:rFonts w:asciiTheme="majorHAnsi" w:hAnsiTheme="majorHAnsi" w:cstheme="majorHAnsi"/>
          <w:b/>
          <w:bCs/>
        </w:rPr>
      </w:pPr>
    </w:p>
    <w:p w14:paraId="46E602E5" w14:textId="7FE7DFBA" w:rsidR="008A2F73" w:rsidRPr="00485F85" w:rsidRDefault="008A2F73" w:rsidP="008A2F73">
      <w:pPr>
        <w:tabs>
          <w:tab w:val="clear" w:pos="1615"/>
        </w:tabs>
        <w:spacing w:line="259" w:lineRule="auto"/>
        <w:rPr>
          <w:rFonts w:asciiTheme="majorHAnsi" w:hAnsiTheme="majorHAnsi" w:cstheme="majorHAnsi"/>
          <w:b/>
          <w:bCs/>
        </w:rPr>
      </w:pPr>
    </w:p>
    <w:p w14:paraId="7D7ECE8A" w14:textId="173C3D97" w:rsidR="00E519E5" w:rsidRPr="00485F85" w:rsidRDefault="00E519E5" w:rsidP="008A2F73">
      <w:pPr>
        <w:tabs>
          <w:tab w:val="clear" w:pos="1615"/>
        </w:tabs>
        <w:spacing w:line="259" w:lineRule="auto"/>
        <w:rPr>
          <w:rFonts w:asciiTheme="majorHAnsi" w:hAnsiTheme="majorHAnsi" w:cstheme="majorHAnsi"/>
          <w:b/>
          <w:bCs/>
        </w:rPr>
      </w:pPr>
    </w:p>
    <w:p w14:paraId="7D138199" w14:textId="705FD02D" w:rsidR="0058079B" w:rsidRPr="00485F85" w:rsidRDefault="0058079B" w:rsidP="008A2F73">
      <w:pPr>
        <w:tabs>
          <w:tab w:val="clear" w:pos="1615"/>
        </w:tabs>
        <w:spacing w:line="259" w:lineRule="auto"/>
        <w:rPr>
          <w:rFonts w:asciiTheme="majorHAnsi" w:hAnsiTheme="majorHAnsi" w:cstheme="majorHAnsi"/>
          <w:b/>
          <w:bCs/>
        </w:rPr>
      </w:pPr>
    </w:p>
    <w:p w14:paraId="26C24975" w14:textId="77777777" w:rsidR="0058079B" w:rsidRPr="00485F85" w:rsidRDefault="0058079B" w:rsidP="008A2F73">
      <w:pPr>
        <w:tabs>
          <w:tab w:val="clear" w:pos="1615"/>
        </w:tabs>
        <w:spacing w:line="259" w:lineRule="auto"/>
        <w:rPr>
          <w:rFonts w:asciiTheme="majorHAnsi" w:hAnsiTheme="majorHAnsi" w:cstheme="majorHAnsi"/>
          <w:b/>
          <w:bCs/>
        </w:rPr>
      </w:pPr>
    </w:p>
    <w:p w14:paraId="698D74AF" w14:textId="77777777" w:rsidR="005747F1" w:rsidRPr="00485F85" w:rsidRDefault="005747F1">
      <w:pPr>
        <w:tabs>
          <w:tab w:val="clear" w:pos="1615"/>
        </w:tabs>
        <w:spacing w:line="259" w:lineRule="auto"/>
        <w:rPr>
          <w:rFonts w:asciiTheme="majorHAnsi" w:hAnsiTheme="majorHAnsi" w:cstheme="majorHAnsi"/>
          <w:color w:val="3692ED" w:themeColor="accent2" w:themeTint="99"/>
          <w:sz w:val="28"/>
          <w:szCs w:val="28"/>
        </w:rPr>
      </w:pPr>
      <w:r w:rsidRPr="00485F85">
        <w:rPr>
          <w:rFonts w:asciiTheme="majorHAnsi" w:hAnsiTheme="majorHAnsi" w:cstheme="majorHAnsi"/>
        </w:rPr>
        <w:br w:type="page"/>
      </w:r>
    </w:p>
    <w:p w14:paraId="2F3B5802" w14:textId="1A600EC3" w:rsidR="0058079B" w:rsidRPr="00485F85" w:rsidRDefault="00A206D5" w:rsidP="00A206D5">
      <w:pPr>
        <w:pStyle w:val="Ttulo3"/>
        <w:ind w:left="1276"/>
        <w:rPr>
          <w:rFonts w:asciiTheme="majorHAnsi" w:hAnsiTheme="majorHAnsi" w:cstheme="majorHAnsi"/>
        </w:rPr>
      </w:pPr>
      <w:bookmarkStart w:id="44" w:name="_Toc82101331"/>
      <w:r w:rsidRPr="00485F85">
        <w:rPr>
          <w:rFonts w:asciiTheme="majorHAnsi" w:hAnsiTheme="majorHAnsi" w:cstheme="majorHAnsi"/>
        </w:rPr>
        <w:lastRenderedPageBreak/>
        <w:t>DIMENSÃO 11 IMPACTO PARA A COMUNIDADE LOCAL</w:t>
      </w:r>
      <w:bookmarkEnd w:id="44"/>
    </w:p>
    <w:p w14:paraId="11D3F1A9" w14:textId="77777777" w:rsidR="00BC434D" w:rsidRPr="00485F85" w:rsidRDefault="00BC434D" w:rsidP="00BC434D">
      <w:pPr>
        <w:rPr>
          <w:rFonts w:asciiTheme="majorHAnsi" w:hAnsiTheme="majorHAnsi" w:cstheme="majorHAnsi"/>
        </w:rPr>
      </w:pPr>
    </w:p>
    <w:p w14:paraId="4F2E829C" w14:textId="5B608B3C" w:rsidR="00E519E5" w:rsidRPr="00485F85" w:rsidRDefault="00EC6768" w:rsidP="008A2F73">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0BE0D7CA" wp14:editId="14F252D8">
            <wp:extent cx="6120130" cy="3345815"/>
            <wp:effectExtent l="0" t="0" r="0" b="6985"/>
            <wp:docPr id="34" name="Imagem 3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iagrama&#10;&#10;Descrição gerada automaticament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130" cy="3345815"/>
                    </a:xfrm>
                    <a:prstGeom prst="rect">
                      <a:avLst/>
                    </a:prstGeom>
                  </pic:spPr>
                </pic:pic>
              </a:graphicData>
            </a:graphic>
          </wp:inline>
        </w:drawing>
      </w:r>
    </w:p>
    <w:p w14:paraId="21CA627A" w14:textId="6C30A873" w:rsidR="007B2CA8" w:rsidRPr="00485F85" w:rsidRDefault="007B2CA8" w:rsidP="008A2F73">
      <w:pPr>
        <w:tabs>
          <w:tab w:val="clear" w:pos="1615"/>
        </w:tabs>
        <w:spacing w:line="259" w:lineRule="auto"/>
        <w:rPr>
          <w:rFonts w:asciiTheme="majorHAnsi" w:hAnsiTheme="majorHAnsi" w:cstheme="majorHAnsi"/>
          <w:b/>
          <w:bCs/>
        </w:rPr>
      </w:pPr>
    </w:p>
    <w:p w14:paraId="571326FF"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16 – Boas práticas Dimensão 11. Impacto para a comunidade local</w:t>
      </w:r>
    </w:p>
    <w:p w14:paraId="21BB4495" w14:textId="14CBDFE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0C94DBA6" w14:textId="35E72BEC" w:rsidR="00CE42E1" w:rsidRPr="00485F85" w:rsidRDefault="00CE42E1" w:rsidP="008A2F73">
      <w:pPr>
        <w:tabs>
          <w:tab w:val="clear" w:pos="1615"/>
        </w:tabs>
        <w:spacing w:line="259" w:lineRule="auto"/>
        <w:rPr>
          <w:rFonts w:asciiTheme="majorHAnsi" w:hAnsiTheme="majorHAnsi" w:cstheme="majorHAnsi"/>
          <w:b/>
          <w:bCs/>
        </w:rPr>
      </w:pPr>
    </w:p>
    <w:p w14:paraId="6692C55F" w14:textId="1B9CC682"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23</w:t>
      </w:r>
      <w:r w:rsidRPr="00485F85">
        <w:rPr>
          <w:rFonts w:asciiTheme="majorHAnsi" w:hAnsiTheme="majorHAnsi" w:cstheme="majorHAnsi"/>
        </w:rPr>
        <w:t xml:space="preserve"> – Dimensão 1</w:t>
      </w:r>
      <w:r w:rsidR="00E72FE1" w:rsidRPr="00485F85">
        <w:rPr>
          <w:rFonts w:asciiTheme="majorHAnsi" w:hAnsiTheme="majorHAnsi" w:cstheme="majorHAnsi"/>
        </w:rPr>
        <w:t>1</w:t>
      </w:r>
      <w:r w:rsidRPr="00485F85">
        <w:rPr>
          <w:rFonts w:asciiTheme="majorHAnsi" w:hAnsiTheme="majorHAnsi" w:cstheme="majorHAnsi"/>
        </w:rPr>
        <w:t xml:space="preserve"> – Boas Práticas para Gestão Inovadora</w:t>
      </w:r>
    </w:p>
    <w:tbl>
      <w:tblPr>
        <w:tblStyle w:val="Tabelacomgrade"/>
        <w:tblW w:w="10207" w:type="dxa"/>
        <w:tblInd w:w="-289" w:type="dxa"/>
        <w:tblLook w:val="04A0" w:firstRow="1" w:lastRow="0" w:firstColumn="1" w:lastColumn="0" w:noHBand="0" w:noVBand="1"/>
      </w:tblPr>
      <w:tblGrid>
        <w:gridCol w:w="10207"/>
      </w:tblGrid>
      <w:tr w:rsidR="005747F1" w:rsidRPr="00485F85" w14:paraId="31BB8059" w14:textId="77777777" w:rsidTr="005747F1">
        <w:tc>
          <w:tcPr>
            <w:tcW w:w="10207" w:type="dxa"/>
            <w:hideMark/>
          </w:tcPr>
          <w:p w14:paraId="7E9192D9" w14:textId="77777777" w:rsidR="005747F1" w:rsidRPr="00485F85" w:rsidRDefault="005747F1" w:rsidP="008A2F73">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4EAF6E3D" w14:textId="77777777" w:rsidTr="005747F1">
        <w:tc>
          <w:tcPr>
            <w:tcW w:w="10207" w:type="dxa"/>
            <w:tcBorders>
              <w:top w:val="single" w:sz="4" w:space="0" w:color="auto"/>
              <w:left w:val="single" w:sz="4" w:space="0" w:color="auto"/>
              <w:bottom w:val="single" w:sz="4" w:space="0" w:color="auto"/>
              <w:right w:val="single" w:sz="4" w:space="0" w:color="auto"/>
            </w:tcBorders>
          </w:tcPr>
          <w:p w14:paraId="02E8D02D" w14:textId="77777777" w:rsidR="005747F1" w:rsidRPr="00485F85" w:rsidRDefault="005747F1" w:rsidP="00AF287E">
            <w:pPr>
              <w:spacing w:after="160"/>
              <w:jc w:val="both"/>
              <w:rPr>
                <w:rFonts w:asciiTheme="majorHAnsi" w:hAnsiTheme="majorHAnsi" w:cstheme="majorHAnsi"/>
                <w:b/>
              </w:rPr>
            </w:pPr>
            <w:r w:rsidRPr="00485F85">
              <w:rPr>
                <w:rFonts w:asciiTheme="majorHAnsi" w:hAnsiTheme="majorHAnsi" w:cstheme="majorHAnsi"/>
                <w:color w:val="212529"/>
                <w:shd w:val="clear" w:color="auto" w:fill="FFFFFF"/>
              </w:rPr>
              <w:t>- Como boa prática para a inclusão de negros britânicos, está a bolsa para alunos de graduação do Reino Unido com herança negra africana e caribenha de origens desfavorecidas, com o primeiro bolsista tendo recentemente iniciado seus estudos em Oxford.</w:t>
            </w:r>
          </w:p>
          <w:p w14:paraId="3886F888" w14:textId="77777777" w:rsidR="005747F1" w:rsidRPr="00485F85" w:rsidRDefault="00A515B3" w:rsidP="00AF287E">
            <w:pPr>
              <w:spacing w:after="160"/>
              <w:jc w:val="both"/>
              <w:rPr>
                <w:rFonts w:asciiTheme="majorHAnsi" w:hAnsiTheme="majorHAnsi" w:cstheme="majorHAnsi"/>
                <w:bCs/>
              </w:rPr>
            </w:pPr>
            <w:hyperlink r:id="rId93" w:history="1">
              <w:r w:rsidR="005747F1" w:rsidRPr="00485F85">
                <w:rPr>
                  <w:rStyle w:val="Hyperlink"/>
                  <w:rFonts w:asciiTheme="majorHAnsi" w:hAnsiTheme="majorHAnsi" w:cstheme="majorHAnsi"/>
                  <w:bCs/>
                </w:rPr>
                <w:t>https://www.development.ox.ac.uk/report2019-20/creating-opportunities-for-black-british-students</w:t>
              </w:r>
            </w:hyperlink>
            <w:r w:rsidR="005747F1" w:rsidRPr="00485F85">
              <w:rPr>
                <w:rFonts w:asciiTheme="majorHAnsi" w:hAnsiTheme="majorHAnsi" w:cstheme="majorHAnsi"/>
                <w:bCs/>
              </w:rPr>
              <w:t xml:space="preserve"> </w:t>
            </w:r>
          </w:p>
          <w:p w14:paraId="2CF95D5D" w14:textId="77777777" w:rsidR="005747F1" w:rsidRPr="00485F85" w:rsidRDefault="005747F1" w:rsidP="00AF287E">
            <w:pPr>
              <w:jc w:val="both"/>
              <w:rPr>
                <w:rFonts w:asciiTheme="majorHAnsi" w:hAnsiTheme="majorHAnsi" w:cstheme="majorHAnsi"/>
                <w:bCs/>
                <w:lang w:val="en-US"/>
              </w:rPr>
            </w:pPr>
            <w:r w:rsidRPr="00485F85">
              <w:rPr>
                <w:rFonts w:asciiTheme="majorHAnsi" w:hAnsiTheme="majorHAnsi" w:cstheme="majorHAnsi"/>
                <w:bCs/>
              </w:rPr>
              <w:t xml:space="preserve">- A pesquisadora pode observar no plano estratégico (2018/2023) da Universidade a intenção em ampliar a entrada de estudantes estrangeiros e aqueles considerados minorias étnicas também. Segue o trecho do documento. Trata-se do aspecto “Pessoas”. </w:t>
            </w:r>
            <w:r w:rsidRPr="00485F85">
              <w:rPr>
                <w:rFonts w:asciiTheme="majorHAnsi" w:hAnsiTheme="majorHAnsi" w:cstheme="majorHAnsi"/>
                <w:bCs/>
                <w:lang w:val="en-US"/>
              </w:rPr>
              <w:t xml:space="preserve">Compromisso geral 13. </w:t>
            </w:r>
          </w:p>
          <w:p w14:paraId="757F8F1A" w14:textId="77777777" w:rsidR="005747F1" w:rsidRPr="00485F85" w:rsidRDefault="005747F1" w:rsidP="00AF287E">
            <w:pPr>
              <w:jc w:val="both"/>
              <w:rPr>
                <w:rFonts w:asciiTheme="majorHAnsi" w:hAnsiTheme="majorHAnsi" w:cstheme="majorHAnsi"/>
                <w:bCs/>
                <w:lang w:val="en-US"/>
              </w:rPr>
            </w:pPr>
          </w:p>
          <w:p w14:paraId="39A1BBE0" w14:textId="77777777" w:rsidR="005747F1" w:rsidRPr="00485F85" w:rsidRDefault="005747F1" w:rsidP="00AF287E">
            <w:pPr>
              <w:jc w:val="both"/>
              <w:rPr>
                <w:rFonts w:asciiTheme="majorHAnsi" w:hAnsiTheme="majorHAnsi" w:cstheme="majorHAnsi"/>
                <w:bCs/>
                <w:lang w:val="en-US"/>
              </w:rPr>
            </w:pPr>
            <w:r w:rsidRPr="00485F85">
              <w:rPr>
                <w:rFonts w:asciiTheme="majorHAnsi" w:hAnsiTheme="majorHAnsi" w:cstheme="majorHAnsi"/>
                <w:bCs/>
                <w:lang w:val="en-US"/>
              </w:rPr>
              <w:t>13. Embed a supportive, inclusive culture and increase the diversity of University staff at all levels through the</w:t>
            </w:r>
          </w:p>
          <w:p w14:paraId="0CB15BB7" w14:textId="77777777" w:rsidR="005747F1" w:rsidRPr="00485F85" w:rsidRDefault="005747F1" w:rsidP="00AF287E">
            <w:pPr>
              <w:jc w:val="both"/>
              <w:rPr>
                <w:rFonts w:asciiTheme="majorHAnsi" w:hAnsiTheme="majorHAnsi" w:cstheme="majorHAnsi"/>
                <w:bCs/>
                <w:lang w:val="en-US"/>
              </w:rPr>
            </w:pPr>
            <w:r w:rsidRPr="00485F85">
              <w:rPr>
                <w:rFonts w:asciiTheme="majorHAnsi" w:hAnsiTheme="majorHAnsi" w:cstheme="majorHAnsi"/>
                <w:bCs/>
                <w:lang w:val="en-US"/>
              </w:rPr>
              <w:t>implementation of our action plans such as Athena SWAN, the Race Equality Charter, the Stonewall Workplace Equality</w:t>
            </w:r>
          </w:p>
          <w:p w14:paraId="0B183F12"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Index and Mindful Employer.</w:t>
            </w:r>
          </w:p>
          <w:p w14:paraId="3C3842DF" w14:textId="77777777" w:rsidR="005747F1" w:rsidRPr="00485F85" w:rsidRDefault="005747F1" w:rsidP="00AF287E">
            <w:pPr>
              <w:spacing w:after="160"/>
              <w:jc w:val="both"/>
              <w:rPr>
                <w:rFonts w:asciiTheme="majorHAnsi" w:hAnsiTheme="majorHAnsi" w:cstheme="majorHAnsi"/>
                <w:bCs/>
              </w:rPr>
            </w:pPr>
            <w:r w:rsidRPr="00485F85">
              <w:rPr>
                <w:rFonts w:asciiTheme="majorHAnsi" w:hAnsiTheme="majorHAnsi" w:cstheme="majorHAnsi"/>
                <w:bCs/>
              </w:rPr>
              <w:t xml:space="preserve">O documento pode ser acessado na íntegra pelo link: </w:t>
            </w:r>
            <w:hyperlink r:id="rId94" w:history="1">
              <w:r w:rsidRPr="00485F85">
                <w:rPr>
                  <w:rStyle w:val="Hyperlink"/>
                  <w:rFonts w:asciiTheme="majorHAnsi" w:hAnsiTheme="majorHAnsi" w:cstheme="majorHAnsi"/>
                  <w:bCs/>
                </w:rPr>
                <w:t>https://www.ox.ac.uk/about/organisation/strategic-plan-2018-23</w:t>
              </w:r>
            </w:hyperlink>
            <w:r w:rsidRPr="00485F85">
              <w:rPr>
                <w:rFonts w:asciiTheme="majorHAnsi" w:hAnsiTheme="majorHAnsi" w:cstheme="majorHAnsi"/>
                <w:bCs/>
              </w:rPr>
              <w:t xml:space="preserve"> </w:t>
            </w:r>
          </w:p>
          <w:p w14:paraId="556A3ABB" w14:textId="325F41F9" w:rsidR="005747F1" w:rsidRPr="00485F85" w:rsidRDefault="005747F1" w:rsidP="00AF287E">
            <w:pPr>
              <w:spacing w:after="160"/>
              <w:jc w:val="both"/>
              <w:rPr>
                <w:rFonts w:asciiTheme="majorHAnsi" w:hAnsiTheme="majorHAnsi" w:cstheme="majorHAnsi"/>
              </w:rPr>
            </w:pPr>
            <w:r w:rsidRPr="00485F85">
              <w:rPr>
                <w:rFonts w:asciiTheme="majorHAnsi" w:hAnsiTheme="majorHAnsi" w:cstheme="majorHAnsi"/>
                <w:bCs/>
              </w:rPr>
              <w:t>- Políticas de “</w:t>
            </w:r>
            <w:r w:rsidRPr="00485F85">
              <w:rPr>
                <w:rFonts w:asciiTheme="majorHAnsi" w:hAnsiTheme="majorHAnsi" w:cstheme="majorHAnsi"/>
              </w:rPr>
              <w:t>Equality Charters” também foram percebidas pela pesquisadora e podem ser consideradas boas práticas já que se propõem a alcançar metas como:</w:t>
            </w:r>
          </w:p>
          <w:p w14:paraId="675BE9FA" w14:textId="77777777" w:rsidR="005747F1" w:rsidRPr="00485F85" w:rsidRDefault="005747F1" w:rsidP="00AF287E">
            <w:pPr>
              <w:jc w:val="both"/>
              <w:rPr>
                <w:rFonts w:asciiTheme="majorHAnsi" w:hAnsiTheme="majorHAnsi" w:cstheme="majorHAnsi"/>
              </w:rPr>
            </w:pPr>
            <w:r w:rsidRPr="00485F85">
              <w:rPr>
                <w:rFonts w:asciiTheme="majorHAnsi" w:hAnsiTheme="majorHAnsi" w:cstheme="majorHAnsi"/>
                <w:b/>
                <w:bCs/>
              </w:rPr>
              <w:t>Athena SWAN</w:t>
            </w:r>
            <w:r w:rsidRPr="00485F85">
              <w:rPr>
                <w:rFonts w:asciiTheme="majorHAnsi" w:hAnsiTheme="majorHAnsi" w:cstheme="majorHAnsi"/>
              </w:rPr>
              <w:t xml:space="preserve"> – igualdade de gênero</w:t>
            </w:r>
          </w:p>
          <w:p w14:paraId="4C2C180D" w14:textId="77777777" w:rsidR="005747F1" w:rsidRPr="00485F85" w:rsidRDefault="005747F1" w:rsidP="00AF287E">
            <w:pPr>
              <w:jc w:val="both"/>
              <w:rPr>
                <w:rFonts w:asciiTheme="majorHAnsi" w:hAnsiTheme="majorHAnsi" w:cstheme="majorHAnsi"/>
              </w:rPr>
            </w:pPr>
            <w:r w:rsidRPr="00485F85">
              <w:rPr>
                <w:rFonts w:asciiTheme="majorHAnsi" w:hAnsiTheme="majorHAnsi" w:cstheme="majorHAnsi"/>
                <w:b/>
                <w:bCs/>
              </w:rPr>
              <w:lastRenderedPageBreak/>
              <w:t>Race Equality Charter</w:t>
            </w:r>
            <w:r w:rsidRPr="00485F85">
              <w:rPr>
                <w:rFonts w:asciiTheme="majorHAnsi" w:hAnsiTheme="majorHAnsi" w:cstheme="majorHAnsi"/>
              </w:rPr>
              <w:t xml:space="preserve"> – diversidade (já com qualificação bronze em menos de 10 anos de implantação</w:t>
            </w:r>
          </w:p>
          <w:p w14:paraId="52A38AB4" w14:textId="77777777" w:rsidR="005747F1" w:rsidRPr="00485F85" w:rsidRDefault="005747F1" w:rsidP="00AF287E">
            <w:pPr>
              <w:jc w:val="both"/>
              <w:rPr>
                <w:rFonts w:asciiTheme="majorHAnsi" w:hAnsiTheme="majorHAnsi" w:cstheme="majorHAnsi"/>
                <w:b/>
                <w:bCs/>
              </w:rPr>
            </w:pPr>
            <w:r w:rsidRPr="00485F85">
              <w:rPr>
                <w:rFonts w:asciiTheme="majorHAnsi" w:hAnsiTheme="majorHAnsi" w:cstheme="majorHAnsi"/>
                <w:b/>
                <w:bCs/>
              </w:rPr>
              <w:t>Stonewall Workplace Index</w:t>
            </w:r>
          </w:p>
          <w:p w14:paraId="670D0F61" w14:textId="77777777" w:rsidR="005747F1" w:rsidRPr="00485F85" w:rsidRDefault="005747F1" w:rsidP="00AF287E">
            <w:pPr>
              <w:jc w:val="both"/>
              <w:rPr>
                <w:rFonts w:asciiTheme="majorHAnsi" w:hAnsiTheme="majorHAnsi" w:cstheme="majorHAnsi"/>
              </w:rPr>
            </w:pPr>
            <w:r w:rsidRPr="00485F85">
              <w:rPr>
                <w:rFonts w:asciiTheme="majorHAnsi" w:hAnsiTheme="majorHAnsi" w:cstheme="majorHAnsi"/>
              </w:rPr>
              <w:t>Compromisso para a inclusão de pessoas LGBTQIA+</w:t>
            </w:r>
          </w:p>
          <w:p w14:paraId="7B13DCF8" w14:textId="77777777" w:rsidR="005747F1" w:rsidRPr="00485F85" w:rsidRDefault="005747F1" w:rsidP="00AF287E">
            <w:pPr>
              <w:jc w:val="both"/>
              <w:rPr>
                <w:rFonts w:asciiTheme="majorHAnsi" w:hAnsiTheme="majorHAnsi" w:cstheme="majorHAnsi"/>
                <w:b/>
                <w:bCs/>
              </w:rPr>
            </w:pPr>
            <w:r w:rsidRPr="00485F85">
              <w:rPr>
                <w:rFonts w:asciiTheme="majorHAnsi" w:hAnsiTheme="majorHAnsi" w:cstheme="majorHAnsi"/>
                <w:b/>
                <w:bCs/>
              </w:rPr>
              <w:t>Mindful Employer</w:t>
            </w:r>
          </w:p>
          <w:p w14:paraId="4411030A"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Melhoria da Saúde mental no local de trabalho</w:t>
            </w:r>
          </w:p>
          <w:p w14:paraId="5BAE74AB" w14:textId="77777777" w:rsidR="005747F1" w:rsidRPr="00485F85" w:rsidRDefault="005747F1" w:rsidP="00AF287E">
            <w:pPr>
              <w:jc w:val="both"/>
              <w:rPr>
                <w:rFonts w:asciiTheme="majorHAnsi" w:hAnsiTheme="majorHAnsi" w:cstheme="majorHAnsi"/>
                <w:bCs/>
              </w:rPr>
            </w:pPr>
          </w:p>
          <w:p w14:paraId="4EBE9C63" w14:textId="77777777" w:rsidR="005747F1" w:rsidRPr="00485F85" w:rsidRDefault="005747F1" w:rsidP="00AF287E">
            <w:pPr>
              <w:jc w:val="both"/>
              <w:rPr>
                <w:rFonts w:asciiTheme="majorHAnsi" w:hAnsiTheme="majorHAnsi" w:cstheme="majorHAnsi"/>
                <w:bCs/>
              </w:rPr>
            </w:pPr>
          </w:p>
          <w:p w14:paraId="01825AC2" w14:textId="77777777" w:rsidR="005747F1" w:rsidRPr="00485F85" w:rsidRDefault="005747F1" w:rsidP="00AF287E">
            <w:pPr>
              <w:jc w:val="both"/>
              <w:rPr>
                <w:rFonts w:asciiTheme="majorHAnsi" w:hAnsiTheme="majorHAnsi" w:cstheme="majorHAnsi"/>
              </w:rPr>
            </w:pPr>
            <w:r w:rsidRPr="00485F85">
              <w:rPr>
                <w:rFonts w:asciiTheme="majorHAnsi" w:hAnsiTheme="majorHAnsi" w:cstheme="majorHAnsi"/>
              </w:rPr>
              <w:t>- Em OXFORD, a presença de spin-off acadêmicas (ou spinout como são chamadas na Universidade) se dá em diversas áreas do conhecimento. Ela acontece por meio da Oxford University Innovation/Oxford Sciences Innovation. Trata-se de um fundo de £ 600 milhões formado em 2015 para investir em spinouts dos laboratórios da Universidade de Oxford, Harwell e Culham. Ela investe em empresas spinout novas e existentes, trabalhando inclusive com outros investidores</w:t>
            </w:r>
          </w:p>
          <w:p w14:paraId="00E08153" w14:textId="77777777" w:rsidR="005747F1" w:rsidRPr="00485F85" w:rsidRDefault="005747F1" w:rsidP="00AF287E">
            <w:pPr>
              <w:jc w:val="both"/>
              <w:rPr>
                <w:rFonts w:asciiTheme="majorHAnsi" w:hAnsiTheme="majorHAnsi" w:cstheme="majorHAnsi"/>
              </w:rPr>
            </w:pPr>
          </w:p>
          <w:p w14:paraId="3FCDED26" w14:textId="77777777" w:rsidR="005747F1" w:rsidRPr="00485F85" w:rsidRDefault="005747F1" w:rsidP="00AF287E">
            <w:pPr>
              <w:jc w:val="both"/>
              <w:rPr>
                <w:rFonts w:asciiTheme="majorHAnsi" w:hAnsiTheme="majorHAnsi" w:cstheme="majorHAnsi"/>
              </w:rPr>
            </w:pPr>
            <w:r w:rsidRPr="00485F85">
              <w:rPr>
                <w:rFonts w:asciiTheme="majorHAnsi" w:hAnsiTheme="majorHAnsi" w:cstheme="majorHAnsi"/>
              </w:rPr>
              <w:t>- Um exemplo interessante é o do NQIT – Network Quantum Information Technologies. (</w:t>
            </w:r>
            <w:hyperlink r:id="rId95" w:history="1">
              <w:r w:rsidRPr="00485F85">
                <w:rPr>
                  <w:rStyle w:val="Hyperlink"/>
                  <w:rFonts w:asciiTheme="majorHAnsi" w:hAnsiTheme="majorHAnsi" w:cstheme="majorHAnsi"/>
                </w:rPr>
                <w:t>https://nqit.ox.ac.uk/content/spin-out-technologies.html</w:t>
              </w:r>
            </w:hyperlink>
            <w:r w:rsidRPr="00485F85">
              <w:rPr>
                <w:rFonts w:asciiTheme="majorHAnsi" w:hAnsiTheme="majorHAnsi" w:cstheme="majorHAnsi"/>
              </w:rPr>
              <w:t>. Eles desenvolveram o demonstrador de computador quântico Q20: 20 , e ainda fornecem tecnologias derivadas do trabalho, incluindo tecnologias que podem ser úteis para o trabalho de outros Centros de Tecnologia Quântica</w:t>
            </w:r>
          </w:p>
          <w:p w14:paraId="5A0F9F48" w14:textId="77777777" w:rsidR="005747F1" w:rsidRPr="00485F85" w:rsidRDefault="00A515B3" w:rsidP="00AF287E">
            <w:pPr>
              <w:jc w:val="both"/>
              <w:rPr>
                <w:rFonts w:asciiTheme="majorHAnsi" w:hAnsiTheme="majorHAnsi" w:cstheme="majorHAnsi"/>
              </w:rPr>
            </w:pPr>
            <w:hyperlink r:id="rId96" w:history="1">
              <w:r w:rsidR="005747F1" w:rsidRPr="00485F85">
                <w:rPr>
                  <w:rStyle w:val="Hyperlink"/>
                  <w:rFonts w:asciiTheme="majorHAnsi" w:hAnsiTheme="majorHAnsi" w:cstheme="majorHAnsi"/>
                </w:rPr>
                <w:t>https://innovation.ox.ac.uk/wp-content/uploads/2014/04/Spin-out-Researcher-Booklet.pdf</w:t>
              </w:r>
            </w:hyperlink>
            <w:r w:rsidR="005747F1" w:rsidRPr="00485F85">
              <w:rPr>
                <w:rFonts w:asciiTheme="majorHAnsi" w:hAnsiTheme="majorHAnsi" w:cstheme="majorHAnsi"/>
              </w:rPr>
              <w:t xml:space="preserve"> </w:t>
            </w:r>
          </w:p>
          <w:p w14:paraId="245E81E6" w14:textId="1477057C" w:rsidR="005747F1" w:rsidRPr="00485F85" w:rsidRDefault="005747F1" w:rsidP="00AF287E">
            <w:pPr>
              <w:jc w:val="both"/>
              <w:rPr>
                <w:rFonts w:asciiTheme="majorHAnsi" w:hAnsiTheme="majorHAnsi" w:cstheme="majorHAnsi"/>
                <w:bCs/>
              </w:rPr>
            </w:pPr>
          </w:p>
          <w:p w14:paraId="351A2B22" w14:textId="47F57CF6" w:rsidR="005747F1" w:rsidRPr="00485F85" w:rsidRDefault="005747F1" w:rsidP="00AF287E">
            <w:pPr>
              <w:jc w:val="both"/>
              <w:rPr>
                <w:rFonts w:asciiTheme="majorHAnsi" w:hAnsiTheme="majorHAnsi" w:cstheme="majorHAnsi"/>
                <w:bCs/>
              </w:rPr>
            </w:pPr>
          </w:p>
          <w:p w14:paraId="2FC7B964" w14:textId="128107B0"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Políticas de admissão que resultaram em aumento da proporção de alunos admitidos em Oxford vindos do setor estadual do Reino Unido. Em 2020, 68,6% dos alunos de Oxford já são de escolas estaduais do Reino Unido.</w:t>
            </w:r>
          </w:p>
          <w:p w14:paraId="09A0DDED" w14:textId="77777777" w:rsidR="005747F1" w:rsidRPr="00485F85" w:rsidRDefault="005747F1" w:rsidP="00AF287E">
            <w:pPr>
              <w:jc w:val="both"/>
              <w:rPr>
                <w:rFonts w:asciiTheme="majorHAnsi" w:hAnsiTheme="majorHAnsi" w:cstheme="majorHAnsi"/>
                <w:bCs/>
              </w:rPr>
            </w:pPr>
          </w:p>
          <w:p w14:paraId="58AA07E1"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 xml:space="preserve">- De acordo com seu site, a Universidade de Oxford contribui com cerca de £ 5,8 bilhões para a economia do Reino Unido e mantém mais de 50.000 empregos em tempo integral. Globalmente, o impacto é de £ 7,1 bilhões. </w:t>
            </w:r>
            <w:hyperlink r:id="rId97" w:history="1">
              <w:r w:rsidRPr="00485F85">
                <w:rPr>
                  <w:rStyle w:val="Hyperlink"/>
                  <w:rFonts w:asciiTheme="majorHAnsi" w:hAnsiTheme="majorHAnsi" w:cstheme="majorHAnsi"/>
                  <w:bCs/>
                </w:rPr>
                <w:t>https://www.ox.ac.uk/about/facts-and-figures/economic-impact</w:t>
              </w:r>
            </w:hyperlink>
            <w:r w:rsidRPr="00485F85">
              <w:rPr>
                <w:rFonts w:asciiTheme="majorHAnsi" w:hAnsiTheme="majorHAnsi" w:cstheme="majorHAnsi"/>
                <w:bCs/>
              </w:rPr>
              <w:t xml:space="preserve"> </w:t>
            </w:r>
          </w:p>
          <w:p w14:paraId="0DFD2CD7"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 xml:space="preserve"> </w:t>
            </w:r>
          </w:p>
          <w:p w14:paraId="44ADEF60"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 A Universidade é responsável pela circulação do capital em oxfordshire e na própria Inglaterra.</w:t>
            </w:r>
          </w:p>
          <w:p w14:paraId="5FC50359"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•gastos básicos, incluindo gastos com pessoal (contribuindo com £ 2,2 bilhões por ano em todo o país)</w:t>
            </w:r>
          </w:p>
          <w:p w14:paraId="241E667E"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•gastos, trabalho e voluntariado dos alunos (£ 80 milhões)</w:t>
            </w:r>
          </w:p>
          <w:p w14:paraId="3D4EBE99"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•comercialização de pesquisas da Universidade de Oxford (£ 320 milhões)</w:t>
            </w:r>
          </w:p>
          <w:p w14:paraId="10F2D0B9"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•parceria com empresas e indústria, incluindo nossos parques científicos (£ 439 milhões)</w:t>
            </w:r>
          </w:p>
          <w:p w14:paraId="4E3DF437"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•turismo e contribuição cultural (£ 58 milhões)</w:t>
            </w:r>
          </w:p>
          <w:p w14:paraId="39CEC5DC"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•Oxford University Press (£ 383 milhões)</w:t>
            </w:r>
          </w:p>
          <w:p w14:paraId="4C8967A1"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•ganhos adicionais de graduação (£ 432 milhões)</w:t>
            </w:r>
          </w:p>
          <w:p w14:paraId="4E597C1B"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•contribuição para a saúde (£ 1,8 bilhão)</w:t>
            </w:r>
          </w:p>
          <w:p w14:paraId="59FAF1DF"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 xml:space="preserve">No geral, o relatório descobiu que cada £ 1 da renda da Universidade retorna £ 3,30 para a economia da Inglaterra em geral. Acesse o relatório: </w:t>
            </w:r>
            <w:hyperlink r:id="rId98" w:history="1">
              <w:r w:rsidRPr="00485F85">
                <w:rPr>
                  <w:rStyle w:val="Hyperlink"/>
                  <w:rFonts w:asciiTheme="majorHAnsi" w:hAnsiTheme="majorHAnsi" w:cstheme="majorHAnsi"/>
                  <w:bCs/>
                </w:rPr>
                <w:t>https://www.ox.ac.uk/sites/files/oxford/8%20Economic%20Impact%20Commercialisation.pdf</w:t>
              </w:r>
            </w:hyperlink>
            <w:r w:rsidRPr="00485F85">
              <w:rPr>
                <w:rFonts w:asciiTheme="majorHAnsi" w:hAnsiTheme="majorHAnsi" w:cstheme="majorHAnsi"/>
                <w:bCs/>
              </w:rPr>
              <w:t xml:space="preserve"> </w:t>
            </w:r>
          </w:p>
          <w:p w14:paraId="0B1DDE98" w14:textId="2D75D2B4" w:rsidR="005747F1" w:rsidRPr="00485F85" w:rsidRDefault="005747F1" w:rsidP="00AF287E">
            <w:pPr>
              <w:jc w:val="both"/>
              <w:rPr>
                <w:rFonts w:asciiTheme="majorHAnsi" w:hAnsiTheme="majorHAnsi" w:cstheme="majorHAnsi"/>
                <w:bCs/>
              </w:rPr>
            </w:pPr>
          </w:p>
          <w:p w14:paraId="1C211D3B" w14:textId="77777777" w:rsidR="005747F1" w:rsidRPr="00485F85" w:rsidRDefault="005747F1" w:rsidP="00AF287E">
            <w:pPr>
              <w:jc w:val="both"/>
              <w:rPr>
                <w:rFonts w:asciiTheme="majorHAnsi" w:hAnsiTheme="majorHAnsi" w:cstheme="majorHAnsi"/>
                <w:bCs/>
              </w:rPr>
            </w:pPr>
          </w:p>
          <w:p w14:paraId="13F113E3" w14:textId="77777777" w:rsidR="005747F1" w:rsidRPr="00485F85" w:rsidRDefault="005747F1" w:rsidP="00AF287E">
            <w:pPr>
              <w:jc w:val="both"/>
              <w:rPr>
                <w:rFonts w:asciiTheme="majorHAnsi" w:hAnsiTheme="majorHAnsi" w:cstheme="majorHAnsi"/>
                <w:bCs/>
              </w:rPr>
            </w:pPr>
            <w:r w:rsidRPr="00485F85">
              <w:rPr>
                <w:rFonts w:asciiTheme="majorHAnsi" w:hAnsiTheme="majorHAnsi" w:cstheme="majorHAnsi"/>
                <w:bCs/>
              </w:rPr>
              <w:t xml:space="preserve">- Depoimentos da Vice-Chancellor e da Pró-Vice-Chancellor da instituição foram usadas na página da internet com foco na comunidade para mostrar uma aproximação com a comunidade relatando os benefícios da Universidade para a comunidade e indicando a necessidade de um diálogo aproximado. O material pode ser conferido em </w:t>
            </w:r>
            <w:hyperlink r:id="rId99" w:history="1">
              <w:r w:rsidRPr="00485F85">
                <w:rPr>
                  <w:rStyle w:val="Hyperlink"/>
                  <w:rFonts w:asciiTheme="majorHAnsi" w:hAnsiTheme="majorHAnsi" w:cstheme="majorHAnsi"/>
                  <w:bCs/>
                </w:rPr>
                <w:t>https://www.ox.ac.uk/local-community/engagement/introduction</w:t>
              </w:r>
            </w:hyperlink>
            <w:r w:rsidRPr="00485F85">
              <w:rPr>
                <w:rFonts w:asciiTheme="majorHAnsi" w:hAnsiTheme="majorHAnsi" w:cstheme="majorHAnsi"/>
                <w:bCs/>
              </w:rPr>
              <w:t xml:space="preserve"> </w:t>
            </w:r>
          </w:p>
          <w:p w14:paraId="0E903E37" w14:textId="77777777" w:rsidR="005747F1" w:rsidRPr="00485F85" w:rsidRDefault="005747F1" w:rsidP="00AF287E">
            <w:pPr>
              <w:tabs>
                <w:tab w:val="clear" w:pos="1615"/>
              </w:tabs>
              <w:spacing w:after="160" w:line="259" w:lineRule="auto"/>
              <w:rPr>
                <w:rFonts w:asciiTheme="majorHAnsi" w:hAnsiTheme="majorHAnsi" w:cstheme="majorHAnsi"/>
                <w:b/>
                <w:bCs/>
              </w:rPr>
            </w:pPr>
          </w:p>
        </w:tc>
      </w:tr>
    </w:tbl>
    <w:p w14:paraId="53957392" w14:textId="77777777" w:rsidR="00904F9B" w:rsidRPr="00485F85" w:rsidRDefault="00904F9B" w:rsidP="00904F9B">
      <w:pPr>
        <w:tabs>
          <w:tab w:val="clear" w:pos="1615"/>
        </w:tabs>
        <w:spacing w:line="259" w:lineRule="auto"/>
        <w:rPr>
          <w:rFonts w:asciiTheme="majorHAnsi" w:hAnsiTheme="majorHAnsi" w:cstheme="majorHAnsi"/>
          <w:b/>
          <w:bCs/>
        </w:rPr>
      </w:pPr>
      <w:r w:rsidRPr="00485F85">
        <w:rPr>
          <w:rFonts w:asciiTheme="majorHAnsi" w:hAnsiTheme="majorHAnsi" w:cstheme="majorHAnsi"/>
          <w:b/>
          <w:bCs/>
        </w:rPr>
        <w:lastRenderedPageBreak/>
        <w:t>Fonte: Autora</w:t>
      </w:r>
    </w:p>
    <w:p w14:paraId="0109D812" w14:textId="77777777" w:rsidR="008A2F73" w:rsidRPr="00485F85" w:rsidRDefault="008A2F73" w:rsidP="008A2F73">
      <w:pPr>
        <w:tabs>
          <w:tab w:val="clear" w:pos="1615"/>
        </w:tabs>
        <w:spacing w:line="259" w:lineRule="auto"/>
        <w:rPr>
          <w:rFonts w:asciiTheme="majorHAnsi" w:hAnsiTheme="majorHAnsi" w:cstheme="majorHAnsi"/>
          <w:b/>
          <w:bCs/>
        </w:rPr>
      </w:pPr>
    </w:p>
    <w:p w14:paraId="71B2EBF3" w14:textId="3D6B321B" w:rsidR="008A2F73" w:rsidRPr="00485F85" w:rsidRDefault="008A2F73" w:rsidP="008A2F73">
      <w:pPr>
        <w:tabs>
          <w:tab w:val="clear" w:pos="1615"/>
        </w:tabs>
        <w:spacing w:line="259" w:lineRule="auto"/>
        <w:rPr>
          <w:rFonts w:asciiTheme="majorHAnsi" w:hAnsiTheme="majorHAnsi" w:cstheme="majorHAnsi"/>
          <w:b/>
          <w:bCs/>
        </w:rPr>
      </w:pPr>
    </w:p>
    <w:p w14:paraId="5708A7DC" w14:textId="125D7B92" w:rsidR="0058079B" w:rsidRPr="00485F85" w:rsidRDefault="00A206D5" w:rsidP="00A206D5">
      <w:pPr>
        <w:pStyle w:val="Ttulo3"/>
        <w:ind w:left="1276"/>
        <w:rPr>
          <w:rFonts w:asciiTheme="majorHAnsi" w:hAnsiTheme="majorHAnsi" w:cstheme="majorHAnsi"/>
        </w:rPr>
      </w:pPr>
      <w:bookmarkStart w:id="45" w:name="_Toc82101332"/>
      <w:r w:rsidRPr="00485F85">
        <w:rPr>
          <w:rFonts w:asciiTheme="majorHAnsi" w:hAnsiTheme="majorHAnsi" w:cstheme="majorHAnsi"/>
        </w:rPr>
        <w:lastRenderedPageBreak/>
        <w:t>DIMENSÃO 12 AUTOCONHECIMENTO E USOS NA GESTÃO</w:t>
      </w:r>
      <w:bookmarkEnd w:id="45"/>
    </w:p>
    <w:p w14:paraId="0C8E257C" w14:textId="7A0735D9" w:rsidR="00B11B78" w:rsidRPr="00485F85" w:rsidRDefault="00B11B78" w:rsidP="00AF287E">
      <w:pPr>
        <w:tabs>
          <w:tab w:val="clear" w:pos="1615"/>
        </w:tabs>
        <w:spacing w:line="259" w:lineRule="auto"/>
        <w:rPr>
          <w:rFonts w:asciiTheme="majorHAnsi" w:hAnsiTheme="majorHAnsi" w:cstheme="majorHAnsi"/>
          <w:b/>
          <w:bCs/>
        </w:rPr>
      </w:pPr>
    </w:p>
    <w:p w14:paraId="01A9BF5F" w14:textId="65FD7B2C" w:rsidR="004D21D1" w:rsidRPr="00485F85" w:rsidRDefault="004D21D1" w:rsidP="00AF287E">
      <w:pPr>
        <w:tabs>
          <w:tab w:val="clear" w:pos="1615"/>
        </w:tabs>
        <w:spacing w:line="259" w:lineRule="auto"/>
        <w:rPr>
          <w:rFonts w:asciiTheme="majorHAnsi" w:hAnsiTheme="majorHAnsi" w:cstheme="majorHAnsi"/>
          <w:b/>
          <w:bCs/>
        </w:rPr>
      </w:pPr>
      <w:r w:rsidRPr="00485F85">
        <w:rPr>
          <w:rFonts w:asciiTheme="majorHAnsi" w:hAnsiTheme="majorHAnsi" w:cstheme="majorHAnsi"/>
          <w:b/>
          <w:bCs/>
          <w:noProof/>
          <w:lang w:eastAsia="pt-BR"/>
        </w:rPr>
        <w:drawing>
          <wp:inline distT="0" distB="0" distL="0" distR="0" wp14:anchorId="658920C4" wp14:editId="13EEFD12">
            <wp:extent cx="5811864" cy="3367239"/>
            <wp:effectExtent l="0" t="0" r="0" b="5080"/>
            <wp:docPr id="19" name="Imagem 1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a&#10;&#10;Descrição gerada automa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18838" cy="3371280"/>
                    </a:xfrm>
                    <a:prstGeom prst="rect">
                      <a:avLst/>
                    </a:prstGeom>
                  </pic:spPr>
                </pic:pic>
              </a:graphicData>
            </a:graphic>
          </wp:inline>
        </w:drawing>
      </w:r>
    </w:p>
    <w:p w14:paraId="46C772F8" w14:textId="77777777"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Figura 17 – Boas práticas Dimensão 12. Autoconhecimento e Usos na Gestão</w:t>
      </w:r>
    </w:p>
    <w:p w14:paraId="1FAEF412" w14:textId="6C926DB5" w:rsidR="007B2CA8" w:rsidRPr="00485F85" w:rsidRDefault="007B2CA8" w:rsidP="007B2CA8">
      <w:pPr>
        <w:tabs>
          <w:tab w:val="clear" w:pos="1615"/>
        </w:tabs>
        <w:spacing w:after="0"/>
        <w:rPr>
          <w:rFonts w:asciiTheme="majorHAnsi" w:hAnsiTheme="majorHAnsi" w:cstheme="majorHAnsi"/>
        </w:rPr>
      </w:pPr>
      <w:r w:rsidRPr="00485F85">
        <w:rPr>
          <w:rFonts w:asciiTheme="majorHAnsi" w:hAnsiTheme="majorHAnsi" w:cstheme="majorHAnsi"/>
        </w:rPr>
        <w:t>Fonte: Autora</w:t>
      </w:r>
    </w:p>
    <w:p w14:paraId="22A227D3" w14:textId="6D86DD1F" w:rsidR="004D21D1" w:rsidRPr="00485F85" w:rsidRDefault="004D21D1" w:rsidP="00AF287E">
      <w:pPr>
        <w:tabs>
          <w:tab w:val="clear" w:pos="1615"/>
        </w:tabs>
        <w:spacing w:line="259" w:lineRule="auto"/>
        <w:rPr>
          <w:rFonts w:asciiTheme="majorHAnsi" w:hAnsiTheme="majorHAnsi" w:cstheme="majorHAnsi"/>
          <w:b/>
          <w:bCs/>
        </w:rPr>
      </w:pPr>
    </w:p>
    <w:p w14:paraId="133C7106" w14:textId="278F7005" w:rsidR="003A735A" w:rsidRPr="00485F85" w:rsidRDefault="003A735A" w:rsidP="003A735A">
      <w:pPr>
        <w:pStyle w:val="Legenda"/>
        <w:rPr>
          <w:rFonts w:asciiTheme="majorHAnsi" w:hAnsiTheme="majorHAnsi" w:cstheme="majorHAnsi"/>
        </w:rPr>
      </w:pPr>
      <w:r w:rsidRPr="00485F85">
        <w:rPr>
          <w:rFonts w:asciiTheme="majorHAnsi" w:hAnsiTheme="majorHAnsi" w:cstheme="majorHAnsi"/>
        </w:rPr>
        <w:t xml:space="preserve">Quadro </w:t>
      </w:r>
      <w:r w:rsidR="00E72FE1" w:rsidRPr="00485F85">
        <w:rPr>
          <w:rFonts w:asciiTheme="majorHAnsi" w:hAnsiTheme="majorHAnsi" w:cstheme="majorHAnsi"/>
        </w:rPr>
        <w:t>2</w:t>
      </w:r>
      <w:r w:rsidRPr="00485F85">
        <w:rPr>
          <w:rFonts w:asciiTheme="majorHAnsi" w:hAnsiTheme="majorHAnsi" w:cstheme="majorHAnsi"/>
        </w:rPr>
        <w:t xml:space="preserve">4 – Dimensão </w:t>
      </w:r>
      <w:r w:rsidR="00E72FE1" w:rsidRPr="00485F85">
        <w:rPr>
          <w:rFonts w:asciiTheme="majorHAnsi" w:hAnsiTheme="majorHAnsi" w:cstheme="majorHAnsi"/>
        </w:rPr>
        <w:t>12</w:t>
      </w:r>
      <w:r w:rsidRPr="00485F85">
        <w:rPr>
          <w:rFonts w:asciiTheme="majorHAnsi" w:hAnsiTheme="majorHAnsi" w:cstheme="majorHAnsi"/>
        </w:rPr>
        <w:t xml:space="preserve"> – Boas Práticas para Gestão Inovadora</w:t>
      </w:r>
    </w:p>
    <w:tbl>
      <w:tblPr>
        <w:tblStyle w:val="Tabelacomgrade"/>
        <w:tblW w:w="9923" w:type="dxa"/>
        <w:tblInd w:w="-289" w:type="dxa"/>
        <w:tblLook w:val="04A0" w:firstRow="1" w:lastRow="0" w:firstColumn="1" w:lastColumn="0" w:noHBand="0" w:noVBand="1"/>
      </w:tblPr>
      <w:tblGrid>
        <w:gridCol w:w="9923"/>
      </w:tblGrid>
      <w:tr w:rsidR="005747F1" w:rsidRPr="00485F85" w14:paraId="2D26B311" w14:textId="77777777" w:rsidTr="005747F1">
        <w:tc>
          <w:tcPr>
            <w:tcW w:w="9923" w:type="dxa"/>
            <w:hideMark/>
          </w:tcPr>
          <w:p w14:paraId="4B2A3456" w14:textId="77777777" w:rsidR="005747F1" w:rsidRPr="00485F85" w:rsidRDefault="005747F1" w:rsidP="00AF287E">
            <w:pPr>
              <w:tabs>
                <w:tab w:val="clear" w:pos="1615"/>
              </w:tabs>
              <w:spacing w:after="160" w:line="259" w:lineRule="auto"/>
              <w:rPr>
                <w:rFonts w:asciiTheme="majorHAnsi" w:hAnsiTheme="majorHAnsi" w:cstheme="majorHAnsi"/>
                <w:b/>
                <w:bCs/>
              </w:rPr>
            </w:pPr>
            <w:r w:rsidRPr="00485F85">
              <w:rPr>
                <w:rFonts w:asciiTheme="majorHAnsi" w:hAnsiTheme="majorHAnsi" w:cstheme="majorHAnsi"/>
                <w:b/>
                <w:bCs/>
              </w:rPr>
              <w:t>Boas Práticas para Gestão Inovadora</w:t>
            </w:r>
          </w:p>
        </w:tc>
      </w:tr>
      <w:tr w:rsidR="005747F1" w:rsidRPr="00485F85" w14:paraId="593C9F78" w14:textId="77777777" w:rsidTr="005747F1">
        <w:tc>
          <w:tcPr>
            <w:tcW w:w="9923" w:type="dxa"/>
            <w:hideMark/>
          </w:tcPr>
          <w:p w14:paraId="0DD18D2E" w14:textId="77777777" w:rsidR="005747F1" w:rsidRPr="00485F85" w:rsidRDefault="005747F1" w:rsidP="004D21D1">
            <w:pPr>
              <w:spacing w:after="160"/>
              <w:jc w:val="both"/>
              <w:rPr>
                <w:rFonts w:asciiTheme="majorHAnsi" w:hAnsiTheme="majorHAnsi" w:cstheme="majorHAnsi"/>
              </w:rPr>
            </w:pPr>
            <w:r w:rsidRPr="00485F85">
              <w:rPr>
                <w:rFonts w:asciiTheme="majorHAnsi" w:hAnsiTheme="majorHAnsi" w:cstheme="majorHAnsi"/>
              </w:rPr>
              <w:t>- O indicador educacional da Universidade é fornecido pela HESA para que possa haver comparabilidade e agregação de dados entre as instituições de ensino superior do Reino Unido.</w:t>
            </w:r>
          </w:p>
          <w:p w14:paraId="3B21D5D5" w14:textId="77777777" w:rsidR="005747F1" w:rsidRPr="00485F85" w:rsidRDefault="005747F1" w:rsidP="004D21D1">
            <w:pPr>
              <w:spacing w:after="160"/>
              <w:jc w:val="both"/>
              <w:rPr>
                <w:rFonts w:asciiTheme="majorHAnsi" w:hAnsiTheme="majorHAnsi" w:cstheme="majorHAnsi"/>
              </w:rPr>
            </w:pPr>
            <w:r w:rsidRPr="00485F85">
              <w:rPr>
                <w:rFonts w:asciiTheme="majorHAnsi" w:hAnsiTheme="majorHAnsi" w:cstheme="majorHAnsi"/>
              </w:rPr>
              <w:t>- A universidade possui uma espécie de diário oficial que registra documentos importantes e comunicados oficiais.</w:t>
            </w:r>
          </w:p>
          <w:p w14:paraId="1C152818" w14:textId="77777777" w:rsidR="005747F1" w:rsidRPr="00485F85" w:rsidRDefault="00A515B3" w:rsidP="004D21D1">
            <w:pPr>
              <w:spacing w:after="160"/>
              <w:jc w:val="both"/>
              <w:rPr>
                <w:rFonts w:asciiTheme="majorHAnsi" w:hAnsiTheme="majorHAnsi" w:cstheme="majorHAnsi"/>
              </w:rPr>
            </w:pPr>
            <w:hyperlink r:id="rId101" w:history="1">
              <w:r w:rsidR="005747F1" w:rsidRPr="00485F85">
                <w:rPr>
                  <w:rStyle w:val="Hyperlink"/>
                  <w:rFonts w:asciiTheme="majorHAnsi" w:hAnsiTheme="majorHAnsi" w:cstheme="majorHAnsi"/>
                </w:rPr>
                <w:t>https://gazette.web.ox.ac.uk/register-of-congregation-2020/21</w:t>
              </w:r>
            </w:hyperlink>
            <w:r w:rsidR="005747F1" w:rsidRPr="00485F85">
              <w:rPr>
                <w:rFonts w:asciiTheme="majorHAnsi" w:hAnsiTheme="majorHAnsi" w:cstheme="majorHAnsi"/>
              </w:rPr>
              <w:t xml:space="preserve"> </w:t>
            </w:r>
          </w:p>
          <w:p w14:paraId="72AFE0C8" w14:textId="77777777" w:rsidR="005747F1" w:rsidRPr="00485F85" w:rsidRDefault="005747F1" w:rsidP="004D21D1">
            <w:pPr>
              <w:jc w:val="both"/>
              <w:rPr>
                <w:rFonts w:asciiTheme="majorHAnsi" w:hAnsiTheme="majorHAnsi" w:cstheme="majorHAnsi"/>
              </w:rPr>
            </w:pPr>
            <w:r w:rsidRPr="00485F85">
              <w:rPr>
                <w:rFonts w:asciiTheme="majorHAnsi" w:hAnsiTheme="majorHAnsi" w:cstheme="majorHAnsi"/>
              </w:rPr>
              <w:t>- Site central da Universidade interligado com centenas de subsites com informações e a maioria delas atualizadas.</w:t>
            </w:r>
          </w:p>
          <w:p w14:paraId="604F3E1C" w14:textId="77777777" w:rsidR="005747F1" w:rsidRPr="00485F85" w:rsidRDefault="005747F1" w:rsidP="004D21D1">
            <w:pPr>
              <w:jc w:val="both"/>
              <w:rPr>
                <w:rFonts w:asciiTheme="majorHAnsi" w:hAnsiTheme="majorHAnsi" w:cstheme="majorHAnsi"/>
              </w:rPr>
            </w:pPr>
          </w:p>
          <w:p w14:paraId="5B0E8FE9" w14:textId="77777777" w:rsidR="005747F1" w:rsidRPr="00485F85" w:rsidRDefault="005747F1" w:rsidP="004D21D1">
            <w:pPr>
              <w:jc w:val="both"/>
              <w:rPr>
                <w:rFonts w:asciiTheme="majorHAnsi" w:hAnsiTheme="majorHAnsi" w:cstheme="majorHAnsi"/>
              </w:rPr>
            </w:pPr>
            <w:r w:rsidRPr="00485F85">
              <w:rPr>
                <w:rFonts w:asciiTheme="majorHAnsi" w:hAnsiTheme="majorHAnsi" w:cstheme="majorHAnsi"/>
              </w:rPr>
              <w:t>- Na página de Compliance é possível observar diversas frentes de preocupação da instituição que vão desde a governança de dados, privacidade até tratamento de informações até suborno e fraudes.</w:t>
            </w:r>
          </w:p>
          <w:p w14:paraId="58B3D262" w14:textId="77777777" w:rsidR="005747F1" w:rsidRPr="00485F85" w:rsidRDefault="00A515B3" w:rsidP="004D21D1">
            <w:pPr>
              <w:jc w:val="both"/>
              <w:rPr>
                <w:rFonts w:asciiTheme="majorHAnsi" w:hAnsiTheme="majorHAnsi" w:cstheme="majorHAnsi"/>
              </w:rPr>
            </w:pPr>
            <w:hyperlink r:id="rId102" w:anchor="/" w:history="1">
              <w:r w:rsidR="005747F1" w:rsidRPr="00485F85">
                <w:rPr>
                  <w:rStyle w:val="Hyperlink"/>
                  <w:rFonts w:asciiTheme="majorHAnsi" w:hAnsiTheme="majorHAnsi" w:cstheme="majorHAnsi"/>
                </w:rPr>
                <w:t>https://compliance.admin.ox.ac.uk/#/</w:t>
              </w:r>
            </w:hyperlink>
            <w:r w:rsidR="005747F1" w:rsidRPr="00485F85">
              <w:rPr>
                <w:rFonts w:asciiTheme="majorHAnsi" w:hAnsiTheme="majorHAnsi" w:cstheme="majorHAnsi"/>
              </w:rPr>
              <w:t xml:space="preserve"> </w:t>
            </w:r>
          </w:p>
          <w:p w14:paraId="059AD34B" w14:textId="77777777" w:rsidR="005747F1" w:rsidRPr="00485F85" w:rsidRDefault="005747F1" w:rsidP="004D21D1">
            <w:pPr>
              <w:jc w:val="both"/>
              <w:rPr>
                <w:rFonts w:asciiTheme="majorHAnsi" w:hAnsiTheme="majorHAnsi" w:cstheme="majorHAnsi"/>
              </w:rPr>
            </w:pPr>
          </w:p>
          <w:p w14:paraId="1FA8A7FC" w14:textId="77777777" w:rsidR="005747F1" w:rsidRPr="00485F85" w:rsidRDefault="005747F1" w:rsidP="004D21D1">
            <w:pPr>
              <w:jc w:val="both"/>
              <w:rPr>
                <w:rFonts w:asciiTheme="majorHAnsi" w:hAnsiTheme="majorHAnsi" w:cstheme="majorHAnsi"/>
              </w:rPr>
            </w:pPr>
            <w:r w:rsidRPr="00485F85">
              <w:rPr>
                <w:rFonts w:asciiTheme="majorHAnsi" w:hAnsiTheme="majorHAnsi" w:cstheme="majorHAnsi"/>
              </w:rPr>
              <w:t>- No departamento de Governança e Planejamento é possível encontrar documentado todas as informações sobre a gestão da organização, estatutos, conselhos entre outros.</w:t>
            </w:r>
          </w:p>
          <w:p w14:paraId="244129D1" w14:textId="77777777" w:rsidR="005747F1" w:rsidRPr="00485F85" w:rsidRDefault="00A515B3" w:rsidP="004D21D1">
            <w:pPr>
              <w:jc w:val="both"/>
              <w:rPr>
                <w:rFonts w:asciiTheme="majorHAnsi" w:hAnsiTheme="majorHAnsi" w:cstheme="majorHAnsi"/>
              </w:rPr>
            </w:pPr>
            <w:hyperlink r:id="rId103" w:anchor="/" w:history="1">
              <w:r w:rsidR="005747F1" w:rsidRPr="00485F85">
                <w:rPr>
                  <w:rStyle w:val="Hyperlink"/>
                  <w:rFonts w:asciiTheme="majorHAnsi" w:hAnsiTheme="majorHAnsi" w:cstheme="majorHAnsi"/>
                </w:rPr>
                <w:t>https://governance.admin.ox.ac.uk/governance#/</w:t>
              </w:r>
            </w:hyperlink>
            <w:r w:rsidR="005747F1" w:rsidRPr="00485F85">
              <w:rPr>
                <w:rFonts w:asciiTheme="majorHAnsi" w:hAnsiTheme="majorHAnsi" w:cstheme="majorHAnsi"/>
              </w:rPr>
              <w:t xml:space="preserve"> </w:t>
            </w:r>
          </w:p>
          <w:p w14:paraId="72EE0466" w14:textId="77777777" w:rsidR="005747F1" w:rsidRPr="00485F85" w:rsidRDefault="005747F1" w:rsidP="004D21D1">
            <w:pPr>
              <w:jc w:val="both"/>
              <w:rPr>
                <w:rFonts w:asciiTheme="majorHAnsi" w:hAnsiTheme="majorHAnsi" w:cstheme="majorHAnsi"/>
              </w:rPr>
            </w:pPr>
          </w:p>
          <w:p w14:paraId="302BB637" w14:textId="77777777" w:rsidR="005747F1" w:rsidRPr="00485F85" w:rsidRDefault="005747F1" w:rsidP="004D21D1">
            <w:pPr>
              <w:jc w:val="both"/>
              <w:rPr>
                <w:rFonts w:asciiTheme="majorHAnsi" w:hAnsiTheme="majorHAnsi" w:cstheme="majorHAnsi"/>
              </w:rPr>
            </w:pPr>
            <w:r w:rsidRPr="00485F85">
              <w:rPr>
                <w:rFonts w:asciiTheme="majorHAnsi" w:hAnsiTheme="majorHAnsi" w:cstheme="majorHAnsi"/>
              </w:rPr>
              <w:t xml:space="preserve">-Percebeu-se que o RH da Universidade é muito atuante e a modernização de processos de pessoas são concentradas nesse departamento.  </w:t>
            </w:r>
            <w:hyperlink r:id="rId104" w:anchor="/" w:history="1">
              <w:r w:rsidRPr="00485F85">
                <w:rPr>
                  <w:rStyle w:val="Hyperlink"/>
                  <w:rFonts w:asciiTheme="majorHAnsi" w:hAnsiTheme="majorHAnsi" w:cstheme="majorHAnsi"/>
                </w:rPr>
                <w:t>https://hr.admin.ox.ac.uk/#/</w:t>
              </w:r>
            </w:hyperlink>
            <w:r w:rsidRPr="00485F85">
              <w:rPr>
                <w:rFonts w:asciiTheme="majorHAnsi" w:hAnsiTheme="majorHAnsi" w:cstheme="majorHAnsi"/>
              </w:rPr>
              <w:t xml:space="preserve"> </w:t>
            </w:r>
          </w:p>
          <w:p w14:paraId="05062EC3" w14:textId="7F80DDFF" w:rsidR="005747F1" w:rsidRPr="00485F85" w:rsidRDefault="005747F1" w:rsidP="004D21D1">
            <w:pPr>
              <w:spacing w:after="160"/>
              <w:jc w:val="both"/>
              <w:rPr>
                <w:rFonts w:asciiTheme="majorHAnsi" w:hAnsiTheme="majorHAnsi" w:cstheme="majorHAnsi"/>
                <w:b/>
              </w:rPr>
            </w:pPr>
          </w:p>
        </w:tc>
      </w:tr>
      <w:tr w:rsidR="00904F9B" w:rsidRPr="00485F85" w14:paraId="1C06C044" w14:textId="77777777" w:rsidTr="005747F1">
        <w:tc>
          <w:tcPr>
            <w:tcW w:w="9923" w:type="dxa"/>
          </w:tcPr>
          <w:p w14:paraId="52A4EC36" w14:textId="42E14C6F" w:rsidR="00904F9B" w:rsidRPr="00485F85" w:rsidRDefault="00904F9B" w:rsidP="004D21D1">
            <w:pPr>
              <w:jc w:val="both"/>
              <w:rPr>
                <w:rFonts w:asciiTheme="majorHAnsi" w:hAnsiTheme="majorHAnsi" w:cstheme="majorHAnsi"/>
              </w:rPr>
            </w:pPr>
            <w:r w:rsidRPr="00485F85">
              <w:rPr>
                <w:rFonts w:asciiTheme="majorHAnsi" w:hAnsiTheme="majorHAnsi" w:cstheme="majorHAnsi"/>
              </w:rPr>
              <w:t>Fonte: Autora</w:t>
            </w:r>
          </w:p>
        </w:tc>
      </w:tr>
    </w:tbl>
    <w:p w14:paraId="297CB818" w14:textId="4C7B2674" w:rsidR="008A2F73" w:rsidRPr="00485F85" w:rsidRDefault="00A206D5" w:rsidP="008A2F73">
      <w:pPr>
        <w:pStyle w:val="Ttulo1"/>
        <w:rPr>
          <w:rFonts w:asciiTheme="majorHAnsi" w:hAnsiTheme="majorHAnsi" w:cstheme="majorHAnsi"/>
        </w:rPr>
      </w:pPr>
      <w:bookmarkStart w:id="46" w:name="_Toc82101333"/>
      <w:r w:rsidRPr="00485F85">
        <w:rPr>
          <w:rFonts w:asciiTheme="majorHAnsi" w:hAnsiTheme="majorHAnsi" w:cstheme="majorHAnsi"/>
        </w:rPr>
        <w:lastRenderedPageBreak/>
        <w:t>CONSIDERAÇÕES FINAIS</w:t>
      </w:r>
      <w:bookmarkEnd w:id="46"/>
    </w:p>
    <w:p w14:paraId="30AF49A9" w14:textId="6759A2D7" w:rsidR="008A2F73" w:rsidRPr="00485F85" w:rsidRDefault="008A2F73" w:rsidP="008A2F73">
      <w:pPr>
        <w:rPr>
          <w:rFonts w:asciiTheme="majorHAnsi" w:hAnsiTheme="majorHAnsi" w:cstheme="majorHAnsi"/>
        </w:rPr>
      </w:pPr>
    </w:p>
    <w:p w14:paraId="74C902B8" w14:textId="68DBF7B7" w:rsidR="006D3783" w:rsidRPr="00485F85" w:rsidRDefault="006D3783" w:rsidP="00A206D5">
      <w:pPr>
        <w:spacing w:line="276" w:lineRule="auto"/>
        <w:ind w:firstLine="709"/>
        <w:jc w:val="both"/>
        <w:rPr>
          <w:rFonts w:asciiTheme="majorHAnsi" w:hAnsiTheme="majorHAnsi" w:cstheme="majorHAnsi"/>
        </w:rPr>
      </w:pPr>
      <w:r w:rsidRPr="00485F85">
        <w:rPr>
          <w:rFonts w:asciiTheme="majorHAnsi" w:hAnsiTheme="majorHAnsi" w:cstheme="majorHAnsi"/>
        </w:rPr>
        <w:t xml:space="preserve">O objetivo deste estudo foi </w:t>
      </w:r>
      <w:r w:rsidR="00592332" w:rsidRPr="00485F85">
        <w:rPr>
          <w:rFonts w:asciiTheme="majorHAnsi" w:hAnsiTheme="majorHAnsi" w:cstheme="majorHAnsi"/>
        </w:rPr>
        <w:t>mapear as</w:t>
      </w:r>
      <w:r w:rsidRPr="00485F85">
        <w:rPr>
          <w:rFonts w:asciiTheme="majorHAnsi" w:hAnsiTheme="majorHAnsi" w:cstheme="majorHAnsi"/>
        </w:rPr>
        <w:t xml:space="preserve"> boas práticas de gestão inovadoras a partir da coleta e análise de dados da Universidade de Oxford</w:t>
      </w:r>
      <w:r w:rsidR="00592332" w:rsidRPr="00485F85">
        <w:rPr>
          <w:rFonts w:asciiTheme="majorHAnsi" w:hAnsiTheme="majorHAnsi" w:cstheme="majorHAnsi"/>
        </w:rPr>
        <w:t>,</w:t>
      </w:r>
      <w:r w:rsidRPr="00485F85">
        <w:rPr>
          <w:rFonts w:asciiTheme="majorHAnsi" w:hAnsiTheme="majorHAnsi" w:cstheme="majorHAnsi"/>
        </w:rPr>
        <w:t xml:space="preserve"> na Inglaterra</w:t>
      </w:r>
      <w:r w:rsidR="00592332" w:rsidRPr="00485F85">
        <w:rPr>
          <w:rFonts w:asciiTheme="majorHAnsi" w:hAnsiTheme="majorHAnsi" w:cstheme="majorHAnsi"/>
        </w:rPr>
        <w:t>,</w:t>
      </w:r>
      <w:r w:rsidR="00DA2897" w:rsidRPr="00485F85">
        <w:rPr>
          <w:rFonts w:asciiTheme="majorHAnsi" w:hAnsiTheme="majorHAnsi" w:cstheme="majorHAnsi"/>
        </w:rPr>
        <w:t xml:space="preserve"> utilizando a técnica de Benchmarking (CEBRASPE,2019)</w:t>
      </w:r>
      <w:r w:rsidRPr="00485F85">
        <w:rPr>
          <w:rFonts w:asciiTheme="majorHAnsi" w:hAnsiTheme="majorHAnsi" w:cstheme="majorHAnsi"/>
        </w:rPr>
        <w:t xml:space="preserve">. Este, foi alcançado por meio dos resultados demonstrados. </w:t>
      </w:r>
    </w:p>
    <w:p w14:paraId="4FA9A32C" w14:textId="0E42AE5B" w:rsidR="008A2F73" w:rsidRPr="00485F85" w:rsidRDefault="006D3783" w:rsidP="00A206D5">
      <w:pPr>
        <w:spacing w:line="276" w:lineRule="auto"/>
        <w:ind w:firstLine="709"/>
        <w:jc w:val="both"/>
        <w:rPr>
          <w:rFonts w:asciiTheme="majorHAnsi" w:hAnsiTheme="majorHAnsi" w:cstheme="majorHAnsi"/>
        </w:rPr>
      </w:pPr>
      <w:r w:rsidRPr="00485F85">
        <w:rPr>
          <w:rFonts w:asciiTheme="majorHAnsi" w:hAnsiTheme="majorHAnsi" w:cstheme="majorHAnsi"/>
        </w:rPr>
        <w:t xml:space="preserve">Foram </w:t>
      </w:r>
      <w:r w:rsidR="007B4185" w:rsidRPr="00485F85">
        <w:rPr>
          <w:rFonts w:asciiTheme="majorHAnsi" w:hAnsiTheme="majorHAnsi" w:cstheme="majorHAnsi"/>
        </w:rPr>
        <w:t>encontradas</w:t>
      </w:r>
      <w:r w:rsidRPr="00485F85">
        <w:rPr>
          <w:rFonts w:asciiTheme="majorHAnsi" w:hAnsiTheme="majorHAnsi" w:cstheme="majorHAnsi"/>
        </w:rPr>
        <w:t xml:space="preserve"> </w:t>
      </w:r>
      <w:r w:rsidR="007B4185" w:rsidRPr="00485F85">
        <w:rPr>
          <w:rFonts w:asciiTheme="majorHAnsi" w:hAnsiTheme="majorHAnsi" w:cstheme="majorHAnsi"/>
        </w:rPr>
        <w:t>85</w:t>
      </w:r>
      <w:r w:rsidR="00C2320C" w:rsidRPr="00485F85">
        <w:rPr>
          <w:rFonts w:asciiTheme="majorHAnsi" w:hAnsiTheme="majorHAnsi" w:cstheme="majorHAnsi"/>
        </w:rPr>
        <w:t xml:space="preserve"> </w:t>
      </w:r>
      <w:r w:rsidRPr="00485F85">
        <w:rPr>
          <w:rFonts w:asciiTheme="majorHAnsi" w:hAnsiTheme="majorHAnsi" w:cstheme="majorHAnsi"/>
        </w:rPr>
        <w:t xml:space="preserve">boas práticas ao final da pesquisa nas 12 dimensões analisadas. Pode-se sugerir que o método da aplicação do </w:t>
      </w:r>
      <w:r w:rsidR="00592332" w:rsidRPr="00485F85">
        <w:rPr>
          <w:rFonts w:asciiTheme="majorHAnsi" w:hAnsiTheme="majorHAnsi" w:cstheme="majorHAnsi"/>
        </w:rPr>
        <w:t>B</w:t>
      </w:r>
      <w:r w:rsidRPr="00485F85">
        <w:rPr>
          <w:rFonts w:asciiTheme="majorHAnsi" w:hAnsiTheme="majorHAnsi" w:cstheme="majorHAnsi"/>
        </w:rPr>
        <w:t xml:space="preserve">enchmarking foi efetivo para se chegar ao resultado. </w:t>
      </w:r>
      <w:r w:rsidR="008A2F73" w:rsidRPr="00485F85">
        <w:rPr>
          <w:rFonts w:asciiTheme="majorHAnsi" w:hAnsiTheme="majorHAnsi" w:cstheme="majorHAnsi"/>
        </w:rPr>
        <w:t xml:space="preserve">Contudo a prática deve ser analisada com cuidado. Os resultados de MAVILAVALAPPIL et al. (2021), por exemplo, revelaram que deve haver uma customização dos fatores de sucesso para a excelência empresarial com base na especificidade do setor e do contexto. </w:t>
      </w:r>
    </w:p>
    <w:p w14:paraId="0793F781" w14:textId="2F862B8A" w:rsidR="006D3783" w:rsidRPr="00485F85" w:rsidRDefault="006D3783" w:rsidP="00A206D5">
      <w:pPr>
        <w:spacing w:line="276" w:lineRule="auto"/>
        <w:ind w:firstLine="709"/>
        <w:jc w:val="both"/>
        <w:rPr>
          <w:rFonts w:asciiTheme="majorHAnsi" w:hAnsiTheme="majorHAnsi" w:cstheme="majorHAnsi"/>
        </w:rPr>
      </w:pPr>
      <w:r w:rsidRPr="00485F85">
        <w:rPr>
          <w:rFonts w:asciiTheme="majorHAnsi" w:hAnsiTheme="majorHAnsi" w:cstheme="majorHAnsi"/>
        </w:rPr>
        <w:t xml:space="preserve">Desse modo, o problema de pesquisa sugerido para este trabalho foi solucionado apesar de enfrentar limitações como </w:t>
      </w:r>
      <w:r w:rsidR="000D7231" w:rsidRPr="00485F85">
        <w:rPr>
          <w:rFonts w:asciiTheme="majorHAnsi" w:hAnsiTheme="majorHAnsi" w:cstheme="majorHAnsi"/>
        </w:rPr>
        <w:t xml:space="preserve">ausência de </w:t>
      </w:r>
      <w:r w:rsidRPr="00485F85">
        <w:rPr>
          <w:rFonts w:asciiTheme="majorHAnsi" w:hAnsiTheme="majorHAnsi" w:cstheme="majorHAnsi"/>
        </w:rPr>
        <w:t xml:space="preserve">instrumento de coleta adaptado para o contexto internacional; páginas </w:t>
      </w:r>
      <w:r w:rsidR="000D7231" w:rsidRPr="00485F85">
        <w:rPr>
          <w:rFonts w:asciiTheme="majorHAnsi" w:hAnsiTheme="majorHAnsi" w:cstheme="majorHAnsi"/>
        </w:rPr>
        <w:t>de internet privadas e protegidas por senha ou quantidade excessiva de hiperlinks de navegação</w:t>
      </w:r>
      <w:r w:rsidRPr="00485F85">
        <w:rPr>
          <w:rFonts w:asciiTheme="majorHAnsi" w:hAnsiTheme="majorHAnsi" w:cstheme="majorHAnsi"/>
        </w:rPr>
        <w:t>. A contribuição</w:t>
      </w:r>
      <w:r w:rsidR="000D7231" w:rsidRPr="00485F85">
        <w:rPr>
          <w:rFonts w:asciiTheme="majorHAnsi" w:hAnsiTheme="majorHAnsi" w:cstheme="majorHAnsi"/>
        </w:rPr>
        <w:t xml:space="preserve"> </w:t>
      </w:r>
      <w:r w:rsidRPr="00485F85">
        <w:rPr>
          <w:rFonts w:asciiTheme="majorHAnsi" w:hAnsiTheme="majorHAnsi" w:cstheme="majorHAnsi"/>
        </w:rPr>
        <w:t xml:space="preserve">deste estudo é a oferta </w:t>
      </w:r>
      <w:r w:rsidR="00DA2897" w:rsidRPr="00485F85">
        <w:rPr>
          <w:rFonts w:asciiTheme="majorHAnsi" w:hAnsiTheme="majorHAnsi" w:cstheme="majorHAnsi"/>
        </w:rPr>
        <w:t xml:space="preserve">de </w:t>
      </w:r>
      <w:r w:rsidR="000D7231" w:rsidRPr="00485F85">
        <w:rPr>
          <w:rFonts w:asciiTheme="majorHAnsi" w:hAnsiTheme="majorHAnsi" w:cstheme="majorHAnsi"/>
        </w:rPr>
        <w:t xml:space="preserve">um compilado de boas práticas de gestão inovadoras </w:t>
      </w:r>
      <w:r w:rsidR="00DA2897" w:rsidRPr="00485F85">
        <w:rPr>
          <w:rFonts w:asciiTheme="majorHAnsi" w:hAnsiTheme="majorHAnsi" w:cstheme="majorHAnsi"/>
        </w:rPr>
        <w:t xml:space="preserve">a partir de infográficos </w:t>
      </w:r>
      <w:r w:rsidR="000D7231" w:rsidRPr="00485F85">
        <w:rPr>
          <w:rFonts w:asciiTheme="majorHAnsi" w:hAnsiTheme="majorHAnsi" w:cstheme="majorHAnsi"/>
        </w:rPr>
        <w:t xml:space="preserve">que poderão ser usadas para inspirar os documentos institucionais da Universidade do Distrito Federal. </w:t>
      </w:r>
      <w:r w:rsidRPr="00485F85">
        <w:rPr>
          <w:rFonts w:asciiTheme="majorHAnsi" w:hAnsiTheme="majorHAnsi" w:cstheme="majorHAnsi"/>
        </w:rPr>
        <w:t xml:space="preserve"> </w:t>
      </w:r>
    </w:p>
    <w:p w14:paraId="26134A8D" w14:textId="4D1FCEE6" w:rsidR="006D3783" w:rsidRPr="00485F85" w:rsidRDefault="006D3783" w:rsidP="006D3783">
      <w:pPr>
        <w:spacing w:after="0" w:line="360" w:lineRule="auto"/>
        <w:jc w:val="both"/>
        <w:rPr>
          <w:rFonts w:asciiTheme="majorHAnsi" w:hAnsiTheme="majorHAnsi" w:cstheme="majorHAnsi"/>
        </w:rPr>
      </w:pPr>
    </w:p>
    <w:p w14:paraId="585138ED" w14:textId="77777777" w:rsidR="006D3783" w:rsidRPr="00485F85" w:rsidRDefault="006D3783" w:rsidP="006D3783">
      <w:pPr>
        <w:spacing w:after="0" w:line="360" w:lineRule="auto"/>
        <w:jc w:val="both"/>
        <w:rPr>
          <w:rFonts w:asciiTheme="majorHAnsi" w:hAnsiTheme="majorHAnsi" w:cstheme="majorHAnsi"/>
        </w:rPr>
      </w:pPr>
    </w:p>
    <w:p w14:paraId="39E5B377" w14:textId="77777777" w:rsidR="008A2F73" w:rsidRPr="00485F85" w:rsidRDefault="008A2F73" w:rsidP="008A2F73">
      <w:pPr>
        <w:rPr>
          <w:rFonts w:asciiTheme="majorHAnsi" w:hAnsiTheme="majorHAnsi" w:cstheme="majorHAnsi"/>
        </w:rPr>
      </w:pPr>
    </w:p>
    <w:p w14:paraId="3C22A5F6" w14:textId="77777777" w:rsidR="008A2F73" w:rsidRPr="00485F85" w:rsidRDefault="008A2F73" w:rsidP="008A2F73">
      <w:pPr>
        <w:tabs>
          <w:tab w:val="clear" w:pos="1615"/>
        </w:tabs>
        <w:spacing w:line="259" w:lineRule="auto"/>
        <w:rPr>
          <w:rFonts w:asciiTheme="majorHAnsi" w:hAnsiTheme="majorHAnsi" w:cstheme="majorHAnsi"/>
          <w:b/>
          <w:color w:val="0C4A87" w:themeColor="accent2"/>
          <w:sz w:val="44"/>
          <w:szCs w:val="44"/>
        </w:rPr>
      </w:pPr>
      <w:r w:rsidRPr="00485F85">
        <w:rPr>
          <w:rFonts w:asciiTheme="majorHAnsi" w:hAnsiTheme="majorHAnsi" w:cstheme="majorHAnsi"/>
        </w:rPr>
        <w:br w:type="page"/>
      </w:r>
    </w:p>
    <w:p w14:paraId="10A0A359" w14:textId="77E55458" w:rsidR="009C3997" w:rsidRPr="00485F85" w:rsidRDefault="00A206D5" w:rsidP="009C3997">
      <w:pPr>
        <w:pStyle w:val="Ttulo1"/>
        <w:rPr>
          <w:rFonts w:asciiTheme="majorHAnsi" w:hAnsiTheme="majorHAnsi" w:cstheme="majorHAnsi"/>
        </w:rPr>
      </w:pPr>
      <w:bookmarkStart w:id="47" w:name="_Toc82101334"/>
      <w:r w:rsidRPr="00485F85">
        <w:rPr>
          <w:rFonts w:asciiTheme="majorHAnsi" w:hAnsiTheme="majorHAnsi" w:cstheme="majorHAnsi"/>
        </w:rPr>
        <w:lastRenderedPageBreak/>
        <w:t>REFERÊNCIAS</w:t>
      </w:r>
      <w:bookmarkEnd w:id="47"/>
      <w:r w:rsidRPr="00485F85">
        <w:rPr>
          <w:rFonts w:asciiTheme="majorHAnsi" w:hAnsiTheme="majorHAnsi" w:cstheme="majorHAnsi"/>
        </w:rPr>
        <w:t xml:space="preserve"> </w:t>
      </w:r>
    </w:p>
    <w:p w14:paraId="13A4DFED" w14:textId="372F4E0E" w:rsidR="009C3997" w:rsidRPr="00485F85" w:rsidRDefault="009C3997" w:rsidP="009C3997">
      <w:pPr>
        <w:rPr>
          <w:rFonts w:asciiTheme="majorHAnsi" w:hAnsiTheme="majorHAnsi" w:cstheme="majorHAnsi"/>
        </w:rPr>
      </w:pPr>
    </w:p>
    <w:p w14:paraId="4F4B4A42" w14:textId="0CC7B13F" w:rsidR="009C3997" w:rsidRPr="00485F85" w:rsidRDefault="009C3997" w:rsidP="00A206D5">
      <w:pPr>
        <w:spacing w:line="276" w:lineRule="auto"/>
        <w:jc w:val="both"/>
        <w:rPr>
          <w:rFonts w:asciiTheme="majorHAnsi" w:hAnsiTheme="majorHAnsi" w:cstheme="majorHAnsi"/>
          <w:lang w:val="en-US"/>
        </w:rPr>
      </w:pPr>
      <w:r w:rsidRPr="00485F85">
        <w:rPr>
          <w:rFonts w:asciiTheme="majorHAnsi" w:hAnsiTheme="majorHAnsi" w:cstheme="majorHAnsi"/>
          <w:lang w:val="es-ES"/>
        </w:rPr>
        <w:t xml:space="preserve">HSU, David H. et al. </w:t>
      </w:r>
      <w:r w:rsidRPr="00485F85">
        <w:rPr>
          <w:rFonts w:asciiTheme="majorHAnsi" w:hAnsiTheme="majorHAnsi" w:cstheme="majorHAnsi"/>
          <w:lang w:val="en-US"/>
        </w:rPr>
        <w:t>Benchmarking US university patent value and commercialization efforts: A new approach. Research Policy, v. 50, n. 1, p. 104076, 2021.</w:t>
      </w:r>
    </w:p>
    <w:p w14:paraId="166C9960" w14:textId="77777777" w:rsidR="009C3997" w:rsidRPr="00485F85" w:rsidRDefault="009C3997" w:rsidP="00A206D5">
      <w:pPr>
        <w:spacing w:line="276" w:lineRule="auto"/>
        <w:jc w:val="both"/>
        <w:rPr>
          <w:rFonts w:asciiTheme="majorHAnsi" w:hAnsiTheme="majorHAnsi" w:cstheme="majorHAnsi"/>
          <w:lang w:val="en-US"/>
        </w:rPr>
      </w:pPr>
      <w:r w:rsidRPr="00485F85">
        <w:rPr>
          <w:rFonts w:asciiTheme="majorHAnsi" w:hAnsiTheme="majorHAnsi" w:cstheme="majorHAnsi"/>
          <w:lang w:val="en-US"/>
        </w:rPr>
        <w:t>KNAUS, Marianne June et al. Improving assessment accountability in initial teacher education programs through benchmarking. Benchmarking: An International Journal, 2021.</w:t>
      </w:r>
    </w:p>
    <w:p w14:paraId="5F44B1B8" w14:textId="780F5FE8" w:rsidR="009C3997" w:rsidRPr="00485F85" w:rsidRDefault="009C3997" w:rsidP="00A206D5">
      <w:pPr>
        <w:spacing w:line="276" w:lineRule="auto"/>
        <w:jc w:val="both"/>
        <w:rPr>
          <w:rFonts w:asciiTheme="majorHAnsi" w:hAnsiTheme="majorHAnsi" w:cstheme="majorHAnsi"/>
          <w:lang w:val="en-US"/>
        </w:rPr>
      </w:pPr>
      <w:r w:rsidRPr="00485F85">
        <w:rPr>
          <w:rFonts w:asciiTheme="majorHAnsi" w:hAnsiTheme="majorHAnsi" w:cstheme="majorHAnsi"/>
          <w:lang w:val="en-US"/>
        </w:rPr>
        <w:t>MAVILAVALAPPIL, Unnikrishnan Palakkil; TIKORIA, Jyoti; AGARIYA, Arun Kumar. Benchmarking business excellence practices: a case-based approach. International Journal of Process Management and Benchmarking, v. 11, n. 4, p. 498-541, 2021.</w:t>
      </w:r>
    </w:p>
    <w:p w14:paraId="0EF486BF" w14:textId="77777777" w:rsidR="001C5F76" w:rsidRPr="00485F85" w:rsidRDefault="001C5F76" w:rsidP="00A206D5">
      <w:pPr>
        <w:tabs>
          <w:tab w:val="clear" w:pos="1615"/>
        </w:tabs>
        <w:spacing w:before="240" w:line="276" w:lineRule="auto"/>
        <w:rPr>
          <w:rFonts w:asciiTheme="majorHAnsi" w:hAnsiTheme="majorHAnsi" w:cstheme="majorHAnsi"/>
          <w:color w:val="222222"/>
          <w:shd w:val="clear" w:color="auto" w:fill="FFFFFF"/>
        </w:rPr>
      </w:pPr>
      <w:r w:rsidRPr="00485F85">
        <w:rPr>
          <w:rFonts w:asciiTheme="majorHAnsi" w:hAnsiTheme="majorHAnsi" w:cstheme="majorHAnsi"/>
          <w:color w:val="222222"/>
          <w:shd w:val="clear" w:color="auto" w:fill="FFFFFF"/>
        </w:rPr>
        <w:t>PEDROSI FILHO, Gelso; DE MATOS COELHO, Arnaldo Fernandes. Spin-off acadêmico como mecanismo de transferência de tecnologia da universidade para a empresa. </w:t>
      </w:r>
      <w:r w:rsidRPr="00485F85">
        <w:rPr>
          <w:rFonts w:asciiTheme="majorHAnsi" w:hAnsiTheme="majorHAnsi" w:cstheme="majorHAnsi"/>
          <w:b/>
          <w:bCs/>
          <w:color w:val="222222"/>
          <w:shd w:val="clear" w:color="auto" w:fill="FFFFFF"/>
        </w:rPr>
        <w:t>REVISTA GEINTEC-GESTAO INOVACAO E TECNOLOGIAS</w:t>
      </w:r>
      <w:r w:rsidRPr="00485F85">
        <w:rPr>
          <w:rFonts w:asciiTheme="majorHAnsi" w:hAnsiTheme="majorHAnsi" w:cstheme="majorHAnsi"/>
          <w:color w:val="222222"/>
          <w:shd w:val="clear" w:color="auto" w:fill="FFFFFF"/>
        </w:rPr>
        <w:t>, v. 3, n. 5, p. 383-399, 2013.</w:t>
      </w:r>
    </w:p>
    <w:p w14:paraId="00DF3B59" w14:textId="77777777" w:rsidR="001C5F76" w:rsidRPr="00485F85" w:rsidRDefault="001C5F76" w:rsidP="009C3997">
      <w:pPr>
        <w:jc w:val="both"/>
        <w:rPr>
          <w:rFonts w:asciiTheme="majorHAnsi" w:hAnsiTheme="majorHAnsi" w:cstheme="majorHAnsi"/>
        </w:rPr>
      </w:pPr>
    </w:p>
    <w:p w14:paraId="1A3D8992" w14:textId="6962C25F" w:rsidR="009C3997" w:rsidRPr="00485F85" w:rsidRDefault="009C3997" w:rsidP="009C3997">
      <w:pPr>
        <w:tabs>
          <w:tab w:val="clear" w:pos="1615"/>
        </w:tabs>
        <w:spacing w:line="259" w:lineRule="auto"/>
        <w:jc w:val="both"/>
        <w:rPr>
          <w:rFonts w:asciiTheme="majorHAnsi" w:hAnsiTheme="majorHAnsi" w:cstheme="majorHAnsi"/>
          <w:b/>
          <w:color w:val="0C4A87" w:themeColor="accent2"/>
          <w:sz w:val="44"/>
          <w:szCs w:val="44"/>
        </w:rPr>
      </w:pPr>
    </w:p>
    <w:p w14:paraId="43FCEB8A" w14:textId="77777777" w:rsidR="009C3997" w:rsidRPr="00485F85" w:rsidRDefault="009C3997">
      <w:pPr>
        <w:tabs>
          <w:tab w:val="clear" w:pos="1615"/>
        </w:tabs>
        <w:spacing w:line="259" w:lineRule="auto"/>
        <w:rPr>
          <w:rFonts w:asciiTheme="majorHAnsi" w:hAnsiTheme="majorHAnsi" w:cstheme="majorHAnsi"/>
          <w:b/>
          <w:color w:val="0C4A87" w:themeColor="accent2"/>
          <w:sz w:val="44"/>
          <w:szCs w:val="44"/>
        </w:rPr>
      </w:pPr>
      <w:r w:rsidRPr="00485F85">
        <w:rPr>
          <w:rFonts w:asciiTheme="majorHAnsi" w:hAnsiTheme="majorHAnsi" w:cstheme="majorHAnsi"/>
        </w:rPr>
        <w:br w:type="page"/>
      </w:r>
    </w:p>
    <w:p w14:paraId="1A589CDE" w14:textId="777CB945" w:rsidR="009C3997" w:rsidRPr="00485F85" w:rsidRDefault="00C71F33" w:rsidP="009C3997">
      <w:pPr>
        <w:pStyle w:val="Ttulo1"/>
        <w:rPr>
          <w:rFonts w:asciiTheme="majorHAnsi" w:hAnsiTheme="majorHAnsi" w:cstheme="majorHAnsi"/>
        </w:rPr>
      </w:pPr>
      <w:bookmarkStart w:id="48" w:name="_Toc82101335"/>
      <w:r w:rsidRPr="00485F85">
        <w:rPr>
          <w:rFonts w:asciiTheme="majorHAnsi" w:hAnsiTheme="majorHAnsi" w:cstheme="majorHAnsi"/>
        </w:rPr>
        <w:lastRenderedPageBreak/>
        <w:t>APÊNDICES</w:t>
      </w:r>
      <w:bookmarkEnd w:id="48"/>
    </w:p>
    <w:p w14:paraId="2CD24973" w14:textId="77777777" w:rsidR="009C3997" w:rsidRPr="00485F85" w:rsidRDefault="009C3997" w:rsidP="009C3997">
      <w:pPr>
        <w:rPr>
          <w:rFonts w:asciiTheme="majorHAnsi" w:hAnsiTheme="majorHAnsi" w:cstheme="majorHAnsi"/>
        </w:rPr>
      </w:pPr>
    </w:p>
    <w:p w14:paraId="3DC86E01" w14:textId="77777777" w:rsidR="001C5F76" w:rsidRPr="00485F85" w:rsidRDefault="001C5F76" w:rsidP="001C5F76">
      <w:pPr>
        <w:tabs>
          <w:tab w:val="clear" w:pos="1615"/>
        </w:tabs>
        <w:spacing w:after="0" w:line="360" w:lineRule="auto"/>
        <w:jc w:val="both"/>
        <w:rPr>
          <w:rFonts w:asciiTheme="majorHAnsi" w:eastAsiaTheme="minorEastAsia" w:hAnsiTheme="majorHAnsi" w:cstheme="majorHAnsi"/>
          <w:b/>
          <w:sz w:val="30"/>
          <w:szCs w:val="30"/>
          <w:u w:val="single"/>
        </w:rPr>
      </w:pPr>
      <w:r w:rsidRPr="00485F85">
        <w:rPr>
          <w:rFonts w:asciiTheme="majorHAnsi" w:eastAsiaTheme="minorEastAsia" w:hAnsiTheme="majorHAnsi" w:cstheme="majorHAnsi"/>
          <w:b/>
          <w:sz w:val="30"/>
          <w:szCs w:val="30"/>
          <w:u w:val="single"/>
        </w:rPr>
        <w:t>Parte 1. Dados Gerais  da IES e Município de localização</w:t>
      </w:r>
    </w:p>
    <w:p w14:paraId="4D30FC02" w14:textId="77777777" w:rsidR="001C5F76" w:rsidRPr="00485F85" w:rsidRDefault="001C5F76" w:rsidP="001C5F76">
      <w:pPr>
        <w:jc w:val="both"/>
        <w:rPr>
          <w:rFonts w:asciiTheme="majorHAnsi" w:hAnsiTheme="majorHAnsi" w:cstheme="majorHAnsi"/>
        </w:rPr>
      </w:pPr>
      <w:r w:rsidRPr="00485F85">
        <w:rPr>
          <w:rFonts w:asciiTheme="majorHAnsi" w:hAnsiTheme="majorHAnsi" w:cstheme="majorHAnsi"/>
        </w:rPr>
        <w:t>Quadro 1. Dados Principais da IES</w:t>
      </w:r>
    </w:p>
    <w:tbl>
      <w:tblPr>
        <w:tblStyle w:val="TabeladeLista6Colorida-nfase3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662"/>
      </w:tblGrid>
      <w:tr w:rsidR="00A206D5" w:rsidRPr="00A206D5" w14:paraId="6C142759" w14:textId="77777777" w:rsidTr="00A20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4875BD" w:themeFill="accent1"/>
          </w:tcPr>
          <w:p w14:paraId="6B40C093" w14:textId="77777777" w:rsidR="001C5F76" w:rsidRPr="00A206D5" w:rsidRDefault="001C5F76" w:rsidP="00A206D5">
            <w:pPr>
              <w:spacing w:line="360" w:lineRule="auto"/>
              <w:jc w:val="both"/>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Nome e Sigla da IES</w:t>
            </w:r>
          </w:p>
        </w:tc>
        <w:tc>
          <w:tcPr>
            <w:tcW w:w="6662" w:type="dxa"/>
            <w:shd w:val="clear" w:color="auto" w:fill="4875BD" w:themeFill="accent1"/>
          </w:tcPr>
          <w:p w14:paraId="2E28BE2A" w14:textId="77777777" w:rsidR="001C5F76" w:rsidRPr="00A206D5" w:rsidRDefault="001C5F76" w:rsidP="00A206D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Oxford University</w:t>
            </w:r>
          </w:p>
        </w:tc>
      </w:tr>
      <w:tr w:rsidR="001C5F76" w:rsidRPr="00485F85" w14:paraId="2BA31542"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C367638"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Código e-MEC da mantida</w:t>
            </w:r>
          </w:p>
        </w:tc>
        <w:tc>
          <w:tcPr>
            <w:tcW w:w="6662" w:type="dxa"/>
          </w:tcPr>
          <w:p w14:paraId="306229F9"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p w14:paraId="40F0F0F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The OfS Register – O registro lista todos os provedores de ensino superior ingleses oficialmente registrados pelo OfS. É uma referência única e autorizada sobre o status regulatório de um provedor. Ao todo são 420 provedores registrados.</w:t>
            </w:r>
          </w:p>
          <w:p w14:paraId="76587CA8"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BB325D4"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xml:space="preserve">Oxford está registrada com o número 10007774 no Office for Students and Research England. Um documento completo pode ser acessado aqui: </w:t>
            </w:r>
          </w:p>
          <w:p w14:paraId="62BF05F6" w14:textId="77777777" w:rsidR="001C5F76" w:rsidRPr="00485F85" w:rsidRDefault="00A515B3"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hyperlink r:id="rId105" w:history="1">
              <w:r w:rsidR="001C5F76" w:rsidRPr="00485F85">
                <w:rPr>
                  <w:rFonts w:asciiTheme="majorHAnsi" w:hAnsiTheme="majorHAnsi" w:cstheme="majorHAnsi"/>
                  <w:color w:val="4875BD" w:themeColor="accent1"/>
                  <w:sz w:val="20"/>
                  <w:szCs w:val="20"/>
                  <w:u w:val="single"/>
                </w:rPr>
                <w:t>https://apis.officeforstudents.org.uk/OfsRegisterDownload/api/Register/</w:t>
              </w:r>
            </w:hyperlink>
          </w:p>
          <w:p w14:paraId="5554A74D"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C5F76" w:rsidRPr="00485F85" w14:paraId="2501F71A" w14:textId="77777777" w:rsidTr="00A206D5">
        <w:tc>
          <w:tcPr>
            <w:cnfStyle w:val="001000000000" w:firstRow="0" w:lastRow="0" w:firstColumn="1" w:lastColumn="0" w:oddVBand="0" w:evenVBand="0" w:oddHBand="0" w:evenHBand="0" w:firstRowFirstColumn="0" w:firstRowLastColumn="0" w:lastRowFirstColumn="0" w:lastRowLastColumn="0"/>
            <w:tcW w:w="3369" w:type="dxa"/>
          </w:tcPr>
          <w:p w14:paraId="2A73481D"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Mantenedora</w:t>
            </w:r>
          </w:p>
        </w:tc>
        <w:tc>
          <w:tcPr>
            <w:tcW w:w="6662" w:type="dxa"/>
          </w:tcPr>
          <w:p w14:paraId="23A250C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tc>
      </w:tr>
      <w:tr w:rsidR="001C5F76" w:rsidRPr="00485F85" w14:paraId="35D107D8"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771703E"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Código e-MEC da mantenedora</w:t>
            </w:r>
          </w:p>
        </w:tc>
        <w:tc>
          <w:tcPr>
            <w:tcW w:w="6662" w:type="dxa"/>
          </w:tcPr>
          <w:p w14:paraId="35EBE586"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tc>
      </w:tr>
      <w:tr w:rsidR="001C5F76" w:rsidRPr="00485F85" w14:paraId="684EC11F" w14:textId="77777777" w:rsidTr="00A206D5">
        <w:tc>
          <w:tcPr>
            <w:cnfStyle w:val="001000000000" w:firstRow="0" w:lastRow="0" w:firstColumn="1" w:lastColumn="0" w:oddVBand="0" w:evenVBand="0" w:oddHBand="0" w:evenHBand="0" w:firstRowFirstColumn="0" w:firstRowLastColumn="0" w:lastRowFirstColumn="0" w:lastRowLastColumn="0"/>
            <w:tcW w:w="3369" w:type="dxa"/>
          </w:tcPr>
          <w:p w14:paraId="2F26ABDB"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Ano de criação</w:t>
            </w:r>
          </w:p>
        </w:tc>
        <w:tc>
          <w:tcPr>
            <w:tcW w:w="6662" w:type="dxa"/>
          </w:tcPr>
          <w:p w14:paraId="799BC7D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1096 (não se tem uma data de fundação exata)</w:t>
            </w:r>
          </w:p>
        </w:tc>
      </w:tr>
      <w:tr w:rsidR="001C5F76" w:rsidRPr="00485F85" w14:paraId="00692E57" w14:textId="77777777" w:rsidTr="00A206D5">
        <w:trPr>
          <w:cnfStyle w:val="000000100000" w:firstRow="0" w:lastRow="0" w:firstColumn="0" w:lastColumn="0" w:oddVBand="0" w:evenVBand="0" w:oddHBand="1" w:evenHBand="0" w:firstRowFirstColumn="0" w:firstRowLastColumn="0" w:lastRowFirstColumn="0" w:lastRowLastColumn="0"/>
          <w:trHeight w:val="6278"/>
        </w:trPr>
        <w:tc>
          <w:tcPr>
            <w:cnfStyle w:val="001000000000" w:firstRow="0" w:lastRow="0" w:firstColumn="1" w:lastColumn="0" w:oddVBand="0" w:evenVBand="0" w:oddHBand="0" w:evenHBand="0" w:firstRowFirstColumn="0" w:firstRowLastColumn="0" w:lastRowFirstColumn="0" w:lastRowLastColumn="0"/>
            <w:tcW w:w="3369" w:type="dxa"/>
          </w:tcPr>
          <w:p w14:paraId="3053B4AE"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Ato Regulatório</w:t>
            </w:r>
          </w:p>
        </w:tc>
        <w:tc>
          <w:tcPr>
            <w:tcW w:w="6662" w:type="dxa"/>
          </w:tcPr>
          <w:p w14:paraId="164738B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556FB6D"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xml:space="preserve">O seu Estatuto jurídico diz a que Universidade de Oxford é uma corporação leiga estabelecida pela lei consuetudinária por costume ou prescrição e mais tarde formalmente incorporada por estatuto. Não tem fundador nem carta patente. A história inicial da Universidade mostra que ela evoluiu de um grupo de mestres e alunos residentes em Oxford na última parte do século XII. A sociedade acadêmica que eles trouxeram coletivamente à vida tinha associações semelhantes em outros centros de aprendizagem na Europa, notadamente Bolonha e Paris. O termo originalmente usado em toda a Europa para descrever tal sociedade era </w:t>
            </w:r>
            <w:r w:rsidRPr="00485F85">
              <w:rPr>
                <w:rFonts w:asciiTheme="majorHAnsi" w:hAnsiTheme="majorHAnsi" w:cstheme="majorHAnsi"/>
                <w:i/>
                <w:iCs/>
                <w:sz w:val="20"/>
                <w:szCs w:val="20"/>
              </w:rPr>
              <w:t>studium generale</w:t>
            </w:r>
            <w:r w:rsidRPr="00485F85">
              <w:rPr>
                <w:rFonts w:asciiTheme="majorHAnsi" w:hAnsiTheme="majorHAnsi" w:cstheme="majorHAnsi"/>
                <w:sz w:val="20"/>
                <w:szCs w:val="20"/>
              </w:rPr>
              <w:t xml:space="preserve"> . O objetivo do </w:t>
            </w:r>
            <w:r w:rsidRPr="00485F85">
              <w:rPr>
                <w:rFonts w:asciiTheme="majorHAnsi" w:hAnsiTheme="majorHAnsi" w:cstheme="majorHAnsi"/>
                <w:i/>
                <w:iCs/>
                <w:sz w:val="20"/>
                <w:szCs w:val="20"/>
              </w:rPr>
              <w:t>studia generalia</w:t>
            </w:r>
            <w:r w:rsidRPr="00485F85">
              <w:rPr>
                <w:rFonts w:asciiTheme="majorHAnsi" w:hAnsiTheme="majorHAnsi" w:cstheme="majorHAnsi"/>
                <w:sz w:val="20"/>
                <w:szCs w:val="20"/>
              </w:rPr>
              <w:t xml:space="preserve"> era fornecer instrução nas sete artes liberais - gramática, lógica e retórica (</w:t>
            </w:r>
            <w:r w:rsidRPr="00485F85">
              <w:rPr>
                <w:rFonts w:asciiTheme="majorHAnsi" w:hAnsiTheme="majorHAnsi" w:cstheme="majorHAnsi"/>
                <w:i/>
                <w:iCs/>
                <w:sz w:val="20"/>
                <w:szCs w:val="20"/>
              </w:rPr>
              <w:t>o trivium</w:t>
            </w:r>
            <w:r w:rsidRPr="00485F85">
              <w:rPr>
                <w:rFonts w:asciiTheme="majorHAnsi" w:hAnsiTheme="majorHAnsi" w:cstheme="majorHAnsi"/>
                <w:sz w:val="20"/>
                <w:szCs w:val="20"/>
              </w:rPr>
              <w:t>) e aritmética, geometria, astronomia e música (</w:t>
            </w:r>
            <w:r w:rsidRPr="00485F85">
              <w:rPr>
                <w:rFonts w:asciiTheme="majorHAnsi" w:hAnsiTheme="majorHAnsi" w:cstheme="majorHAnsi"/>
                <w:i/>
                <w:iCs/>
                <w:sz w:val="20"/>
                <w:szCs w:val="20"/>
              </w:rPr>
              <w:t>o quadrivium</w:t>
            </w:r>
            <w:r w:rsidRPr="00485F85">
              <w:rPr>
                <w:rFonts w:asciiTheme="majorHAnsi" w:hAnsiTheme="majorHAnsi" w:cstheme="majorHAnsi"/>
                <w:sz w:val="20"/>
                <w:szCs w:val="20"/>
              </w:rPr>
              <w:t xml:space="preserve"> ). Os graduados em artes podem embarcar em um curso superior de estudos conducente a diplomas em direito, medicina ou teologia.</w:t>
            </w:r>
          </w:p>
          <w:p w14:paraId="34F85A9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6B926F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xml:space="preserve">O estabelecimento das Universidades de Oxford e Cambridge pode ser contrastado com a fundação de seus Colleges. Todas os Colleges são fundados por carta. Com exceção das fundações mais modernas, são corporações </w:t>
            </w:r>
            <w:r w:rsidRPr="00485F85">
              <w:rPr>
                <w:rFonts w:asciiTheme="majorHAnsi" w:hAnsiTheme="majorHAnsi" w:cstheme="majorHAnsi"/>
                <w:sz w:val="20"/>
                <w:szCs w:val="20"/>
              </w:rPr>
              <w:lastRenderedPageBreak/>
              <w:t>eleemosynary, ou seja, foram constituídas e dotadas para a distribuição perpétua da generosidade do fundador e frequentemente eram encarregadas de rezar missas ou orações pelo fundador e seus ou seus parentes.</w:t>
            </w:r>
          </w:p>
          <w:p w14:paraId="78184A6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6EA997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485F85">
              <w:rPr>
                <w:rFonts w:asciiTheme="majorHAnsi" w:hAnsiTheme="majorHAnsi" w:cstheme="majorHAnsi"/>
                <w:i/>
                <w:iCs/>
                <w:sz w:val="20"/>
                <w:szCs w:val="20"/>
              </w:rPr>
              <w:t xml:space="preserve">Fonte: </w:t>
            </w:r>
            <w:hyperlink r:id="rId106" w:anchor="collapse1380371" w:history="1">
              <w:r w:rsidRPr="00485F85">
                <w:rPr>
                  <w:rFonts w:asciiTheme="majorHAnsi" w:hAnsiTheme="majorHAnsi" w:cstheme="majorHAnsi"/>
                  <w:i/>
                  <w:iCs/>
                  <w:color w:val="4875BD" w:themeColor="accent1"/>
                  <w:sz w:val="20"/>
                  <w:szCs w:val="20"/>
                  <w:u w:val="single"/>
                </w:rPr>
                <w:t>https://governance.admin.ox.ac.uk/legislation/preface-constitution-and-statute-making-powers-of-the-university#collapse1380371</w:t>
              </w:r>
            </w:hyperlink>
            <w:r w:rsidRPr="00485F85">
              <w:rPr>
                <w:rFonts w:asciiTheme="majorHAnsi" w:hAnsiTheme="majorHAnsi" w:cstheme="majorHAnsi"/>
                <w:i/>
                <w:iCs/>
                <w:sz w:val="20"/>
                <w:szCs w:val="20"/>
              </w:rPr>
              <w:t xml:space="preserve"> </w:t>
            </w:r>
          </w:p>
          <w:p w14:paraId="010D906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highlight w:val="yellow"/>
              </w:rPr>
            </w:pPr>
          </w:p>
        </w:tc>
      </w:tr>
      <w:tr w:rsidR="001C5F76" w:rsidRPr="00485F85" w14:paraId="37E86319" w14:textId="77777777" w:rsidTr="00A206D5">
        <w:tc>
          <w:tcPr>
            <w:cnfStyle w:val="001000000000" w:firstRow="0" w:lastRow="0" w:firstColumn="1" w:lastColumn="0" w:oddVBand="0" w:evenVBand="0" w:oddHBand="0" w:evenHBand="0" w:firstRowFirstColumn="0" w:firstRowLastColumn="0" w:lastRowFirstColumn="0" w:lastRowLastColumn="0"/>
            <w:tcW w:w="3369" w:type="dxa"/>
          </w:tcPr>
          <w:p w14:paraId="5E236332"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lastRenderedPageBreak/>
              <w:t>Categoria Administrativa</w:t>
            </w:r>
          </w:p>
        </w:tc>
        <w:tc>
          <w:tcPr>
            <w:tcW w:w="6662" w:type="dxa"/>
          </w:tcPr>
          <w:p w14:paraId="0EA16538"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A Universidade de Oxford é uma empresa civil estabelecida sob a lei comum, que foi formalmente incorporada pelo Ato de Incorporação das Universidades de Oxford e Cambridge 1571 sob o nome de 'The Chancellor Masters and Scholars da University of Oxford'. A Universidade de Oxford é uma instituição de caridade isenta de acordo com a Lei de Caridade de 2011.</w:t>
            </w:r>
          </w:p>
          <w:p w14:paraId="60B4E09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61828F8"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Pode ser considerada Pública por receber verbas do Governo do Reino Unido. Porém como também possui outras fontes de arrecadação de recursos, pode ser tornar independente desses repasses e passar a ser Privada, sem fins lucrativos.</w:t>
            </w:r>
          </w:p>
        </w:tc>
      </w:tr>
      <w:tr w:rsidR="001C5F76" w:rsidRPr="00485F85" w14:paraId="1F90F0C3"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92E87FA"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Organização Acadêmica</w:t>
            </w:r>
          </w:p>
        </w:tc>
        <w:tc>
          <w:tcPr>
            <w:tcW w:w="6662" w:type="dxa"/>
          </w:tcPr>
          <w:p w14:paraId="3923701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Universidade</w:t>
            </w:r>
          </w:p>
        </w:tc>
      </w:tr>
      <w:tr w:rsidR="001C5F76" w:rsidRPr="00485F85" w14:paraId="3338CE68" w14:textId="77777777" w:rsidTr="00A206D5">
        <w:tc>
          <w:tcPr>
            <w:cnfStyle w:val="001000000000" w:firstRow="0" w:lastRow="0" w:firstColumn="1" w:lastColumn="0" w:oddVBand="0" w:evenVBand="0" w:oddHBand="0" w:evenHBand="0" w:firstRowFirstColumn="0" w:firstRowLastColumn="0" w:lastRowFirstColumn="0" w:lastRowLastColumn="0"/>
            <w:tcW w:w="3369" w:type="dxa"/>
          </w:tcPr>
          <w:p w14:paraId="167135B8"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Localização (sede) País/Estado/Cidade</w:t>
            </w:r>
          </w:p>
        </w:tc>
        <w:tc>
          <w:tcPr>
            <w:tcW w:w="6662" w:type="dxa"/>
          </w:tcPr>
          <w:p w14:paraId="1026954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Inglaterra/ Condado de Oxfordshire / Cidade Oxford</w:t>
            </w:r>
          </w:p>
        </w:tc>
      </w:tr>
      <w:tr w:rsidR="001C5F76" w:rsidRPr="00485F85" w14:paraId="0270108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55345EC" w14:textId="77777777" w:rsidR="001C5F76" w:rsidRPr="00485F85" w:rsidRDefault="001C5F76" w:rsidP="00A206D5">
            <w:pPr>
              <w:spacing w:line="360" w:lineRule="auto"/>
              <w:jc w:val="both"/>
              <w:rPr>
                <w:rFonts w:asciiTheme="majorHAnsi" w:hAnsiTheme="majorHAnsi" w:cstheme="majorHAnsi"/>
                <w:i/>
                <w:sz w:val="20"/>
                <w:szCs w:val="20"/>
              </w:rPr>
            </w:pPr>
            <w:r w:rsidRPr="00485F85">
              <w:rPr>
                <w:rFonts w:asciiTheme="majorHAnsi" w:hAnsiTheme="majorHAnsi" w:cstheme="majorHAnsi"/>
                <w:i/>
                <w:sz w:val="20"/>
                <w:szCs w:val="20"/>
              </w:rPr>
              <w:t>Multicampi</w:t>
            </w:r>
          </w:p>
        </w:tc>
        <w:tc>
          <w:tcPr>
            <w:tcW w:w="6662" w:type="dxa"/>
          </w:tcPr>
          <w:p w14:paraId="06AE35E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xml:space="preserve">Não. Está estruturada em diversos prédios diferentes na cidade de Oxford, mas não pode ser considerada Multicampi conforme o entendimento brasileiro, já que sua estrutura está toda localizada dentro da cidade de Oxford. Em contrapartida, a liberdade acadêmica e orçamentária dos Colleges e Divisões Acadêmicas, poderiam ser enquadradas em nossa classificação de instituição Multicampi, mas não é.  </w:t>
            </w:r>
          </w:p>
          <w:p w14:paraId="64574146"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C5F76" w:rsidRPr="00485F85" w14:paraId="12722071" w14:textId="77777777" w:rsidTr="00A206D5">
        <w:tc>
          <w:tcPr>
            <w:cnfStyle w:val="001000000000" w:firstRow="0" w:lastRow="0" w:firstColumn="1" w:lastColumn="0" w:oddVBand="0" w:evenVBand="0" w:oddHBand="0" w:evenHBand="0" w:firstRowFirstColumn="0" w:firstRowLastColumn="0" w:lastRowFirstColumn="0" w:lastRowLastColumn="0"/>
            <w:tcW w:w="3369" w:type="dxa"/>
          </w:tcPr>
          <w:p w14:paraId="20367BFC"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lastRenderedPageBreak/>
              <w:t>Porte*</w:t>
            </w:r>
          </w:p>
          <w:p w14:paraId="653F38D4" w14:textId="77777777" w:rsidR="001C5F76" w:rsidRPr="00485F85" w:rsidRDefault="001C5F76" w:rsidP="00A206D5">
            <w:pPr>
              <w:spacing w:line="360" w:lineRule="auto"/>
              <w:jc w:val="both"/>
              <w:rPr>
                <w:rFonts w:asciiTheme="majorHAnsi" w:hAnsiTheme="majorHAnsi" w:cstheme="majorHAnsi"/>
                <w:sz w:val="20"/>
                <w:szCs w:val="20"/>
              </w:rPr>
            </w:pPr>
          </w:p>
        </w:tc>
        <w:tc>
          <w:tcPr>
            <w:tcW w:w="6662" w:type="dxa"/>
          </w:tcPr>
          <w:p w14:paraId="45741C65"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bookmarkStart w:id="49" w:name="_Hlk79945298"/>
            <w:r w:rsidRPr="00485F85">
              <w:rPr>
                <w:rFonts w:asciiTheme="majorHAnsi" w:hAnsiTheme="majorHAnsi" w:cstheme="majorHAnsi"/>
                <w:sz w:val="20"/>
                <w:szCs w:val="20"/>
              </w:rPr>
              <w:t xml:space="preserve">Instituição Média – 25.820 alunos </w:t>
            </w:r>
            <w:bookmarkEnd w:id="49"/>
          </w:p>
        </w:tc>
      </w:tr>
      <w:tr w:rsidR="001C5F76" w:rsidRPr="00485F85" w14:paraId="1FD162A3"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2"/>
          </w:tcPr>
          <w:p w14:paraId="3F53490C" w14:textId="77777777" w:rsidR="001C5F76" w:rsidRPr="00485F85" w:rsidRDefault="001C5F76" w:rsidP="00A206D5">
            <w:pPr>
              <w:spacing w:line="360" w:lineRule="auto"/>
              <w:jc w:val="both"/>
              <w:rPr>
                <w:rFonts w:asciiTheme="majorHAnsi" w:hAnsiTheme="majorHAnsi" w:cstheme="majorHAnsi"/>
                <w:b w:val="0"/>
                <w:bCs w:val="0"/>
                <w:sz w:val="20"/>
                <w:szCs w:val="20"/>
              </w:rPr>
            </w:pPr>
            <w:r w:rsidRPr="00485F85">
              <w:rPr>
                <w:rFonts w:asciiTheme="majorHAnsi" w:hAnsiTheme="majorHAnsi" w:cstheme="majorHAnsi"/>
                <w:sz w:val="20"/>
                <w:szCs w:val="20"/>
              </w:rPr>
              <w:t xml:space="preserve">Observações: </w:t>
            </w:r>
          </w:p>
          <w:p w14:paraId="79261B76"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Diferentemente das estruturas organizacionais que conhecemos no Brasil, OXFORD é uma universidade colegiada (ou seja, suas funções são divididas entre uma administração central e várias faculdades constituintes (Colleges e Halls). Assim, está estruturada como uma federação, compreendendo mais de quarenta Colleges e Halls, junto com uma administração central chefiada pelo Vice-Chancellor .</w:t>
            </w:r>
          </w:p>
          <w:p w14:paraId="45F8705C" w14:textId="77777777" w:rsidR="001C5F76" w:rsidRPr="00485F85" w:rsidRDefault="001C5F76" w:rsidP="00A206D5">
            <w:pPr>
              <w:spacing w:line="360" w:lineRule="auto"/>
              <w:jc w:val="both"/>
              <w:rPr>
                <w:rFonts w:asciiTheme="majorHAnsi" w:hAnsiTheme="majorHAnsi" w:cstheme="majorHAnsi"/>
                <w:sz w:val="20"/>
                <w:szCs w:val="20"/>
              </w:rPr>
            </w:pPr>
          </w:p>
          <w:p w14:paraId="66FB41E0"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 xml:space="preserve">Suas Divisões Acadêmicas (Humanities Division, Mathematical, Physical &amp; Life Sciences Division, Medical Sciences Division, Social Sciences Division, Divisões Department for Continuing Education, Gardens, Libraries and Museums (GLAM)) estão localizados no centro da estrutura da federação; eles não são afiliados a nenhuma faculdade em particular. Os departamentos fornecem instalações para ensino e pesquisa, determinam os programas e diretrizes para o ensino de alunos, realizam pesquisas e ministram palestras e seminários. </w:t>
            </w:r>
          </w:p>
          <w:p w14:paraId="501B2104" w14:textId="77777777" w:rsidR="001C5F76" w:rsidRPr="00485F85" w:rsidRDefault="001C5F76" w:rsidP="00A206D5">
            <w:pPr>
              <w:spacing w:line="360" w:lineRule="auto"/>
              <w:jc w:val="both"/>
              <w:rPr>
                <w:rFonts w:asciiTheme="majorHAnsi" w:hAnsiTheme="majorHAnsi" w:cstheme="majorHAnsi"/>
                <w:sz w:val="20"/>
                <w:szCs w:val="20"/>
              </w:rPr>
            </w:pPr>
          </w:p>
          <w:p w14:paraId="3BCE6CD9"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Os Colleges organizam o ensino tutorial para seus alunos de graduação (assim como moradia), e os membros das Divisões Acadêmcias estão espalhados pelos diversos Colleges. Embora certos Colleges tenham alinhamentos de disciplinas com alguma divisão Acadêmica (por exemplo, Nuffield College com Social Sciences Division), essa é uma exceção, e a maioria dos Colleges terá uma ampla mistura de acadêmicos e alunos de uma ampla gama de disciplinas.</w:t>
            </w:r>
          </w:p>
          <w:p w14:paraId="793284DD" w14:textId="77777777" w:rsidR="001C5F76" w:rsidRPr="00485F85" w:rsidRDefault="001C5F76" w:rsidP="00A206D5">
            <w:pPr>
              <w:spacing w:line="360" w:lineRule="auto"/>
              <w:jc w:val="both"/>
              <w:rPr>
                <w:rFonts w:asciiTheme="majorHAnsi" w:hAnsiTheme="majorHAnsi" w:cstheme="majorHAnsi"/>
                <w:sz w:val="20"/>
                <w:szCs w:val="20"/>
              </w:rPr>
            </w:pPr>
          </w:p>
          <w:p w14:paraId="22200FCB" w14:textId="77777777" w:rsidR="001C5F76" w:rsidRPr="00485F85" w:rsidRDefault="001C5F76" w:rsidP="00A206D5">
            <w:pPr>
              <w:spacing w:line="360" w:lineRule="auto"/>
              <w:jc w:val="both"/>
              <w:rPr>
                <w:rFonts w:asciiTheme="majorHAnsi" w:hAnsiTheme="majorHAnsi" w:cstheme="majorHAnsi"/>
                <w:sz w:val="20"/>
                <w:szCs w:val="20"/>
              </w:rPr>
            </w:pPr>
            <w:r w:rsidRPr="00485F85">
              <w:rPr>
                <w:rFonts w:asciiTheme="majorHAnsi" w:hAnsiTheme="majorHAnsi" w:cstheme="majorHAnsi"/>
                <w:sz w:val="20"/>
                <w:szCs w:val="20"/>
              </w:rPr>
              <w:t>Instalações como bibliotecas são fornecidas em todos estes níveis: tanto pela universidade central (UNIVERSITY OXFORD que possuiu a Bodleian), pelos Divisões Acadêmicas (bibliotecas departamentais individuais, como a Biblioteca English Faculty Library) e até mesmo pelos próprios Colleges (cada um mantém uma biblioteca multidisciplinar para uso de seus membros).</w:t>
            </w:r>
          </w:p>
          <w:p w14:paraId="430A9BD0" w14:textId="77777777" w:rsidR="001C5F76" w:rsidRPr="00485F85" w:rsidRDefault="001C5F76" w:rsidP="00A206D5">
            <w:pPr>
              <w:spacing w:line="360" w:lineRule="auto"/>
              <w:jc w:val="both"/>
              <w:rPr>
                <w:rFonts w:asciiTheme="majorHAnsi" w:hAnsiTheme="majorHAnsi" w:cstheme="majorHAnsi"/>
                <w:sz w:val="20"/>
                <w:szCs w:val="20"/>
              </w:rPr>
            </w:pPr>
          </w:p>
          <w:p w14:paraId="090855D4" w14:textId="77777777" w:rsidR="001C5F76" w:rsidRPr="00485F85" w:rsidRDefault="001C5F76" w:rsidP="00A206D5">
            <w:pPr>
              <w:spacing w:line="360" w:lineRule="auto"/>
              <w:jc w:val="both"/>
              <w:rPr>
                <w:rFonts w:asciiTheme="majorHAnsi" w:hAnsiTheme="majorHAnsi" w:cstheme="majorHAnsi"/>
                <w:sz w:val="20"/>
                <w:szCs w:val="20"/>
              </w:rPr>
            </w:pPr>
          </w:p>
        </w:tc>
      </w:tr>
    </w:tbl>
    <w:p w14:paraId="3EC1B8AB" w14:textId="77777777" w:rsidR="001C5F76" w:rsidRPr="00485F85" w:rsidRDefault="001C5F76" w:rsidP="001C5F76">
      <w:pPr>
        <w:rPr>
          <w:rFonts w:asciiTheme="majorHAnsi" w:hAnsiTheme="majorHAnsi" w:cstheme="majorHAnsi"/>
          <w:sz w:val="16"/>
          <w:szCs w:val="16"/>
        </w:rPr>
      </w:pPr>
      <w:r w:rsidRPr="00485F85">
        <w:rPr>
          <w:rFonts w:asciiTheme="majorHAnsi" w:hAnsiTheme="majorHAnsi" w:cstheme="majorHAnsi"/>
          <w:sz w:val="16"/>
          <w:szCs w:val="16"/>
        </w:rPr>
        <w:t>Fonte: e-MEC. * Utilizar classificação proposta por García-Guadilla (2002)</w:t>
      </w:r>
      <w:r w:rsidRPr="00485F85">
        <w:rPr>
          <w:rFonts w:asciiTheme="majorHAnsi" w:hAnsiTheme="majorHAnsi" w:cstheme="majorHAnsi"/>
          <w:sz w:val="16"/>
          <w:szCs w:val="16"/>
          <w:vertAlign w:val="superscript"/>
        </w:rPr>
        <w:t xml:space="preserve"> </w:t>
      </w:r>
      <w:r w:rsidRPr="00485F85">
        <w:rPr>
          <w:rFonts w:asciiTheme="majorHAnsi" w:hAnsiTheme="majorHAnsi" w:cstheme="majorHAnsi"/>
          <w:sz w:val="16"/>
          <w:szCs w:val="16"/>
          <w:vertAlign w:val="superscript"/>
        </w:rPr>
        <w:footnoteReference w:id="2"/>
      </w:r>
      <w:r w:rsidRPr="00485F85">
        <w:rPr>
          <w:rFonts w:asciiTheme="majorHAnsi" w:hAnsiTheme="majorHAnsi" w:cstheme="majorHAnsi"/>
          <w:sz w:val="16"/>
          <w:szCs w:val="16"/>
        </w:rPr>
        <w:t xml:space="preserve"> : Megainstituições (Com mais de 100 mil estudantes); Instituições Grandes (entre 100 e 30 mil estudantes); Instituições Médias (entre 30 e 10 mil estudantes); Instituições  Médias pequenas (entre 5 e 10 mil estudantes); Instituições Pequenas (menos de 5 mil estudantes).</w:t>
      </w:r>
    </w:p>
    <w:p w14:paraId="28D64D77" w14:textId="77777777" w:rsidR="001C5F76" w:rsidRPr="00485F85" w:rsidRDefault="001C5F76" w:rsidP="001C5F76">
      <w:pPr>
        <w:rPr>
          <w:rFonts w:asciiTheme="majorHAnsi" w:hAnsiTheme="majorHAnsi" w:cstheme="majorHAnsi"/>
        </w:rPr>
      </w:pPr>
      <w:r w:rsidRPr="00485F85">
        <w:rPr>
          <w:rFonts w:asciiTheme="majorHAnsi" w:hAnsiTheme="majorHAnsi" w:cstheme="majorHAnsi"/>
        </w:rPr>
        <w:br w:type="column"/>
      </w:r>
      <w:r w:rsidRPr="00485F85">
        <w:rPr>
          <w:rFonts w:asciiTheme="majorHAnsi" w:hAnsiTheme="majorHAnsi" w:cstheme="majorHAnsi"/>
        </w:rPr>
        <w:lastRenderedPageBreak/>
        <w:t>Quadro 2. Caracterização Geral do Município da sede da IES</w:t>
      </w:r>
    </w:p>
    <w:tbl>
      <w:tblPr>
        <w:tblStyle w:val="TabeladeLista6Colorida-nfase311"/>
        <w:tblW w:w="0" w:type="auto"/>
        <w:tblLook w:val="04A0" w:firstRow="1" w:lastRow="0" w:firstColumn="1" w:lastColumn="0" w:noHBand="0" w:noVBand="1"/>
      </w:tblPr>
      <w:tblGrid>
        <w:gridCol w:w="1771"/>
        <w:gridCol w:w="791"/>
        <w:gridCol w:w="1198"/>
        <w:gridCol w:w="1390"/>
        <w:gridCol w:w="1097"/>
        <w:gridCol w:w="1355"/>
        <w:gridCol w:w="2252"/>
      </w:tblGrid>
      <w:tr w:rsidR="00A206D5" w:rsidRPr="00A206D5" w14:paraId="6148D80C" w14:textId="77777777" w:rsidTr="00A20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Borders>
              <w:top w:val="single" w:sz="4" w:space="0" w:color="auto"/>
              <w:left w:val="single" w:sz="4" w:space="0" w:color="auto"/>
              <w:bottom w:val="single" w:sz="4" w:space="0" w:color="auto"/>
              <w:right w:val="single" w:sz="4" w:space="0" w:color="auto"/>
            </w:tcBorders>
            <w:shd w:val="clear" w:color="auto" w:fill="4875BD" w:themeFill="accent1"/>
          </w:tcPr>
          <w:p w14:paraId="4066A3CD" w14:textId="77777777" w:rsidR="001C5F76" w:rsidRPr="00A206D5" w:rsidRDefault="001C5F76" w:rsidP="001C5F76">
            <w:pPr>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País/ Estado/Cidade</w:t>
            </w:r>
          </w:p>
        </w:tc>
        <w:tc>
          <w:tcPr>
            <w:tcW w:w="805" w:type="dxa"/>
            <w:tcBorders>
              <w:top w:val="single" w:sz="4" w:space="0" w:color="auto"/>
              <w:left w:val="single" w:sz="4" w:space="0" w:color="auto"/>
              <w:bottom w:val="single" w:sz="4" w:space="0" w:color="auto"/>
              <w:right w:val="single" w:sz="4" w:space="0" w:color="auto"/>
            </w:tcBorders>
            <w:shd w:val="clear" w:color="auto" w:fill="4875BD" w:themeFill="accent1"/>
          </w:tcPr>
          <w:p w14:paraId="3CA6B395"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 xml:space="preserve">Área </w:t>
            </w:r>
          </w:p>
        </w:tc>
        <w:tc>
          <w:tcPr>
            <w:tcW w:w="1182" w:type="dxa"/>
            <w:tcBorders>
              <w:top w:val="single" w:sz="4" w:space="0" w:color="auto"/>
              <w:left w:val="single" w:sz="4" w:space="0" w:color="auto"/>
              <w:bottom w:val="single" w:sz="4" w:space="0" w:color="auto"/>
              <w:right w:val="single" w:sz="4" w:space="0" w:color="auto"/>
            </w:tcBorders>
            <w:shd w:val="clear" w:color="auto" w:fill="4875BD" w:themeFill="accent1"/>
          </w:tcPr>
          <w:p w14:paraId="6244393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População</w:t>
            </w:r>
          </w:p>
        </w:tc>
        <w:tc>
          <w:tcPr>
            <w:tcW w:w="1365" w:type="dxa"/>
            <w:tcBorders>
              <w:top w:val="single" w:sz="4" w:space="0" w:color="auto"/>
              <w:left w:val="single" w:sz="4" w:space="0" w:color="auto"/>
              <w:bottom w:val="single" w:sz="4" w:space="0" w:color="auto"/>
              <w:right w:val="single" w:sz="4" w:space="0" w:color="auto"/>
            </w:tcBorders>
            <w:shd w:val="clear" w:color="auto" w:fill="4875BD" w:themeFill="accent1"/>
          </w:tcPr>
          <w:p w14:paraId="6E54B864"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Densidade Demográfica</w:t>
            </w:r>
          </w:p>
        </w:tc>
        <w:tc>
          <w:tcPr>
            <w:tcW w:w="1071" w:type="dxa"/>
            <w:tcBorders>
              <w:top w:val="single" w:sz="4" w:space="0" w:color="auto"/>
              <w:left w:val="single" w:sz="4" w:space="0" w:color="auto"/>
              <w:bottom w:val="single" w:sz="4" w:space="0" w:color="auto"/>
              <w:right w:val="single" w:sz="4" w:space="0" w:color="auto"/>
            </w:tcBorders>
            <w:shd w:val="clear" w:color="auto" w:fill="4875BD" w:themeFill="accent1"/>
          </w:tcPr>
          <w:p w14:paraId="4332CF5C"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IDH</w:t>
            </w:r>
          </w:p>
        </w:tc>
        <w:tc>
          <w:tcPr>
            <w:tcW w:w="1329" w:type="dxa"/>
            <w:tcBorders>
              <w:top w:val="single" w:sz="4" w:space="0" w:color="auto"/>
              <w:left w:val="single" w:sz="4" w:space="0" w:color="auto"/>
              <w:bottom w:val="single" w:sz="4" w:space="0" w:color="auto"/>
              <w:right w:val="single" w:sz="4" w:space="0" w:color="auto"/>
            </w:tcBorders>
            <w:shd w:val="clear" w:color="auto" w:fill="4875BD" w:themeFill="accent1"/>
          </w:tcPr>
          <w:p w14:paraId="0F49E028"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 xml:space="preserve">Rendimento </w:t>
            </w:r>
            <w:r w:rsidRPr="00A206D5">
              <w:rPr>
                <w:rFonts w:asciiTheme="majorHAnsi" w:hAnsiTheme="majorHAnsi" w:cstheme="majorHAnsi"/>
                <w:i/>
                <w:color w:val="FFFFFF" w:themeColor="background1"/>
                <w:sz w:val="20"/>
                <w:szCs w:val="20"/>
              </w:rPr>
              <w:t>per  capita</w:t>
            </w:r>
          </w:p>
        </w:tc>
        <w:tc>
          <w:tcPr>
            <w:tcW w:w="2220" w:type="dxa"/>
            <w:tcBorders>
              <w:top w:val="single" w:sz="4" w:space="0" w:color="auto"/>
              <w:left w:val="single" w:sz="4" w:space="0" w:color="auto"/>
              <w:bottom w:val="single" w:sz="4" w:space="0" w:color="auto"/>
              <w:right w:val="single" w:sz="4" w:space="0" w:color="auto"/>
            </w:tcBorders>
            <w:shd w:val="clear" w:color="auto" w:fill="4875BD" w:themeFill="accent1"/>
          </w:tcPr>
          <w:p w14:paraId="202908F1"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Índices de Emprego/Desemprego</w:t>
            </w:r>
          </w:p>
        </w:tc>
      </w:tr>
      <w:tr w:rsidR="001C5F76" w:rsidRPr="00C71F33" w14:paraId="18D438BD"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Borders>
              <w:top w:val="single" w:sz="4" w:space="0" w:color="auto"/>
              <w:left w:val="single" w:sz="4" w:space="0" w:color="auto"/>
              <w:bottom w:val="single" w:sz="4" w:space="0" w:color="auto"/>
              <w:right w:val="single" w:sz="4" w:space="0" w:color="auto"/>
            </w:tcBorders>
          </w:tcPr>
          <w:p w14:paraId="42951DAD"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Inglaterra/ Condado de Oxfordshire / Cidade Oxford</w:t>
            </w:r>
          </w:p>
        </w:tc>
        <w:tc>
          <w:tcPr>
            <w:tcW w:w="805" w:type="dxa"/>
            <w:tcBorders>
              <w:top w:val="single" w:sz="4" w:space="0" w:color="auto"/>
              <w:left w:val="single" w:sz="4" w:space="0" w:color="auto"/>
              <w:bottom w:val="single" w:sz="4" w:space="0" w:color="auto"/>
              <w:right w:val="single" w:sz="4" w:space="0" w:color="auto"/>
            </w:tcBorders>
          </w:tcPr>
          <w:p w14:paraId="6DA03D1A"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46 km2*</w:t>
            </w:r>
          </w:p>
        </w:tc>
        <w:tc>
          <w:tcPr>
            <w:tcW w:w="1182" w:type="dxa"/>
            <w:tcBorders>
              <w:top w:val="single" w:sz="4" w:space="0" w:color="auto"/>
              <w:left w:val="single" w:sz="4" w:space="0" w:color="auto"/>
              <w:bottom w:val="single" w:sz="4" w:space="0" w:color="auto"/>
              <w:right w:val="single" w:sz="4" w:space="0" w:color="auto"/>
            </w:tcBorders>
          </w:tcPr>
          <w:p w14:paraId="375504AF"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161.445**</w:t>
            </w:r>
          </w:p>
        </w:tc>
        <w:tc>
          <w:tcPr>
            <w:tcW w:w="1365" w:type="dxa"/>
            <w:tcBorders>
              <w:top w:val="single" w:sz="4" w:space="0" w:color="auto"/>
              <w:left w:val="single" w:sz="4" w:space="0" w:color="auto"/>
              <w:bottom w:val="single" w:sz="4" w:space="0" w:color="auto"/>
              <w:right w:val="single" w:sz="4" w:space="0" w:color="auto"/>
            </w:tcBorders>
          </w:tcPr>
          <w:p w14:paraId="53A17953"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3,509km2</w:t>
            </w:r>
          </w:p>
        </w:tc>
        <w:tc>
          <w:tcPr>
            <w:tcW w:w="1071" w:type="dxa"/>
            <w:tcBorders>
              <w:top w:val="single" w:sz="4" w:space="0" w:color="auto"/>
              <w:left w:val="single" w:sz="4" w:space="0" w:color="auto"/>
              <w:bottom w:val="single" w:sz="4" w:space="0" w:color="auto"/>
              <w:right w:val="single" w:sz="4" w:space="0" w:color="auto"/>
            </w:tcBorders>
          </w:tcPr>
          <w:p w14:paraId="74B8577D"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***0,932 (United Kingdom)</w:t>
            </w:r>
          </w:p>
        </w:tc>
        <w:tc>
          <w:tcPr>
            <w:tcW w:w="1329" w:type="dxa"/>
            <w:tcBorders>
              <w:top w:val="single" w:sz="4" w:space="0" w:color="auto"/>
              <w:left w:val="single" w:sz="4" w:space="0" w:color="auto"/>
              <w:bottom w:val="single" w:sz="4" w:space="0" w:color="auto"/>
              <w:right w:val="single" w:sz="4" w:space="0" w:color="auto"/>
            </w:tcBorders>
          </w:tcPr>
          <w:p w14:paraId="5F015DA7"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****£ 58.150</w:t>
            </w:r>
          </w:p>
        </w:tc>
        <w:tc>
          <w:tcPr>
            <w:tcW w:w="2220" w:type="dxa"/>
            <w:tcBorders>
              <w:top w:val="single" w:sz="4" w:space="0" w:color="auto"/>
              <w:left w:val="single" w:sz="4" w:space="0" w:color="auto"/>
              <w:bottom w:val="single" w:sz="4" w:space="0" w:color="auto"/>
              <w:right w:val="single" w:sz="4" w:space="0" w:color="auto"/>
            </w:tcBorders>
          </w:tcPr>
          <w:p w14:paraId="5272CAA0"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485F85">
              <w:rPr>
                <w:rFonts w:asciiTheme="majorHAnsi" w:hAnsiTheme="majorHAnsi" w:cstheme="majorHAnsi"/>
                <w:sz w:val="20"/>
                <w:szCs w:val="20"/>
                <w:lang w:val="en-US"/>
              </w:rPr>
              <w:t>*****unemployment rate is 2.3% for the period April 2019 to March 2020</w:t>
            </w:r>
          </w:p>
        </w:tc>
      </w:tr>
      <w:tr w:rsidR="001C5F76" w:rsidRPr="00485F85" w14:paraId="1FF56DE7"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9917" w:type="dxa"/>
            <w:gridSpan w:val="7"/>
            <w:tcBorders>
              <w:top w:val="single" w:sz="4" w:space="0" w:color="auto"/>
              <w:left w:val="single" w:sz="4" w:space="0" w:color="auto"/>
              <w:bottom w:val="single" w:sz="4" w:space="0" w:color="auto"/>
              <w:right w:val="single" w:sz="4" w:space="0" w:color="auto"/>
            </w:tcBorders>
          </w:tcPr>
          <w:p w14:paraId="2091719F"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Observações:</w:t>
            </w:r>
          </w:p>
          <w:p w14:paraId="06C094C4"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 xml:space="preserve">*Fonte área: </w:t>
            </w:r>
            <w:hyperlink r:id="rId107" w:history="1">
              <w:r w:rsidRPr="00485F85">
                <w:rPr>
                  <w:rFonts w:asciiTheme="majorHAnsi" w:hAnsiTheme="majorHAnsi" w:cstheme="majorHAnsi"/>
                  <w:color w:val="4875BD" w:themeColor="accent1"/>
                  <w:sz w:val="20"/>
                  <w:szCs w:val="20"/>
                  <w:u w:val="single"/>
                </w:rPr>
                <w:t>https://www.oxford.gov.uk/info/20133/geography/456/geography_of_oxford</w:t>
              </w:r>
            </w:hyperlink>
            <w:r w:rsidRPr="00485F85">
              <w:rPr>
                <w:rFonts w:asciiTheme="majorHAnsi" w:hAnsiTheme="majorHAnsi" w:cstheme="majorHAnsi"/>
                <w:sz w:val="20"/>
                <w:szCs w:val="20"/>
              </w:rPr>
              <w:t xml:space="preserve"> </w:t>
            </w:r>
          </w:p>
          <w:p w14:paraId="2517D8EE" w14:textId="77777777" w:rsidR="001C5F76" w:rsidRPr="00485F85" w:rsidRDefault="001C5F76" w:rsidP="001C5F76">
            <w:pPr>
              <w:rPr>
                <w:rFonts w:asciiTheme="majorHAnsi" w:hAnsiTheme="majorHAnsi" w:cstheme="majorHAnsi"/>
                <w:sz w:val="20"/>
                <w:szCs w:val="20"/>
              </w:rPr>
            </w:pPr>
          </w:p>
          <w:p w14:paraId="1EE9DF01"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 xml:space="preserve">**Fonte população: </w:t>
            </w:r>
            <w:hyperlink r:id="rId108" w:history="1">
              <w:r w:rsidRPr="00485F85">
                <w:rPr>
                  <w:rFonts w:asciiTheme="majorHAnsi" w:hAnsiTheme="majorHAnsi" w:cstheme="majorHAnsi"/>
                  <w:color w:val="4875BD" w:themeColor="accent1"/>
                  <w:sz w:val="20"/>
                  <w:szCs w:val="20"/>
                  <w:u w:val="single"/>
                </w:rPr>
                <w:t>https://www.oxford.gov.uk/downloads/download/314/population_estimates_and_projections</w:t>
              </w:r>
            </w:hyperlink>
            <w:r w:rsidRPr="00485F85">
              <w:rPr>
                <w:rFonts w:asciiTheme="majorHAnsi" w:hAnsiTheme="majorHAnsi" w:cstheme="majorHAnsi"/>
                <w:sz w:val="20"/>
                <w:szCs w:val="20"/>
              </w:rPr>
              <w:t xml:space="preserve"> </w:t>
            </w:r>
          </w:p>
          <w:p w14:paraId="0D1CFA37" w14:textId="77777777" w:rsidR="001C5F76" w:rsidRPr="00485F85" w:rsidRDefault="001C5F76" w:rsidP="001C5F76">
            <w:pPr>
              <w:rPr>
                <w:rFonts w:asciiTheme="majorHAnsi" w:hAnsiTheme="majorHAnsi" w:cstheme="majorHAnsi"/>
                <w:sz w:val="20"/>
                <w:szCs w:val="20"/>
              </w:rPr>
            </w:pPr>
          </w:p>
          <w:p w14:paraId="2BB7C315"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 xml:space="preserve">***Fonte IDH </w:t>
            </w:r>
            <w:hyperlink r:id="rId109" w:history="1">
              <w:r w:rsidRPr="00485F85">
                <w:rPr>
                  <w:rFonts w:asciiTheme="majorHAnsi" w:hAnsiTheme="majorHAnsi" w:cstheme="majorHAnsi"/>
                  <w:color w:val="4875BD" w:themeColor="accent1"/>
                  <w:sz w:val="20"/>
                  <w:szCs w:val="20"/>
                  <w:u w:val="single"/>
                </w:rPr>
                <w:t>http://hdr.undp.org/en/content/download-data</w:t>
              </w:r>
            </w:hyperlink>
            <w:r w:rsidRPr="00485F85">
              <w:rPr>
                <w:rFonts w:asciiTheme="majorHAnsi" w:hAnsiTheme="majorHAnsi" w:cstheme="majorHAnsi"/>
                <w:sz w:val="20"/>
                <w:szCs w:val="20"/>
              </w:rPr>
              <w:t xml:space="preserve"> </w:t>
            </w:r>
          </w:p>
          <w:p w14:paraId="43C3D1D3" w14:textId="77777777" w:rsidR="001C5F76" w:rsidRPr="00485F85" w:rsidRDefault="001C5F76" w:rsidP="001C5F76">
            <w:pPr>
              <w:rPr>
                <w:rFonts w:asciiTheme="majorHAnsi" w:hAnsiTheme="majorHAnsi" w:cstheme="majorHAnsi"/>
                <w:sz w:val="20"/>
                <w:szCs w:val="20"/>
              </w:rPr>
            </w:pPr>
          </w:p>
          <w:p w14:paraId="4A555349"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 xml:space="preserve">****Fonte per capita </w:t>
            </w:r>
            <w:hyperlink r:id="rId110" w:history="1">
              <w:r w:rsidRPr="00485F85">
                <w:rPr>
                  <w:rFonts w:asciiTheme="majorHAnsi" w:hAnsiTheme="majorHAnsi" w:cstheme="majorHAnsi"/>
                  <w:color w:val="4875BD" w:themeColor="accent1"/>
                  <w:sz w:val="20"/>
                  <w:szCs w:val="20"/>
                  <w:u w:val="single"/>
                </w:rPr>
                <w:t>https://www.oxford.gov.uk/oxsp/info/23/economic_growth_and_regeneration/6/economic_development_growth_and_regeneration</w:t>
              </w:r>
            </w:hyperlink>
            <w:r w:rsidRPr="00485F85">
              <w:rPr>
                <w:rFonts w:asciiTheme="majorHAnsi" w:hAnsiTheme="majorHAnsi" w:cstheme="majorHAnsi"/>
                <w:sz w:val="20"/>
                <w:szCs w:val="20"/>
              </w:rPr>
              <w:t xml:space="preserve"> </w:t>
            </w:r>
          </w:p>
          <w:p w14:paraId="4668E3DF" w14:textId="77777777" w:rsidR="001C5F76" w:rsidRPr="00485F85" w:rsidRDefault="001C5F76" w:rsidP="001C5F76">
            <w:pPr>
              <w:rPr>
                <w:rFonts w:asciiTheme="majorHAnsi" w:hAnsiTheme="majorHAnsi" w:cstheme="majorHAnsi"/>
                <w:sz w:val="20"/>
                <w:szCs w:val="20"/>
              </w:rPr>
            </w:pPr>
          </w:p>
          <w:p w14:paraId="40FABF5F"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 xml:space="preserve">*****Fonte Índice de desemprego: </w:t>
            </w:r>
            <w:hyperlink r:id="rId111" w:history="1">
              <w:r w:rsidRPr="00485F85">
                <w:rPr>
                  <w:rFonts w:asciiTheme="majorHAnsi" w:hAnsiTheme="majorHAnsi" w:cstheme="majorHAnsi"/>
                  <w:color w:val="4875BD" w:themeColor="accent1"/>
                  <w:sz w:val="20"/>
                  <w:szCs w:val="20"/>
                  <w:u w:val="single"/>
                </w:rPr>
                <w:t>https://www.oxford.gov.uk/info/20124/economy/454/economic_statistics</w:t>
              </w:r>
            </w:hyperlink>
            <w:r w:rsidRPr="00485F85">
              <w:rPr>
                <w:rFonts w:asciiTheme="majorHAnsi" w:hAnsiTheme="majorHAnsi" w:cstheme="majorHAnsi"/>
                <w:sz w:val="20"/>
                <w:szCs w:val="20"/>
              </w:rPr>
              <w:t xml:space="preserve"> </w:t>
            </w:r>
          </w:p>
          <w:p w14:paraId="6E8C85C9" w14:textId="77777777" w:rsidR="001C5F76" w:rsidRPr="00485F85" w:rsidRDefault="001C5F76" w:rsidP="001C5F76">
            <w:pPr>
              <w:rPr>
                <w:rFonts w:asciiTheme="majorHAnsi" w:hAnsiTheme="majorHAnsi" w:cstheme="majorHAnsi"/>
                <w:sz w:val="20"/>
                <w:szCs w:val="20"/>
              </w:rPr>
            </w:pPr>
          </w:p>
        </w:tc>
      </w:tr>
    </w:tbl>
    <w:p w14:paraId="2585F064" w14:textId="77777777" w:rsidR="001C5F76" w:rsidRPr="00485F85" w:rsidRDefault="001C5F76" w:rsidP="001C5F76">
      <w:pPr>
        <w:rPr>
          <w:rFonts w:asciiTheme="majorHAnsi" w:hAnsiTheme="majorHAnsi" w:cstheme="majorHAnsi"/>
        </w:rPr>
      </w:pPr>
    </w:p>
    <w:p w14:paraId="1E63EC05" w14:textId="77777777" w:rsidR="001C5F76" w:rsidRPr="00485F85" w:rsidRDefault="001C5F76" w:rsidP="001C5F76">
      <w:pPr>
        <w:rPr>
          <w:rFonts w:asciiTheme="majorHAnsi" w:hAnsiTheme="majorHAnsi" w:cstheme="majorHAnsi"/>
        </w:rPr>
      </w:pPr>
      <w:r w:rsidRPr="00485F85">
        <w:rPr>
          <w:rFonts w:asciiTheme="majorHAnsi" w:hAnsiTheme="majorHAnsi" w:cstheme="majorHAnsi"/>
        </w:rPr>
        <w:t>Quadro 3. Dados da Educação Básica e Superior no Município</w:t>
      </w:r>
    </w:p>
    <w:tbl>
      <w:tblPr>
        <w:tblStyle w:val="TabeladeLista6Colorida-nfase311"/>
        <w:tblW w:w="10207" w:type="dxa"/>
        <w:tblLook w:val="04A0" w:firstRow="1" w:lastRow="0" w:firstColumn="1" w:lastColumn="0" w:noHBand="0" w:noVBand="1"/>
      </w:tblPr>
      <w:tblGrid>
        <w:gridCol w:w="1552"/>
        <w:gridCol w:w="1332"/>
        <w:gridCol w:w="235"/>
        <w:gridCol w:w="1160"/>
        <w:gridCol w:w="892"/>
        <w:gridCol w:w="2039"/>
        <w:gridCol w:w="1332"/>
        <w:gridCol w:w="1665"/>
      </w:tblGrid>
      <w:tr w:rsidR="00A206D5" w:rsidRPr="00A206D5" w14:paraId="16676C2F" w14:textId="77777777" w:rsidTr="00A206D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4" w:space="0" w:color="auto"/>
              <w:left w:val="single" w:sz="4" w:space="0" w:color="auto"/>
              <w:bottom w:val="single" w:sz="4" w:space="0" w:color="auto"/>
              <w:right w:val="single" w:sz="4" w:space="0" w:color="auto"/>
            </w:tcBorders>
            <w:shd w:val="clear" w:color="auto" w:fill="4875BD" w:themeFill="accent1"/>
          </w:tcPr>
          <w:p w14:paraId="7A623E6D" w14:textId="77777777" w:rsidR="001C5F76" w:rsidRPr="00A206D5" w:rsidRDefault="001C5F76" w:rsidP="001C5F76">
            <w:pPr>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Número de Escolas Educação Básica</w:t>
            </w:r>
          </w:p>
          <w:p w14:paraId="2601C7CC" w14:textId="77777777" w:rsidR="001C5F76" w:rsidRPr="00A206D5" w:rsidRDefault="001C5F76" w:rsidP="001C5F76">
            <w:pPr>
              <w:rPr>
                <w:rFonts w:asciiTheme="majorHAnsi" w:hAnsiTheme="majorHAnsi" w:cstheme="majorHAnsi"/>
                <w:color w:val="FFFFFF" w:themeColor="background1"/>
                <w:sz w:val="20"/>
                <w:szCs w:val="20"/>
              </w:rPr>
            </w:pPr>
          </w:p>
          <w:p w14:paraId="2D5A9BAD" w14:textId="77777777" w:rsidR="001C5F76" w:rsidRPr="00A206D5" w:rsidRDefault="001C5F76" w:rsidP="001C5F76">
            <w:pPr>
              <w:rPr>
                <w:rFonts w:asciiTheme="majorHAnsi" w:hAnsiTheme="majorHAnsi" w:cstheme="majorHAnsi"/>
                <w:color w:val="FFFFFF" w:themeColor="background1"/>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4875BD" w:themeFill="accent1"/>
          </w:tcPr>
          <w:p w14:paraId="08130907"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Pública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4875BD" w:themeFill="accent1"/>
          </w:tcPr>
          <w:p w14:paraId="5D4E0877"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Privada</w:t>
            </w:r>
          </w:p>
        </w:tc>
        <w:tc>
          <w:tcPr>
            <w:tcW w:w="5102" w:type="dxa"/>
            <w:gridSpan w:val="3"/>
            <w:vMerge w:val="restart"/>
            <w:tcBorders>
              <w:top w:val="single" w:sz="4" w:space="0" w:color="auto"/>
              <w:left w:val="single" w:sz="4" w:space="0" w:color="auto"/>
              <w:bottom w:val="single" w:sz="4" w:space="0" w:color="auto"/>
              <w:right w:val="single" w:sz="4" w:space="0" w:color="auto"/>
            </w:tcBorders>
            <w:shd w:val="clear" w:color="auto" w:fill="4875BD" w:themeFill="accent1"/>
          </w:tcPr>
          <w:p w14:paraId="15A79C8B"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Observações</w:t>
            </w:r>
          </w:p>
          <w:p w14:paraId="5A2D35C5"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p>
          <w:p w14:paraId="1374A607"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TOTAL DE ESCOLAS EM OXFORD: 66</w:t>
            </w:r>
            <w:r w:rsidRPr="00A206D5">
              <w:rPr>
                <w:rFonts w:asciiTheme="majorHAnsi" w:hAnsiTheme="majorHAnsi" w:cstheme="majorHAnsi"/>
                <w:color w:val="FFFFFF" w:themeColor="background1"/>
                <w:sz w:val="20"/>
                <w:szCs w:val="20"/>
              </w:rPr>
              <w:br/>
            </w:r>
            <w:r w:rsidRPr="00A206D5">
              <w:rPr>
                <w:rFonts w:asciiTheme="majorHAnsi" w:hAnsiTheme="majorHAnsi" w:cstheme="majorHAnsi"/>
                <w:color w:val="FFFFFF" w:themeColor="background1"/>
                <w:sz w:val="20"/>
                <w:szCs w:val="20"/>
              </w:rPr>
              <w:br/>
              <w:t>Públicas – 50 escolas</w:t>
            </w:r>
          </w:p>
          <w:p w14:paraId="7D121DC0"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Privadas – 11 escolas</w:t>
            </w:r>
          </w:p>
          <w:p w14:paraId="3B0C4C55"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Outras – 5 escolas</w:t>
            </w:r>
          </w:p>
          <w:p w14:paraId="61D91CD6"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p w14:paraId="61343447"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A206D5">
              <w:rPr>
                <w:rFonts w:asciiTheme="majorHAnsi" w:hAnsiTheme="majorHAnsi" w:cstheme="majorHAnsi"/>
                <w:color w:val="FFFFFF" w:themeColor="background1"/>
                <w:sz w:val="20"/>
                <w:szCs w:val="20"/>
              </w:rPr>
              <w:t>SCHOOL TYPE:</w:t>
            </w:r>
          </w:p>
          <w:p w14:paraId="2AC66F45"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A206D5">
              <w:rPr>
                <w:rFonts w:asciiTheme="majorHAnsi" w:hAnsiTheme="majorHAnsi" w:cstheme="majorHAnsi"/>
                <w:color w:val="FFFFFF" w:themeColor="background1"/>
                <w:sz w:val="20"/>
                <w:szCs w:val="20"/>
                <w:lang w:val="en-US"/>
              </w:rPr>
              <w:t xml:space="preserve">Academy - </w:t>
            </w:r>
          </w:p>
          <w:p w14:paraId="19A77DF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A206D5">
              <w:rPr>
                <w:rFonts w:asciiTheme="majorHAnsi" w:hAnsiTheme="majorHAnsi" w:cstheme="majorHAnsi"/>
                <w:color w:val="FFFFFF" w:themeColor="background1"/>
                <w:sz w:val="20"/>
                <w:szCs w:val="20"/>
                <w:lang w:val="en-US"/>
              </w:rPr>
              <w:t>Maintained school</w:t>
            </w:r>
          </w:p>
          <w:p w14:paraId="4999172B"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A206D5">
              <w:rPr>
                <w:rFonts w:asciiTheme="majorHAnsi" w:hAnsiTheme="majorHAnsi" w:cstheme="majorHAnsi"/>
                <w:color w:val="FFFFFF" w:themeColor="background1"/>
                <w:sz w:val="20"/>
                <w:szCs w:val="20"/>
                <w:lang w:val="en-US"/>
              </w:rPr>
              <w:t>Independent school</w:t>
            </w:r>
          </w:p>
          <w:p w14:paraId="111AB8AC"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A206D5">
              <w:rPr>
                <w:rFonts w:asciiTheme="majorHAnsi" w:hAnsiTheme="majorHAnsi" w:cstheme="majorHAnsi"/>
                <w:color w:val="FFFFFF" w:themeColor="background1"/>
                <w:sz w:val="20"/>
                <w:szCs w:val="20"/>
                <w:lang w:val="en-US"/>
              </w:rPr>
              <w:t>Special school</w:t>
            </w:r>
          </w:p>
          <w:p w14:paraId="492B4F1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A206D5">
              <w:rPr>
                <w:rFonts w:asciiTheme="majorHAnsi" w:hAnsiTheme="majorHAnsi" w:cstheme="majorHAnsi"/>
                <w:color w:val="FFFFFF" w:themeColor="background1"/>
                <w:sz w:val="20"/>
                <w:szCs w:val="20"/>
              </w:rPr>
              <w:t>College</w:t>
            </w:r>
          </w:p>
          <w:p w14:paraId="1D86E0F5"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A206D5">
              <w:rPr>
                <w:rFonts w:asciiTheme="majorHAnsi" w:hAnsiTheme="majorHAnsi" w:cstheme="majorHAnsi"/>
                <w:color w:val="FFFFFF" w:themeColor="background1"/>
                <w:sz w:val="20"/>
                <w:szCs w:val="20"/>
              </w:rPr>
              <w:t xml:space="preserve">Com as </w:t>
            </w:r>
          </w:p>
          <w:p w14:paraId="5A70CD2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p>
          <w:p w14:paraId="347C1DB3"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A206D5">
              <w:rPr>
                <w:rFonts w:asciiTheme="majorHAnsi" w:hAnsiTheme="majorHAnsi" w:cstheme="majorHAnsi"/>
                <w:color w:val="FFFFFF" w:themeColor="background1"/>
                <w:sz w:val="20"/>
                <w:szCs w:val="20"/>
              </w:rPr>
              <w:t xml:space="preserve">A partir das categorias foi possível clssificar </w:t>
            </w:r>
          </w:p>
          <w:p w14:paraId="188C3A84"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Academy  PÚBLICA- financiada pelo governo, mas administrada por um fundo de academia, e não por uma autoridade local.</w:t>
            </w:r>
          </w:p>
          <w:p w14:paraId="56AD8F4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p w14:paraId="5B5F6366"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College - colleges geralmente se concentram na fase de 16 a 18 anos de educação e oferecem cursos vocacionais e acadêmicos. Algumas faculdades também oferecem estudo em tempo integral no estágio-chave 4.</w:t>
            </w:r>
          </w:p>
          <w:p w14:paraId="75752581"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p w14:paraId="2A2CC3D2"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Independent school PRIVADA- com financiamento privado.</w:t>
            </w:r>
          </w:p>
          <w:p w14:paraId="12610FCE"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p w14:paraId="30A81460"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Maintained school PÚBLICA - financiada e administrada pelo governo por uma autoridade local.</w:t>
            </w:r>
          </w:p>
          <w:p w14:paraId="3B2265BE"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p>
          <w:p w14:paraId="31A5ECB6"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Special school - escolas especializadas na educação de alunos com necessidades educacionais especiais.</w:t>
            </w:r>
          </w:p>
          <w:p w14:paraId="4576CEEB"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p w14:paraId="79ECEE2D"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A206D5">
              <w:rPr>
                <w:rFonts w:asciiTheme="majorHAnsi" w:hAnsiTheme="majorHAnsi" w:cstheme="majorHAnsi"/>
                <w:color w:val="FFFFFF" w:themeColor="background1"/>
                <w:sz w:val="20"/>
                <w:szCs w:val="20"/>
              </w:rPr>
              <w:t xml:space="preserve">Fonte: </w:t>
            </w:r>
            <w:hyperlink r:id="rId112" w:history="1">
              <w:r w:rsidRPr="00A206D5">
                <w:rPr>
                  <w:rFonts w:asciiTheme="majorHAnsi" w:hAnsiTheme="majorHAnsi" w:cstheme="majorHAnsi"/>
                  <w:color w:val="FFFFFF" w:themeColor="background1"/>
                  <w:sz w:val="20"/>
                  <w:szCs w:val="20"/>
                  <w:u w:val="single"/>
                </w:rPr>
                <w:t>https://www.compare-school-performance.service.gov.uk/</w:t>
              </w:r>
            </w:hyperlink>
            <w:r w:rsidRPr="00A206D5">
              <w:rPr>
                <w:rFonts w:asciiTheme="majorHAnsi" w:hAnsiTheme="majorHAnsi" w:cstheme="majorHAnsi"/>
                <w:color w:val="FFFFFF" w:themeColor="background1"/>
                <w:sz w:val="20"/>
                <w:szCs w:val="20"/>
              </w:rPr>
              <w:t xml:space="preserve"> </w:t>
            </w:r>
          </w:p>
          <w:p w14:paraId="117A2844" w14:textId="77777777" w:rsidR="001C5F76" w:rsidRPr="00A206D5" w:rsidRDefault="001C5F76" w:rsidP="001C5F7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
        </w:tc>
      </w:tr>
      <w:tr w:rsidR="001C5F76" w:rsidRPr="00485F85" w14:paraId="0F7A85D1" w14:textId="77777777" w:rsidTr="00A206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1" w:type="dxa"/>
            <w:vMerge/>
            <w:tcBorders>
              <w:top w:val="single" w:sz="4" w:space="0" w:color="auto"/>
              <w:left w:val="single" w:sz="4" w:space="0" w:color="auto"/>
              <w:bottom w:val="single" w:sz="4" w:space="0" w:color="auto"/>
              <w:right w:val="single" w:sz="4" w:space="0" w:color="auto"/>
            </w:tcBorders>
          </w:tcPr>
          <w:p w14:paraId="18ADF263" w14:textId="77777777" w:rsidR="001C5F76" w:rsidRPr="00485F85" w:rsidRDefault="001C5F76" w:rsidP="001C5F76">
            <w:pPr>
              <w:rPr>
                <w:rFonts w:asciiTheme="majorHAnsi" w:hAnsiTheme="majorHAnsi" w:cstheme="maj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643872FD"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4A0487F"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40A2240"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3D0E397"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50</w:t>
            </w:r>
          </w:p>
        </w:tc>
        <w:tc>
          <w:tcPr>
            <w:tcW w:w="1985" w:type="dxa"/>
            <w:gridSpan w:val="2"/>
            <w:tcBorders>
              <w:top w:val="single" w:sz="4" w:space="0" w:color="auto"/>
              <w:left w:val="single" w:sz="4" w:space="0" w:color="auto"/>
              <w:bottom w:val="single" w:sz="4" w:space="0" w:color="auto"/>
              <w:right w:val="single" w:sz="4" w:space="0" w:color="auto"/>
            </w:tcBorders>
          </w:tcPr>
          <w:p w14:paraId="3FB7F8E3"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FD3FEED"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2E77122"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3EC178C"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11</w:t>
            </w:r>
          </w:p>
        </w:tc>
        <w:tc>
          <w:tcPr>
            <w:tcW w:w="5102" w:type="dxa"/>
            <w:gridSpan w:val="3"/>
            <w:vMerge/>
            <w:tcBorders>
              <w:top w:val="single" w:sz="4" w:space="0" w:color="auto"/>
              <w:left w:val="single" w:sz="4" w:space="0" w:color="auto"/>
              <w:bottom w:val="single" w:sz="4" w:space="0" w:color="auto"/>
              <w:right w:val="single" w:sz="4" w:space="0" w:color="auto"/>
            </w:tcBorders>
          </w:tcPr>
          <w:p w14:paraId="63500271"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C5F76" w:rsidRPr="00485F85" w14:paraId="05D07FB2" w14:textId="77777777" w:rsidTr="00A206D5">
        <w:trPr>
          <w:trHeight w:val="203"/>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4" w:space="0" w:color="auto"/>
              <w:left w:val="single" w:sz="4" w:space="0" w:color="auto"/>
              <w:bottom w:val="single" w:sz="4" w:space="0" w:color="auto"/>
              <w:right w:val="single" w:sz="4" w:space="0" w:color="auto"/>
            </w:tcBorders>
          </w:tcPr>
          <w:p w14:paraId="6A6C5174"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Número de Instituições de Educação Superior</w:t>
            </w:r>
          </w:p>
        </w:tc>
        <w:tc>
          <w:tcPr>
            <w:tcW w:w="1559" w:type="dxa"/>
            <w:gridSpan w:val="2"/>
            <w:tcBorders>
              <w:top w:val="single" w:sz="4" w:space="0" w:color="auto"/>
              <w:left w:val="single" w:sz="4" w:space="0" w:color="auto"/>
              <w:bottom w:val="single" w:sz="4" w:space="0" w:color="auto"/>
              <w:right w:val="single" w:sz="4" w:space="0" w:color="auto"/>
            </w:tcBorders>
          </w:tcPr>
          <w:p w14:paraId="587DC7A0"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Pública</w:t>
            </w:r>
          </w:p>
          <w:p w14:paraId="6C6021F5"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F03B63B"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141</w:t>
            </w:r>
          </w:p>
          <w:p w14:paraId="0C72C396"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9C61647"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14:paraId="2F5171E5"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Privada</w:t>
            </w:r>
          </w:p>
          <w:p w14:paraId="628B1855"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D317349"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3</w:t>
            </w:r>
          </w:p>
        </w:tc>
        <w:tc>
          <w:tcPr>
            <w:tcW w:w="5102" w:type="dxa"/>
            <w:gridSpan w:val="3"/>
            <w:tcBorders>
              <w:top w:val="single" w:sz="4" w:space="0" w:color="auto"/>
              <w:left w:val="single" w:sz="4" w:space="0" w:color="auto"/>
              <w:bottom w:val="single" w:sz="4" w:space="0" w:color="auto"/>
              <w:right w:val="single" w:sz="4" w:space="0" w:color="auto"/>
            </w:tcBorders>
          </w:tcPr>
          <w:p w14:paraId="3D207B68"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Observações</w:t>
            </w:r>
          </w:p>
          <w:p w14:paraId="222B0DFD"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144 Universidades</w:t>
            </w:r>
          </w:p>
          <w:p w14:paraId="68C46824"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1DC26FC"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C5F76" w:rsidRPr="00485F85" w14:paraId="03D16B79" w14:textId="77777777" w:rsidTr="00A206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1" w:type="dxa"/>
            <w:vMerge/>
            <w:tcBorders>
              <w:top w:val="single" w:sz="4" w:space="0" w:color="auto"/>
              <w:left w:val="single" w:sz="4" w:space="0" w:color="auto"/>
              <w:bottom w:val="single" w:sz="4" w:space="0" w:color="auto"/>
              <w:right w:val="single" w:sz="4" w:space="0" w:color="auto"/>
            </w:tcBorders>
          </w:tcPr>
          <w:p w14:paraId="2ABF8397" w14:textId="77777777" w:rsidR="001C5F76" w:rsidRPr="00485F85" w:rsidRDefault="001C5F76" w:rsidP="001C5F76">
            <w:pPr>
              <w:rPr>
                <w:rFonts w:asciiTheme="majorHAnsi" w:hAnsiTheme="majorHAnsi" w:cstheme="majorHAnsi"/>
                <w:sz w:val="20"/>
                <w:szCs w:val="20"/>
              </w:rPr>
            </w:pPr>
          </w:p>
        </w:tc>
        <w:tc>
          <w:tcPr>
            <w:tcW w:w="1321" w:type="dxa"/>
            <w:tcBorders>
              <w:top w:val="single" w:sz="4" w:space="0" w:color="auto"/>
              <w:left w:val="single" w:sz="4" w:space="0" w:color="auto"/>
              <w:bottom w:val="single" w:sz="4" w:space="0" w:color="auto"/>
              <w:right w:val="single" w:sz="4" w:space="0" w:color="auto"/>
            </w:tcBorders>
          </w:tcPr>
          <w:p w14:paraId="10280CFA"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Universitárias</w:t>
            </w:r>
          </w:p>
        </w:tc>
        <w:tc>
          <w:tcPr>
            <w:tcW w:w="1313" w:type="dxa"/>
            <w:gridSpan w:val="2"/>
            <w:tcBorders>
              <w:top w:val="single" w:sz="4" w:space="0" w:color="auto"/>
              <w:left w:val="single" w:sz="4" w:space="0" w:color="auto"/>
              <w:bottom w:val="single" w:sz="4" w:space="0" w:color="auto"/>
              <w:right w:val="single" w:sz="4" w:space="0" w:color="auto"/>
            </w:tcBorders>
          </w:tcPr>
          <w:p w14:paraId="6B86937B"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Universitárias</w:t>
            </w:r>
          </w:p>
        </w:tc>
        <w:tc>
          <w:tcPr>
            <w:tcW w:w="2992" w:type="dxa"/>
            <w:gridSpan w:val="2"/>
            <w:tcBorders>
              <w:top w:val="single" w:sz="4" w:space="0" w:color="auto"/>
              <w:left w:val="single" w:sz="4" w:space="0" w:color="auto"/>
              <w:bottom w:val="single" w:sz="4" w:space="0" w:color="auto"/>
              <w:right w:val="single" w:sz="4" w:space="0" w:color="auto"/>
            </w:tcBorders>
          </w:tcPr>
          <w:p w14:paraId="24D4CC86"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Universitárias</w:t>
            </w:r>
          </w:p>
        </w:tc>
        <w:tc>
          <w:tcPr>
            <w:tcW w:w="1313" w:type="dxa"/>
            <w:tcBorders>
              <w:top w:val="single" w:sz="4" w:space="0" w:color="auto"/>
              <w:left w:val="single" w:sz="4" w:space="0" w:color="auto"/>
              <w:bottom w:val="single" w:sz="4" w:space="0" w:color="auto"/>
              <w:right w:val="single" w:sz="4" w:space="0" w:color="auto"/>
            </w:tcBorders>
          </w:tcPr>
          <w:p w14:paraId="12B6E775"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Universitárias</w:t>
            </w:r>
          </w:p>
        </w:tc>
        <w:tc>
          <w:tcPr>
            <w:tcW w:w="1707" w:type="dxa"/>
            <w:vMerge w:val="restart"/>
            <w:tcBorders>
              <w:top w:val="single" w:sz="4" w:space="0" w:color="auto"/>
              <w:left w:val="single" w:sz="4" w:space="0" w:color="auto"/>
              <w:bottom w:val="single" w:sz="4" w:space="0" w:color="auto"/>
              <w:right w:val="single" w:sz="4" w:space="0" w:color="auto"/>
            </w:tcBorders>
          </w:tcPr>
          <w:p w14:paraId="0DDA1E84"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C5F76" w:rsidRPr="00485F85" w14:paraId="6CFB4187" w14:textId="77777777" w:rsidTr="00A206D5">
        <w:trPr>
          <w:trHeight w:val="405"/>
        </w:trPr>
        <w:tc>
          <w:tcPr>
            <w:cnfStyle w:val="001000000000" w:firstRow="0" w:lastRow="0" w:firstColumn="1" w:lastColumn="0" w:oddVBand="0" w:evenVBand="0" w:oddHBand="0" w:evenHBand="0" w:firstRowFirstColumn="0" w:firstRowLastColumn="0" w:lastRowFirstColumn="0" w:lastRowLastColumn="0"/>
            <w:tcW w:w="1561" w:type="dxa"/>
            <w:vMerge/>
            <w:tcBorders>
              <w:top w:val="single" w:sz="4" w:space="0" w:color="auto"/>
              <w:left w:val="single" w:sz="4" w:space="0" w:color="auto"/>
              <w:bottom w:val="single" w:sz="4" w:space="0" w:color="auto"/>
              <w:right w:val="single" w:sz="4" w:space="0" w:color="auto"/>
            </w:tcBorders>
          </w:tcPr>
          <w:p w14:paraId="1414B94E" w14:textId="77777777" w:rsidR="001C5F76" w:rsidRPr="00485F85" w:rsidRDefault="001C5F76" w:rsidP="001C5F76">
            <w:pPr>
              <w:rPr>
                <w:rFonts w:asciiTheme="majorHAnsi" w:hAnsiTheme="majorHAnsi" w:cstheme="majorHAnsi"/>
                <w:sz w:val="20"/>
                <w:szCs w:val="20"/>
              </w:rPr>
            </w:pPr>
          </w:p>
        </w:tc>
        <w:tc>
          <w:tcPr>
            <w:tcW w:w="1321" w:type="dxa"/>
            <w:tcBorders>
              <w:top w:val="single" w:sz="4" w:space="0" w:color="auto"/>
              <w:left w:val="single" w:sz="4" w:space="0" w:color="auto"/>
              <w:bottom w:val="single" w:sz="4" w:space="0" w:color="auto"/>
              <w:right w:val="single" w:sz="4" w:space="0" w:color="auto"/>
            </w:tcBorders>
          </w:tcPr>
          <w:p w14:paraId="7A15AF96"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tc>
        <w:tc>
          <w:tcPr>
            <w:tcW w:w="1313" w:type="dxa"/>
            <w:gridSpan w:val="2"/>
            <w:tcBorders>
              <w:top w:val="single" w:sz="4" w:space="0" w:color="auto"/>
              <w:left w:val="single" w:sz="4" w:space="0" w:color="auto"/>
              <w:bottom w:val="single" w:sz="4" w:space="0" w:color="auto"/>
              <w:right w:val="single" w:sz="4" w:space="0" w:color="auto"/>
            </w:tcBorders>
          </w:tcPr>
          <w:p w14:paraId="2CFE0DEC"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tc>
        <w:tc>
          <w:tcPr>
            <w:tcW w:w="2992" w:type="dxa"/>
            <w:gridSpan w:val="2"/>
            <w:tcBorders>
              <w:top w:val="single" w:sz="4" w:space="0" w:color="auto"/>
              <w:left w:val="single" w:sz="4" w:space="0" w:color="auto"/>
              <w:bottom w:val="single" w:sz="4" w:space="0" w:color="auto"/>
              <w:right w:val="single" w:sz="4" w:space="0" w:color="auto"/>
            </w:tcBorders>
          </w:tcPr>
          <w:p w14:paraId="2968D719"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Não se aplica</w:t>
            </w:r>
          </w:p>
        </w:tc>
        <w:tc>
          <w:tcPr>
            <w:tcW w:w="1313" w:type="dxa"/>
            <w:tcBorders>
              <w:top w:val="single" w:sz="4" w:space="0" w:color="auto"/>
              <w:left w:val="single" w:sz="4" w:space="0" w:color="auto"/>
              <w:bottom w:val="single" w:sz="4" w:space="0" w:color="auto"/>
              <w:right w:val="single" w:sz="4" w:space="0" w:color="auto"/>
            </w:tcBorders>
          </w:tcPr>
          <w:p w14:paraId="3610B50C"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0</w:t>
            </w:r>
          </w:p>
        </w:tc>
        <w:tc>
          <w:tcPr>
            <w:tcW w:w="1707" w:type="dxa"/>
            <w:vMerge/>
            <w:tcBorders>
              <w:top w:val="single" w:sz="4" w:space="0" w:color="auto"/>
              <w:left w:val="single" w:sz="4" w:space="0" w:color="auto"/>
              <w:bottom w:val="single" w:sz="4" w:space="0" w:color="auto"/>
              <w:right w:val="single" w:sz="4" w:space="0" w:color="auto"/>
            </w:tcBorders>
          </w:tcPr>
          <w:p w14:paraId="39FE5478"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C5F76" w:rsidRPr="00485F85" w14:paraId="1E0CC049"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single" w:sz="4" w:space="0" w:color="auto"/>
              <w:bottom w:val="single" w:sz="4" w:space="0" w:color="auto"/>
              <w:right w:val="single" w:sz="4" w:space="0" w:color="auto"/>
            </w:tcBorders>
          </w:tcPr>
          <w:p w14:paraId="7E0DD23F"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Taxa de alfabetização</w:t>
            </w:r>
          </w:p>
        </w:tc>
        <w:tc>
          <w:tcPr>
            <w:tcW w:w="3544" w:type="dxa"/>
            <w:gridSpan w:val="4"/>
            <w:tcBorders>
              <w:top w:val="single" w:sz="4" w:space="0" w:color="auto"/>
              <w:left w:val="single" w:sz="4" w:space="0" w:color="auto"/>
              <w:bottom w:val="single" w:sz="4" w:space="0" w:color="auto"/>
              <w:right w:val="single" w:sz="4" w:space="0" w:color="auto"/>
            </w:tcBorders>
          </w:tcPr>
          <w:p w14:paraId="7347C4FA"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35CA209"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No Reino Unido, a taxa de alfabetização é de 99%, o que significa que um em cada cem luta para ler e escrever.</w:t>
            </w:r>
          </w:p>
          <w:p w14:paraId="33C0E672"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A557F94"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D0C1448"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2" w:type="dxa"/>
            <w:gridSpan w:val="3"/>
            <w:tcBorders>
              <w:top w:val="single" w:sz="4" w:space="0" w:color="auto"/>
              <w:left w:val="single" w:sz="4" w:space="0" w:color="auto"/>
              <w:bottom w:val="single" w:sz="4" w:space="0" w:color="auto"/>
              <w:right w:val="single" w:sz="4" w:space="0" w:color="auto"/>
            </w:tcBorders>
          </w:tcPr>
          <w:p w14:paraId="2372B486"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Observações</w:t>
            </w:r>
          </w:p>
          <w:p w14:paraId="02842C29"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39ECC35"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 xml:space="preserve">Fonte: </w:t>
            </w:r>
            <w:hyperlink r:id="rId113" w:history="1">
              <w:r w:rsidRPr="00485F85">
                <w:rPr>
                  <w:rFonts w:asciiTheme="majorHAnsi" w:hAnsiTheme="majorHAnsi" w:cstheme="majorHAnsi"/>
                  <w:color w:val="4875BD" w:themeColor="accent1"/>
                  <w:sz w:val="20"/>
                  <w:szCs w:val="20"/>
                  <w:u w:val="single"/>
                </w:rPr>
                <w:t>https://una.org.uk/international-literacy-day-factsheet</w:t>
              </w:r>
            </w:hyperlink>
            <w:r w:rsidRPr="00485F85">
              <w:rPr>
                <w:rFonts w:asciiTheme="majorHAnsi" w:hAnsiTheme="majorHAnsi" w:cstheme="majorHAnsi"/>
                <w:sz w:val="20"/>
                <w:szCs w:val="20"/>
              </w:rPr>
              <w:t xml:space="preserve"> </w:t>
            </w:r>
          </w:p>
        </w:tc>
      </w:tr>
      <w:tr w:rsidR="001C5F76" w:rsidRPr="00485F85" w14:paraId="474A6AF8" w14:textId="77777777" w:rsidTr="00A206D5">
        <w:trPr>
          <w:trHeight w:val="405"/>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4" w:space="0" w:color="auto"/>
              <w:left w:val="single" w:sz="4" w:space="0" w:color="auto"/>
              <w:bottom w:val="single" w:sz="4" w:space="0" w:color="auto"/>
              <w:right w:val="single" w:sz="4" w:space="0" w:color="auto"/>
            </w:tcBorders>
          </w:tcPr>
          <w:p w14:paraId="6A396F62" w14:textId="77777777" w:rsidR="001C5F76" w:rsidRPr="00485F85" w:rsidRDefault="001C5F76" w:rsidP="001C5F76">
            <w:pPr>
              <w:rPr>
                <w:rFonts w:asciiTheme="majorHAnsi" w:hAnsiTheme="majorHAnsi" w:cstheme="majorHAnsi"/>
                <w:sz w:val="20"/>
                <w:szCs w:val="20"/>
              </w:rPr>
            </w:pPr>
            <w:r w:rsidRPr="00485F85">
              <w:rPr>
                <w:rFonts w:asciiTheme="majorHAnsi" w:hAnsiTheme="majorHAnsi" w:cstheme="majorHAnsi"/>
                <w:sz w:val="20"/>
                <w:szCs w:val="20"/>
              </w:rPr>
              <w:t>Taxa de escolarização por nível</w:t>
            </w:r>
          </w:p>
        </w:tc>
        <w:tc>
          <w:tcPr>
            <w:tcW w:w="1559" w:type="dxa"/>
            <w:gridSpan w:val="2"/>
            <w:tcBorders>
              <w:top w:val="single" w:sz="4" w:space="0" w:color="auto"/>
              <w:left w:val="single" w:sz="4" w:space="0" w:color="auto"/>
              <w:bottom w:val="single" w:sz="4" w:space="0" w:color="auto"/>
              <w:right w:val="single" w:sz="4" w:space="0" w:color="auto"/>
            </w:tcBorders>
          </w:tcPr>
          <w:p w14:paraId="3872EBA7"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Educação Básica</w:t>
            </w:r>
          </w:p>
        </w:tc>
        <w:tc>
          <w:tcPr>
            <w:tcW w:w="1985" w:type="dxa"/>
            <w:gridSpan w:val="2"/>
            <w:tcBorders>
              <w:top w:val="single" w:sz="4" w:space="0" w:color="auto"/>
              <w:left w:val="single" w:sz="4" w:space="0" w:color="auto"/>
              <w:bottom w:val="single" w:sz="4" w:space="0" w:color="auto"/>
              <w:right w:val="single" w:sz="4" w:space="0" w:color="auto"/>
            </w:tcBorders>
          </w:tcPr>
          <w:p w14:paraId="2BC73279"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Educação Superior</w:t>
            </w:r>
          </w:p>
        </w:tc>
        <w:tc>
          <w:tcPr>
            <w:tcW w:w="5102" w:type="dxa"/>
            <w:gridSpan w:val="3"/>
            <w:vMerge w:val="restart"/>
            <w:tcBorders>
              <w:top w:val="single" w:sz="4" w:space="0" w:color="auto"/>
              <w:left w:val="single" w:sz="4" w:space="0" w:color="auto"/>
              <w:bottom w:val="single" w:sz="4" w:space="0" w:color="auto"/>
              <w:right w:val="single" w:sz="4" w:space="0" w:color="auto"/>
            </w:tcBorders>
          </w:tcPr>
          <w:p w14:paraId="13E80667"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Observações</w:t>
            </w:r>
          </w:p>
        </w:tc>
      </w:tr>
      <w:tr w:rsidR="001C5F76" w:rsidRPr="00485F85" w14:paraId="70F11DF5" w14:textId="77777777" w:rsidTr="00A206D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1" w:type="dxa"/>
            <w:vMerge/>
            <w:tcBorders>
              <w:top w:val="single" w:sz="4" w:space="0" w:color="auto"/>
              <w:left w:val="single" w:sz="4" w:space="0" w:color="auto"/>
              <w:bottom w:val="single" w:sz="4" w:space="0" w:color="auto"/>
              <w:right w:val="single" w:sz="4" w:space="0" w:color="auto"/>
            </w:tcBorders>
          </w:tcPr>
          <w:p w14:paraId="0CF685DC" w14:textId="77777777" w:rsidR="001C5F76" w:rsidRPr="00485F85" w:rsidRDefault="001C5F76" w:rsidP="001C5F76">
            <w:pPr>
              <w:rPr>
                <w:rFonts w:asciiTheme="majorHAnsi" w:hAnsiTheme="majorHAnsi" w:cstheme="maj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687A13A0"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E4FBEA3"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4514111"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C39F872"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14:paraId="56FD345C"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2" w:type="dxa"/>
            <w:gridSpan w:val="3"/>
            <w:vMerge/>
            <w:tcBorders>
              <w:top w:val="single" w:sz="4" w:space="0" w:color="auto"/>
              <w:left w:val="single" w:sz="4" w:space="0" w:color="auto"/>
              <w:bottom w:val="single" w:sz="4" w:space="0" w:color="auto"/>
              <w:right w:val="single" w:sz="4" w:space="0" w:color="auto"/>
            </w:tcBorders>
          </w:tcPr>
          <w:p w14:paraId="4ACE8C81"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6D172BD3" w14:textId="77777777" w:rsidR="001C5F76" w:rsidRPr="00485F85" w:rsidRDefault="001C5F76" w:rsidP="001C5F76">
      <w:pPr>
        <w:rPr>
          <w:rFonts w:asciiTheme="majorHAnsi" w:hAnsiTheme="majorHAnsi" w:cstheme="majorHAnsi"/>
        </w:rPr>
      </w:pPr>
    </w:p>
    <w:p w14:paraId="2CF9262E" w14:textId="77777777" w:rsidR="001C5F76" w:rsidRPr="00485F85" w:rsidRDefault="001C5F76" w:rsidP="001C5F76">
      <w:pPr>
        <w:rPr>
          <w:rFonts w:asciiTheme="majorHAnsi" w:hAnsiTheme="majorHAnsi" w:cstheme="majorHAnsi"/>
        </w:rPr>
      </w:pPr>
      <w:r w:rsidRPr="00485F85">
        <w:rPr>
          <w:rFonts w:asciiTheme="majorHAnsi" w:hAnsiTheme="majorHAnsi" w:cstheme="majorHAnsi"/>
        </w:rPr>
        <w:tab/>
      </w:r>
    </w:p>
    <w:p w14:paraId="6D3A752B" w14:textId="77777777" w:rsidR="001C5F76" w:rsidRPr="00485F85" w:rsidRDefault="001C5F76" w:rsidP="001C5F76">
      <w:pPr>
        <w:rPr>
          <w:rFonts w:asciiTheme="majorHAnsi" w:hAnsiTheme="majorHAnsi" w:cstheme="majorHAnsi"/>
        </w:rPr>
      </w:pPr>
    </w:p>
    <w:p w14:paraId="76ADF73E" w14:textId="77777777" w:rsidR="001C5F76" w:rsidRPr="00485F85" w:rsidRDefault="001C5F76" w:rsidP="001C5F76">
      <w:pPr>
        <w:rPr>
          <w:rFonts w:asciiTheme="majorHAnsi" w:hAnsiTheme="majorHAnsi" w:cstheme="majorHAnsi"/>
        </w:rPr>
      </w:pPr>
    </w:p>
    <w:p w14:paraId="0AF2F2D9" w14:textId="77777777" w:rsidR="001C5F76" w:rsidRPr="00485F85" w:rsidRDefault="001C5F76" w:rsidP="001C5F76">
      <w:pPr>
        <w:rPr>
          <w:rFonts w:asciiTheme="majorHAnsi" w:hAnsiTheme="majorHAnsi" w:cstheme="majorHAnsi"/>
        </w:rPr>
      </w:pPr>
    </w:p>
    <w:p w14:paraId="255B22E9" w14:textId="77777777" w:rsidR="001C5F76" w:rsidRPr="00485F85" w:rsidRDefault="001C5F76" w:rsidP="001C5F76">
      <w:pPr>
        <w:rPr>
          <w:rFonts w:asciiTheme="majorHAnsi" w:hAnsiTheme="majorHAnsi" w:cstheme="majorHAnsi"/>
        </w:rPr>
      </w:pPr>
    </w:p>
    <w:p w14:paraId="34570156" w14:textId="77777777" w:rsidR="001C5F76" w:rsidRPr="00485F85" w:rsidRDefault="001C5F76" w:rsidP="001C5F76">
      <w:pPr>
        <w:rPr>
          <w:rFonts w:asciiTheme="majorHAnsi" w:hAnsiTheme="majorHAnsi" w:cstheme="majorHAnsi"/>
        </w:rPr>
      </w:pPr>
    </w:p>
    <w:p w14:paraId="08DB1F08" w14:textId="77777777" w:rsidR="001C5F76" w:rsidRPr="00485F85" w:rsidRDefault="001C5F76" w:rsidP="001C5F76">
      <w:pPr>
        <w:rPr>
          <w:rFonts w:asciiTheme="majorHAnsi" w:hAnsiTheme="majorHAnsi" w:cstheme="majorHAnsi"/>
        </w:rPr>
      </w:pPr>
    </w:p>
    <w:p w14:paraId="594220C4" w14:textId="77777777" w:rsidR="001C5F76" w:rsidRPr="00485F85" w:rsidRDefault="001C5F76" w:rsidP="001C5F76">
      <w:pPr>
        <w:rPr>
          <w:rFonts w:asciiTheme="majorHAnsi" w:hAnsiTheme="majorHAnsi" w:cstheme="majorHAnsi"/>
        </w:rPr>
      </w:pPr>
    </w:p>
    <w:p w14:paraId="58EFD525" w14:textId="77777777" w:rsidR="001C5F76" w:rsidRPr="00485F85" w:rsidRDefault="001C5F76" w:rsidP="001C5F76">
      <w:pPr>
        <w:rPr>
          <w:rFonts w:asciiTheme="majorHAnsi" w:hAnsiTheme="majorHAnsi" w:cstheme="majorHAnsi"/>
        </w:rPr>
      </w:pPr>
    </w:p>
    <w:p w14:paraId="03D0D366" w14:textId="77777777" w:rsidR="001C5F76" w:rsidRPr="00485F85" w:rsidRDefault="001C5F76" w:rsidP="001C5F76">
      <w:pPr>
        <w:rPr>
          <w:rFonts w:asciiTheme="majorHAnsi" w:hAnsiTheme="majorHAnsi" w:cstheme="majorHAnsi"/>
        </w:rPr>
      </w:pPr>
    </w:p>
    <w:p w14:paraId="7D4A9331" w14:textId="77777777" w:rsidR="001C5F76" w:rsidRPr="00485F85" w:rsidRDefault="001C5F76" w:rsidP="001C5F76">
      <w:pPr>
        <w:rPr>
          <w:rFonts w:asciiTheme="majorHAnsi" w:hAnsiTheme="majorHAnsi" w:cstheme="majorHAnsi"/>
        </w:rPr>
      </w:pPr>
    </w:p>
    <w:p w14:paraId="30FDC646" w14:textId="77777777" w:rsidR="001C5F76" w:rsidRPr="00485F85" w:rsidRDefault="001C5F76" w:rsidP="001C5F76">
      <w:pPr>
        <w:rPr>
          <w:rFonts w:asciiTheme="majorHAnsi" w:hAnsiTheme="majorHAnsi" w:cstheme="majorHAnsi"/>
        </w:rPr>
      </w:pPr>
    </w:p>
    <w:p w14:paraId="12AC2E7E" w14:textId="77777777" w:rsidR="001C5F76" w:rsidRPr="00485F85" w:rsidRDefault="001C5F76" w:rsidP="001C5F76">
      <w:pPr>
        <w:rPr>
          <w:rFonts w:asciiTheme="majorHAnsi" w:hAnsiTheme="majorHAnsi" w:cstheme="majorHAnsi"/>
        </w:rPr>
      </w:pPr>
    </w:p>
    <w:p w14:paraId="7280610D" w14:textId="77777777" w:rsidR="001C5F76" w:rsidRPr="00485F85" w:rsidRDefault="001C5F76" w:rsidP="001C5F76">
      <w:pPr>
        <w:rPr>
          <w:rFonts w:asciiTheme="majorHAnsi" w:hAnsiTheme="majorHAnsi" w:cstheme="majorHAnsi"/>
        </w:rPr>
      </w:pPr>
    </w:p>
    <w:p w14:paraId="4218224A" w14:textId="77777777" w:rsidR="001C5F76" w:rsidRPr="00485F85" w:rsidRDefault="001C5F76" w:rsidP="001C5F76">
      <w:pPr>
        <w:rPr>
          <w:rFonts w:asciiTheme="majorHAnsi" w:hAnsiTheme="majorHAnsi" w:cstheme="majorHAnsi"/>
        </w:rPr>
      </w:pPr>
    </w:p>
    <w:p w14:paraId="32E84062" w14:textId="77777777" w:rsidR="001C5F76" w:rsidRPr="00485F85" w:rsidRDefault="001C5F76" w:rsidP="001C5F76">
      <w:pPr>
        <w:rPr>
          <w:rFonts w:asciiTheme="majorHAnsi" w:hAnsiTheme="majorHAnsi" w:cstheme="majorHAnsi"/>
        </w:rPr>
      </w:pPr>
    </w:p>
    <w:p w14:paraId="3873B838" w14:textId="77777777" w:rsidR="001C5F76" w:rsidRPr="00485F85" w:rsidRDefault="001C5F76" w:rsidP="001C5F76">
      <w:pPr>
        <w:rPr>
          <w:rFonts w:asciiTheme="majorHAnsi" w:hAnsiTheme="majorHAnsi" w:cstheme="majorHAnsi"/>
          <w:b/>
          <w:sz w:val="30"/>
          <w:szCs w:val="30"/>
          <w:u w:val="single"/>
        </w:rPr>
      </w:pPr>
      <w:r w:rsidRPr="00485F85">
        <w:rPr>
          <w:rFonts w:asciiTheme="majorHAnsi" w:hAnsiTheme="majorHAnsi" w:cstheme="majorHAnsi"/>
          <w:b/>
          <w:sz w:val="30"/>
          <w:szCs w:val="30"/>
          <w:u w:val="single"/>
        </w:rPr>
        <w:t>Parte 2. Dimensões e Indicadores</w:t>
      </w:r>
    </w:p>
    <w:tbl>
      <w:tblPr>
        <w:tblStyle w:val="TabeladeLista6Colorida-nfase311"/>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817"/>
        <w:gridCol w:w="4003"/>
        <w:gridCol w:w="2458"/>
      </w:tblGrid>
      <w:tr w:rsidR="00A206D5" w:rsidRPr="00A206D5" w14:paraId="46260EFF" w14:textId="77777777" w:rsidTr="00A206D5">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4875BD" w:themeFill="accent1"/>
          </w:tcPr>
          <w:p w14:paraId="4A6EFD3B" w14:textId="77777777" w:rsidR="001C5F76" w:rsidRPr="00A206D5" w:rsidRDefault="001C5F76" w:rsidP="001C5F76">
            <w:pPr>
              <w:jc w:val="both"/>
              <w:rPr>
                <w:rFonts w:asciiTheme="majorHAnsi" w:hAnsiTheme="majorHAnsi" w:cstheme="majorHAnsi"/>
                <w:b w:val="0"/>
                <w:color w:val="FFFFFF" w:themeColor="background1"/>
              </w:rPr>
            </w:pPr>
            <w:r w:rsidRPr="00A206D5">
              <w:rPr>
                <w:rFonts w:asciiTheme="majorHAnsi" w:hAnsiTheme="majorHAnsi" w:cstheme="majorHAnsi"/>
                <w:color w:val="FFFFFF" w:themeColor="background1"/>
              </w:rPr>
              <w:t>Dimensão 1. Estrutura Acadêmica e Administrativa</w:t>
            </w:r>
          </w:p>
          <w:p w14:paraId="1EF5A5D0" w14:textId="77777777" w:rsidR="001C5F76" w:rsidRPr="00A206D5" w:rsidRDefault="001C5F76" w:rsidP="001C5F76">
            <w:pPr>
              <w:jc w:val="both"/>
              <w:rPr>
                <w:rFonts w:asciiTheme="majorHAnsi" w:hAnsiTheme="majorHAnsi" w:cstheme="majorHAnsi"/>
                <w:b w:val="0"/>
                <w:color w:val="FFFFFF" w:themeColor="background1"/>
              </w:rPr>
            </w:pPr>
          </w:p>
        </w:tc>
        <w:tc>
          <w:tcPr>
            <w:tcW w:w="2458" w:type="dxa"/>
            <w:vMerge w:val="restart"/>
            <w:shd w:val="clear" w:color="auto" w:fill="4875BD" w:themeFill="accent1"/>
          </w:tcPr>
          <w:p w14:paraId="50E6ED2F" w14:textId="77777777" w:rsidR="001C5F76" w:rsidRPr="00A206D5" w:rsidRDefault="001C5F76" w:rsidP="001C5F7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r>
      <w:tr w:rsidR="001C5F76" w:rsidRPr="00485F85" w14:paraId="131F6F6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2" w:type="dxa"/>
            <w:gridSpan w:val="4"/>
          </w:tcPr>
          <w:p w14:paraId="3D1A2E32" w14:textId="77777777" w:rsidR="001C5F76" w:rsidRPr="00485F85" w:rsidRDefault="001C5F76" w:rsidP="001C5F76">
            <w:pPr>
              <w:contextualSpacing/>
              <w:jc w:val="both"/>
              <w:rPr>
                <w:rFonts w:asciiTheme="majorHAnsi" w:hAnsiTheme="majorHAnsi" w:cstheme="majorHAnsi"/>
              </w:rPr>
            </w:pPr>
            <w:r w:rsidRPr="00485F85">
              <w:rPr>
                <w:rFonts w:asciiTheme="majorHAnsi" w:hAnsiTheme="majorHAnsi" w:cstheme="majorHAnsi"/>
              </w:rPr>
              <w:t>Objetivo: Conhecer a estrutura organizacional da IES</w:t>
            </w:r>
          </w:p>
        </w:tc>
        <w:tc>
          <w:tcPr>
            <w:tcW w:w="2458" w:type="dxa"/>
            <w:vMerge/>
          </w:tcPr>
          <w:p w14:paraId="306AFAA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4E41750" w14:textId="77777777" w:rsidTr="00A206D5">
        <w:tc>
          <w:tcPr>
            <w:cnfStyle w:val="001000000000" w:firstRow="0" w:lastRow="0" w:firstColumn="1" w:lastColumn="0" w:oddVBand="0" w:evenVBand="0" w:oddHBand="0" w:evenHBand="0" w:firstRowFirstColumn="0" w:firstRowLastColumn="0" w:lastRowFirstColumn="0" w:lastRowLastColumn="0"/>
            <w:tcW w:w="7372" w:type="dxa"/>
            <w:gridSpan w:val="4"/>
          </w:tcPr>
          <w:p w14:paraId="380190DE" w14:textId="77777777" w:rsidR="001C5F76" w:rsidRPr="00485F85" w:rsidRDefault="001C5F76" w:rsidP="001C5F76">
            <w:pPr>
              <w:contextualSpacing/>
              <w:jc w:val="both"/>
              <w:rPr>
                <w:rFonts w:asciiTheme="majorHAnsi" w:hAnsiTheme="majorHAnsi" w:cstheme="majorHAnsi"/>
              </w:rPr>
            </w:pPr>
            <w:r w:rsidRPr="00485F85">
              <w:rPr>
                <w:rFonts w:asciiTheme="majorHAnsi" w:hAnsiTheme="majorHAnsi" w:cstheme="majorHAnsi"/>
              </w:rPr>
              <w:t>Indicadores</w:t>
            </w:r>
          </w:p>
        </w:tc>
        <w:tc>
          <w:tcPr>
            <w:tcW w:w="2458" w:type="dxa"/>
            <w:vMerge/>
          </w:tcPr>
          <w:p w14:paraId="2F1F754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3BCC6B46"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1D5F3A12" w14:textId="77777777" w:rsidR="001C5F76" w:rsidRPr="00485F85" w:rsidRDefault="001C5F76" w:rsidP="001C5F76">
            <w:pPr>
              <w:jc w:val="both"/>
              <w:rPr>
                <w:rFonts w:asciiTheme="majorHAnsi" w:hAnsiTheme="majorHAnsi" w:cstheme="majorHAnsi"/>
              </w:rPr>
            </w:pPr>
            <w:r w:rsidRPr="00485F85">
              <w:rPr>
                <w:rFonts w:asciiTheme="majorHAnsi" w:hAnsiTheme="majorHAnsi" w:cstheme="majorHAnsi"/>
              </w:rPr>
              <w:t>1.1. Conselhos Superiores</w:t>
            </w:r>
          </w:p>
          <w:p w14:paraId="69438E7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FBE5C5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Relação de Conselhos</w:t>
            </w:r>
          </w:p>
        </w:tc>
        <w:tc>
          <w:tcPr>
            <w:tcW w:w="4003" w:type="dxa"/>
          </w:tcPr>
          <w:p w14:paraId="24E8D33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Composição (categoria dos membros)</w:t>
            </w:r>
          </w:p>
        </w:tc>
        <w:tc>
          <w:tcPr>
            <w:tcW w:w="2458" w:type="dxa"/>
            <w:vMerge w:val="restart"/>
          </w:tcPr>
          <w:p w14:paraId="12FBB08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5CAF48A9" w14:textId="77777777" w:rsidR="001C5F76" w:rsidRPr="00485F85" w:rsidRDefault="001C5F76" w:rsidP="001C5F76">
            <w:pPr>
              <w:ind w:left="31"/>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A Congregation cabe: </w:t>
            </w:r>
          </w:p>
          <w:p w14:paraId="4B8368A4" w14:textId="77777777" w:rsidR="001C5F76" w:rsidRPr="00485F85" w:rsidRDefault="001C5F76" w:rsidP="001C5F76">
            <w:pPr>
              <w:ind w:left="31"/>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Aprovar alterações aos estatutos e regulamentos da Universidade;</w:t>
            </w:r>
          </w:p>
          <w:p w14:paraId="0B522EFA" w14:textId="77777777" w:rsidR="001C5F76" w:rsidRPr="00485F85" w:rsidRDefault="001C5F76" w:rsidP="001C5F76">
            <w:pPr>
              <w:ind w:left="31"/>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Considerar as principais questões políticas apresentadas pelo Conselho ou membros da Congregação;</w:t>
            </w:r>
          </w:p>
          <w:p w14:paraId="6AE0E6AA"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Eleger os membros do Conselho e demais órgãos da Universidade, e aprovar a nomeação do Vice-Chancellor .</w:t>
            </w:r>
          </w:p>
          <w:p w14:paraId="50FDEA4A"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811ED54"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2CA7E31"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D57ED00"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Ao Council cabe:</w:t>
            </w:r>
          </w:p>
          <w:p w14:paraId="412BF29D"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É o órgão executivo da Universidade. É responsável, nos termos dos Estatutos, pela “promoção dos objetos da Universidade, pela sua administração e pela gestão das suas finanças e bens” e tem “todas as competências necessárias ao cumprimento dessas responsabilidades”.</w:t>
            </w:r>
          </w:p>
          <w:p w14:paraId="4E07542A"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A34B504"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3110131"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E678B1E"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50E154"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AE12EC7"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277BA912"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2C3C343F" w14:textId="77777777" w:rsidR="001C5F76" w:rsidRPr="00485F85" w:rsidRDefault="001C5F76" w:rsidP="001C5F76">
            <w:pPr>
              <w:jc w:val="both"/>
              <w:rPr>
                <w:rFonts w:asciiTheme="majorHAnsi" w:hAnsiTheme="majorHAnsi" w:cstheme="majorHAnsi"/>
              </w:rPr>
            </w:pPr>
          </w:p>
        </w:tc>
        <w:tc>
          <w:tcPr>
            <w:tcW w:w="1951" w:type="dxa"/>
            <w:gridSpan w:val="2"/>
          </w:tcPr>
          <w:p w14:paraId="1CAD2A3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Congregation</w:t>
            </w:r>
          </w:p>
        </w:tc>
        <w:tc>
          <w:tcPr>
            <w:tcW w:w="4003" w:type="dxa"/>
          </w:tcPr>
          <w:p w14:paraId="3A39EF0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Pessoal acadêmico; chefes e outros membros de órgãos diretivos de faculdades; e equipe sênior de pesquisa, computação, biblioteca e administração</w:t>
            </w:r>
          </w:p>
        </w:tc>
        <w:tc>
          <w:tcPr>
            <w:tcW w:w="2458" w:type="dxa"/>
            <w:vMerge/>
          </w:tcPr>
          <w:p w14:paraId="5B92BD7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50B7361" w14:textId="77777777" w:rsidTr="00A206D5">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1418" w:type="dxa"/>
            <w:vMerge/>
          </w:tcPr>
          <w:p w14:paraId="4E11D069" w14:textId="77777777" w:rsidR="001C5F76" w:rsidRPr="00485F85" w:rsidRDefault="001C5F76" w:rsidP="001C5F76">
            <w:pPr>
              <w:jc w:val="both"/>
              <w:rPr>
                <w:rFonts w:asciiTheme="majorHAnsi" w:hAnsiTheme="majorHAnsi" w:cstheme="majorHAnsi"/>
              </w:rPr>
            </w:pPr>
          </w:p>
        </w:tc>
        <w:tc>
          <w:tcPr>
            <w:tcW w:w="1951" w:type="dxa"/>
            <w:gridSpan w:val="2"/>
          </w:tcPr>
          <w:p w14:paraId="1C7520D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Council</w:t>
            </w:r>
          </w:p>
        </w:tc>
        <w:tc>
          <w:tcPr>
            <w:tcW w:w="4003" w:type="dxa"/>
          </w:tcPr>
          <w:p w14:paraId="5478AF2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Os membros do Conselho são os curadores de caridade da Universidade. Há vinte e cinco cargos no Council, além de provisão para até três membros cooptados. </w:t>
            </w:r>
          </w:p>
          <w:p w14:paraId="34E3E14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 xml:space="preserve">Nove </w:t>
            </w:r>
            <w:r w:rsidRPr="00485F85">
              <w:rPr>
                <w:rFonts w:asciiTheme="majorHAnsi" w:hAnsiTheme="majorHAnsi" w:cstheme="majorHAnsi"/>
              </w:rPr>
              <w:t xml:space="preserve">são membros ex officio: o Vice-Chancellor, que preside o Conselho; Chair of the Conference of Colleges; os dois Proctors and the Assessor; e os quatro Heads of Division. </w:t>
            </w:r>
          </w:p>
          <w:p w14:paraId="25463B8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Quatro</w:t>
            </w:r>
            <w:r w:rsidRPr="00485F85">
              <w:rPr>
                <w:rFonts w:asciiTheme="majorHAnsi" w:hAnsiTheme="majorHAnsi" w:cstheme="majorHAnsi"/>
              </w:rPr>
              <w:t xml:space="preserve"> são membros externos, nomeados pelo Council e aprovados pela Congregation. </w:t>
            </w:r>
          </w:p>
          <w:p w14:paraId="1266A8F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Doze</w:t>
            </w:r>
            <w:r w:rsidRPr="00485F85">
              <w:rPr>
                <w:rFonts w:asciiTheme="majorHAnsi" w:hAnsiTheme="majorHAnsi" w:cstheme="majorHAnsi"/>
              </w:rPr>
              <w:t xml:space="preserve"> membros da Congregation são eleitos para o Council: um pela Conference of Colleges; quatro pela Congregation from the faculties in the Divisions of Mathematical, Physical and Life Sciences and of Medical Sciences; quatro pela Congregation from the faculties in the Divisions of Humanities and of Social Sciences; e três pela Congregation, não sendo necessariamente membros de qualquer divisão e não sendo, em qualquer caso, nomeados em uma capacidade divisionária. </w:t>
            </w:r>
          </w:p>
          <w:p w14:paraId="076D26C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Até três membros da Congregation podem ser cooptados para o Council.</w:t>
            </w:r>
            <w:r w:rsidRPr="00485F85">
              <w:rPr>
                <w:rFonts w:asciiTheme="majorHAnsi" w:hAnsiTheme="majorHAnsi" w:cstheme="majorHAnsi"/>
              </w:rPr>
              <w:t xml:space="preserve"> Um dos Pro-Vice-Chancellors com pasta pode ser nomeado pelo Council como um de seus Deputy Chairs, caso em que, não seja membro do Council, preenche uma dessas vagas cooptadas enquanto são Deputy Chair. (</w:t>
            </w:r>
            <w:r w:rsidRPr="00485F85">
              <w:rPr>
                <w:rFonts w:asciiTheme="majorHAnsi" w:hAnsiTheme="majorHAnsi" w:cstheme="majorHAnsi"/>
                <w:b/>
                <w:bCs/>
              </w:rPr>
              <w:t>Três</w:t>
            </w:r>
            <w:r w:rsidRPr="00485F85">
              <w:rPr>
                <w:rFonts w:asciiTheme="majorHAnsi" w:hAnsiTheme="majorHAnsi" w:cstheme="majorHAnsi"/>
              </w:rPr>
              <w:t xml:space="preserve"> representantes estudantis, o representante da equipe de pesquisa em início de carreira, os Pro-Vice-Chancellors com pasta (que não são </w:t>
            </w:r>
            <w:r w:rsidRPr="00485F85">
              <w:rPr>
                <w:rFonts w:asciiTheme="majorHAnsi" w:hAnsiTheme="majorHAnsi" w:cstheme="majorHAnsi"/>
              </w:rPr>
              <w:lastRenderedPageBreak/>
              <w:t>membros do Council) e alguns oficiais, conforme estabelecido nas Council's Standing Orders)</w:t>
            </w:r>
          </w:p>
        </w:tc>
        <w:tc>
          <w:tcPr>
            <w:tcW w:w="2458" w:type="dxa"/>
            <w:vMerge/>
          </w:tcPr>
          <w:p w14:paraId="0174B33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4EE4FAB5"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1418" w:type="dxa"/>
          </w:tcPr>
          <w:p w14:paraId="535657DC" w14:textId="77777777" w:rsidR="001C5F76" w:rsidRPr="00485F85" w:rsidRDefault="001C5F76" w:rsidP="00BF497F">
            <w:pPr>
              <w:numPr>
                <w:ilvl w:val="1"/>
                <w:numId w:val="21"/>
              </w:numPr>
              <w:contextualSpacing/>
              <w:jc w:val="both"/>
              <w:rPr>
                <w:rFonts w:asciiTheme="majorHAnsi" w:hAnsiTheme="majorHAnsi" w:cstheme="majorHAnsi"/>
              </w:rPr>
            </w:pPr>
            <w:r w:rsidRPr="00485F85">
              <w:rPr>
                <w:rFonts w:asciiTheme="majorHAnsi" w:hAnsiTheme="majorHAnsi" w:cstheme="majorHAnsi"/>
              </w:rPr>
              <w:t xml:space="preserve">.1 Comitês que  apoiam o Council </w:t>
            </w:r>
          </w:p>
        </w:tc>
        <w:tc>
          <w:tcPr>
            <w:tcW w:w="1951" w:type="dxa"/>
            <w:gridSpan w:val="2"/>
          </w:tcPr>
          <w:p w14:paraId="32756F7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green"/>
              </w:rPr>
            </w:pPr>
            <w:r w:rsidRPr="00485F85">
              <w:rPr>
                <w:rFonts w:asciiTheme="majorHAnsi" w:hAnsiTheme="majorHAnsi" w:cstheme="majorHAnsi"/>
              </w:rPr>
              <w:t>Relação de Comitês</w:t>
            </w:r>
          </w:p>
        </w:tc>
        <w:tc>
          <w:tcPr>
            <w:tcW w:w="4003" w:type="dxa"/>
          </w:tcPr>
          <w:p w14:paraId="5E41C1D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Funções/ Atribuições</w:t>
            </w:r>
          </w:p>
        </w:tc>
        <w:tc>
          <w:tcPr>
            <w:tcW w:w="2458" w:type="dxa"/>
          </w:tcPr>
          <w:p w14:paraId="1BB6CD0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C54403" w14:paraId="18E8EDEC"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4172D82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DDC4229" w14:textId="77777777" w:rsidR="001C5F76" w:rsidRPr="00485F85" w:rsidRDefault="00A515B3"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14" w:history="1">
              <w:r w:rsidR="001C5F76" w:rsidRPr="00485F85">
                <w:rPr>
                  <w:rFonts w:asciiTheme="majorHAnsi" w:hAnsiTheme="majorHAnsi" w:cstheme="majorHAnsi"/>
                  <w:color w:val="3277AE"/>
                  <w:u w:val="single"/>
                  <w:shd w:val="clear" w:color="auto" w:fill="FFFFFF"/>
                </w:rPr>
                <w:t>Education Committee</w:t>
              </w:r>
            </w:hyperlink>
          </w:p>
          <w:p w14:paraId="35E31CD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green"/>
              </w:rPr>
            </w:pPr>
          </w:p>
          <w:p w14:paraId="64D697B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green"/>
              </w:rPr>
            </w:pPr>
          </w:p>
        </w:tc>
        <w:tc>
          <w:tcPr>
            <w:tcW w:w="4003" w:type="dxa"/>
          </w:tcPr>
          <w:p w14:paraId="1786E3A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é responsável por definir e manter sob revisão a filosofia educacional, política e padrões da universidade colegiada, e pela supervisão das atividades relacionadas ao ensino, aprendizagem e avaliação.</w:t>
            </w:r>
          </w:p>
          <w:p w14:paraId="2CD862E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56D43F" w14:textId="77777777" w:rsidR="001C5F76" w:rsidRPr="00485F85" w:rsidRDefault="00A515B3" w:rsidP="001C5F76">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444444"/>
              </w:rPr>
            </w:pPr>
            <w:hyperlink r:id="rId115" w:history="1">
              <w:r w:rsidR="001C5F76" w:rsidRPr="00485F85">
                <w:rPr>
                  <w:rFonts w:asciiTheme="majorHAnsi" w:hAnsiTheme="majorHAnsi" w:cstheme="majorHAnsi"/>
                  <w:color w:val="444444"/>
                  <w:sz w:val="29"/>
                  <w:szCs w:val="29"/>
                  <w:u w:val="single"/>
                  <w:shd w:val="clear" w:color="auto" w:fill="DCDCDC"/>
                </w:rPr>
                <w:br/>
              </w:r>
            </w:hyperlink>
          </w:p>
          <w:p w14:paraId="12191B5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683A1FF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rPr>
              <w:t xml:space="preserve">O Council é assessorado por uma série de comitês, incluindo cinco principais comitês que se reportam diretamente ao Council sobre os negócios principais da Universidade: the Education Committee, the General Purposes Committee, the Personnel Committee, the Planning and Resource Allocation Committee and the Research Committee. </w:t>
            </w:r>
            <w:r w:rsidRPr="00485F85">
              <w:rPr>
                <w:rFonts w:asciiTheme="majorHAnsi" w:hAnsiTheme="majorHAnsi" w:cstheme="majorHAnsi"/>
                <w:lang w:val="en-US"/>
              </w:rPr>
              <w:t>Financial and audit committees reporting directly to Council include the Audit and Scrutiny Committee, the Finance Committee and the Investment Committee.</w:t>
            </w:r>
          </w:p>
        </w:tc>
      </w:tr>
      <w:tr w:rsidR="001C5F76" w:rsidRPr="00485F85" w14:paraId="39FEB142"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3AFC2A23" w14:textId="77777777" w:rsidR="001C5F76" w:rsidRPr="00485F85" w:rsidRDefault="001C5F76" w:rsidP="001C5F76">
            <w:pPr>
              <w:contextualSpacing/>
              <w:jc w:val="both"/>
              <w:rPr>
                <w:rFonts w:asciiTheme="majorHAnsi" w:hAnsiTheme="majorHAnsi" w:cstheme="majorHAnsi"/>
                <w:lang w:val="en-US"/>
              </w:rPr>
            </w:pPr>
          </w:p>
        </w:tc>
        <w:tc>
          <w:tcPr>
            <w:tcW w:w="1951" w:type="dxa"/>
            <w:gridSpan w:val="2"/>
          </w:tcPr>
          <w:p w14:paraId="76E94B6A"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color w:val="444444"/>
                <w:shd w:val="clear" w:color="auto" w:fill="FFFFFF"/>
                <w:lang w:val="en-US"/>
              </w:rPr>
              <w:t> </w:t>
            </w:r>
            <w:hyperlink r:id="rId116" w:history="1">
              <w:r w:rsidRPr="00485F85">
                <w:rPr>
                  <w:rFonts w:asciiTheme="majorHAnsi" w:hAnsiTheme="majorHAnsi" w:cstheme="majorHAnsi"/>
                  <w:color w:val="3277AE"/>
                  <w:u w:val="single"/>
                  <w:shd w:val="clear" w:color="auto" w:fill="FFFFFF"/>
                </w:rPr>
                <w:t>General Purposes Committee</w:t>
              </w:r>
            </w:hyperlink>
            <w:r w:rsidRPr="00485F85">
              <w:rPr>
                <w:rFonts w:asciiTheme="majorHAnsi" w:hAnsiTheme="majorHAnsi" w:cstheme="majorHAnsi"/>
                <w:color w:val="444444"/>
                <w:shd w:val="clear" w:color="auto" w:fill="FFFFFF"/>
              </w:rPr>
              <w:t> </w:t>
            </w:r>
          </w:p>
          <w:p w14:paraId="6EFF256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green"/>
              </w:rPr>
            </w:pPr>
          </w:p>
        </w:tc>
        <w:tc>
          <w:tcPr>
            <w:tcW w:w="4003" w:type="dxa"/>
          </w:tcPr>
          <w:p w14:paraId="4D49EE7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Assessora o Council sobre a política em relação a questões ou atividades que abrangem toda a universidade e transcendem as atribuições dos outros comitês principais do Council ou de outros comitês especializados, conforme apropriado. Suas atribuições incluem a responsabilidade por questões estratégicas relacionadas à gestão de riscos.</w:t>
            </w:r>
          </w:p>
          <w:p w14:paraId="284DA77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461F4DF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391B89AE"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7AE2F11D"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F48D1F4" w14:textId="77777777" w:rsidR="001C5F76" w:rsidRPr="00485F85" w:rsidRDefault="00A515B3"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17" w:history="1">
              <w:r w:rsidR="001C5F76" w:rsidRPr="00485F85">
                <w:rPr>
                  <w:rFonts w:asciiTheme="majorHAnsi" w:hAnsiTheme="majorHAnsi" w:cstheme="majorHAnsi"/>
                  <w:color w:val="3277AE"/>
                  <w:u w:val="single"/>
                  <w:shd w:val="clear" w:color="auto" w:fill="FFFFFF"/>
                </w:rPr>
                <w:t>Personnel Committee</w:t>
              </w:r>
            </w:hyperlink>
          </w:p>
        </w:tc>
        <w:tc>
          <w:tcPr>
            <w:tcW w:w="4003" w:type="dxa"/>
          </w:tcPr>
          <w:p w14:paraId="57AB778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Supervisiona o desenvolvimento e a revisão das políticas de emprego, relações com o pessoal e todos os assuntos de pessoal.</w:t>
            </w:r>
          </w:p>
          <w:p w14:paraId="6816241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3472F48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096AE4F5"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707D993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D6CF934" w14:textId="77777777" w:rsidR="001C5F76" w:rsidRPr="00485F85" w:rsidRDefault="00A515B3"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hyperlink r:id="rId118" w:history="1">
              <w:r w:rsidR="001C5F76" w:rsidRPr="00485F85">
                <w:rPr>
                  <w:rFonts w:asciiTheme="majorHAnsi" w:hAnsiTheme="majorHAnsi" w:cstheme="majorHAnsi"/>
                  <w:color w:val="3277AE"/>
                  <w:u w:val="single"/>
                  <w:shd w:val="clear" w:color="auto" w:fill="FFFFFF"/>
                  <w:lang w:val="en-US"/>
                </w:rPr>
                <w:t>Planning and Resource Allocation Committee</w:t>
              </w:r>
            </w:hyperlink>
          </w:p>
        </w:tc>
        <w:tc>
          <w:tcPr>
            <w:tcW w:w="4003" w:type="dxa"/>
          </w:tcPr>
          <w:p w14:paraId="78A1085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Assessora o Council sobre planejamento, orçamentos e previsões, alocação de recursos e outras disposições financeiras, e monitora o desempenho em relação aos planos e orçamentos.</w:t>
            </w:r>
          </w:p>
          <w:p w14:paraId="54CA0A9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6605D93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5D45F889"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64DE338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B6C193D" w14:textId="77777777" w:rsidR="001C5F76" w:rsidRPr="00485F85" w:rsidRDefault="00A515B3"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19" w:history="1">
              <w:r w:rsidR="001C5F76" w:rsidRPr="00485F85">
                <w:rPr>
                  <w:rFonts w:asciiTheme="majorHAnsi" w:hAnsiTheme="majorHAnsi" w:cstheme="majorHAnsi"/>
                  <w:color w:val="3277AE"/>
                  <w:u w:val="single"/>
                  <w:shd w:val="clear" w:color="auto" w:fill="FFFFFF"/>
                </w:rPr>
                <w:t>Research Committee</w:t>
              </w:r>
            </w:hyperlink>
          </w:p>
        </w:tc>
        <w:tc>
          <w:tcPr>
            <w:tcW w:w="4003" w:type="dxa"/>
          </w:tcPr>
          <w:p w14:paraId="3D11066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Assessora o Council em questões de política e planejamento relacionadas à pesquisa - em particular, aqueles aspectos do Plano Estratégico que se relacionam com as atividades de pesquisa da Universidade, e analisa o progresso feito em relação ao Plano. O comitê facilita a preparação para revisões externas da pesquisa da Universidade e coordena a coleta de dados para tais revisões. O comitê é responsável pelas políticas e procedimentos da Universidade para custeio e precificação de pesquisas, incluindo recuperação econômica total de custos, riscos associados à pesquisa, e mantém um registro de acordos internacionais de colaboração de pesquisa dos quais a Universidade é parte.</w:t>
            </w:r>
          </w:p>
          <w:p w14:paraId="512FCE6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320DFA3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2B7E6BCF"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605C7BB4"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702A3B9" w14:textId="77777777" w:rsidR="001C5F76" w:rsidRPr="00485F85" w:rsidRDefault="00A515B3"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20" w:history="1">
              <w:r w:rsidR="001C5F76" w:rsidRPr="00485F85">
                <w:rPr>
                  <w:rFonts w:asciiTheme="majorHAnsi" w:hAnsiTheme="majorHAnsi" w:cstheme="majorHAnsi"/>
                  <w:color w:val="3277AE"/>
                  <w:u w:val="single"/>
                  <w:shd w:val="clear" w:color="auto" w:fill="FFFFFF"/>
                </w:rPr>
                <w:t>Audit and Scrutiny Committee</w:t>
              </w:r>
            </w:hyperlink>
          </w:p>
        </w:tc>
        <w:tc>
          <w:tcPr>
            <w:tcW w:w="4003" w:type="dxa"/>
          </w:tcPr>
          <w:p w14:paraId="1B4FC94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É responsável pela nomeação dos auditores externos e do serviço de auditoria interna, acordando a natureza e âmbito dos seus trabalhos e respectivos honorários. O comitê analisa a eficácia da gestão de risco, controles internos e mecanismos de governança, considera as demonstrações financeiras anuais e supervisiona a política de fraude e irregularidade. </w:t>
            </w:r>
            <w:r w:rsidRPr="00485F85">
              <w:rPr>
                <w:rFonts w:asciiTheme="majorHAnsi" w:hAnsiTheme="majorHAnsi" w:cstheme="majorHAnsi"/>
                <w:lang w:val="en-US"/>
              </w:rPr>
              <w:t xml:space="preserve">O comitê também recebe relatórios do Value for Money Committee e do Audit Committee of the Press. </w:t>
            </w:r>
            <w:r w:rsidRPr="00485F85">
              <w:rPr>
                <w:rFonts w:asciiTheme="majorHAnsi" w:hAnsiTheme="majorHAnsi" w:cstheme="majorHAnsi"/>
              </w:rPr>
              <w:t>Embora os oficiais seniores participem das reuniões do Audit and Scrutiny Committee, conforme necessário, eles não são membros do comitê.</w:t>
            </w:r>
          </w:p>
          <w:p w14:paraId="5EEA415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5BD8E96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05117DEB"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2BFAACC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4AC4350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Outros Conselhos de Diversas áreas da Universidade que apoiam o Council</w:t>
            </w:r>
          </w:p>
        </w:tc>
        <w:tc>
          <w:tcPr>
            <w:tcW w:w="4003" w:type="dxa"/>
          </w:tcPr>
          <w:p w14:paraId="643401D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A38B329" w14:textId="77777777" w:rsidR="001C5F76" w:rsidRPr="00485F85" w:rsidRDefault="00A515B3"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21" w:history="1">
              <w:r w:rsidR="001C5F76" w:rsidRPr="00485F85">
                <w:rPr>
                  <w:rFonts w:asciiTheme="majorHAnsi" w:hAnsiTheme="majorHAnsi" w:cstheme="majorHAnsi"/>
                  <w:color w:val="4875BD" w:themeColor="accent1"/>
                  <w:u w:val="single"/>
                </w:rPr>
                <w:t>https://governance.admin.ox.ac.uk/committees</w:t>
              </w:r>
            </w:hyperlink>
            <w:r w:rsidR="001C5F76" w:rsidRPr="00485F85">
              <w:rPr>
                <w:rFonts w:asciiTheme="majorHAnsi" w:hAnsiTheme="majorHAnsi" w:cstheme="majorHAnsi"/>
              </w:rPr>
              <w:t xml:space="preserve"> </w:t>
            </w:r>
          </w:p>
          <w:p w14:paraId="2C3DFBF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60F91FC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Existem outros comitês que se reportam ao Council e que são responsáveis por fazer a ponte entre as estruturas e a </w:t>
            </w:r>
            <w:r w:rsidRPr="00485F85">
              <w:rPr>
                <w:rFonts w:asciiTheme="majorHAnsi" w:hAnsiTheme="majorHAnsi" w:cstheme="majorHAnsi"/>
              </w:rPr>
              <w:lastRenderedPageBreak/>
              <w:t>Universidade Central.</w:t>
            </w:r>
          </w:p>
          <w:p w14:paraId="504513B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43E50DF2" w14:textId="77777777" w:rsidTr="00A206D5">
        <w:trPr>
          <w:trHeight w:val="547"/>
        </w:trPr>
        <w:tc>
          <w:tcPr>
            <w:cnfStyle w:val="001000000000" w:firstRow="0" w:lastRow="0" w:firstColumn="1" w:lastColumn="0" w:oddVBand="0" w:evenVBand="0" w:oddHBand="0" w:evenHBand="0" w:firstRowFirstColumn="0" w:firstRowLastColumn="0" w:lastRowFirstColumn="0" w:lastRowLastColumn="0"/>
            <w:tcW w:w="1418" w:type="dxa"/>
          </w:tcPr>
          <w:p w14:paraId="0B184337"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CD75A3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Comitês das Divisões Acadêmicas que também se reportam para o Council</w:t>
            </w:r>
          </w:p>
        </w:tc>
        <w:tc>
          <w:tcPr>
            <w:tcW w:w="4003" w:type="dxa"/>
          </w:tcPr>
          <w:p w14:paraId="2CACC38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AD5D9D2"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22" w:history="1">
              <w:r w:rsidR="001C5F76" w:rsidRPr="00485F85">
                <w:rPr>
                  <w:rFonts w:asciiTheme="majorHAnsi" w:hAnsiTheme="majorHAnsi" w:cstheme="majorHAnsi"/>
                  <w:color w:val="3277AE"/>
                  <w:u w:val="single"/>
                </w:rPr>
                <w:t>Humanities Divisional Board</w:t>
              </w:r>
            </w:hyperlink>
            <w:r w:rsidR="001C5F76" w:rsidRPr="00485F85">
              <w:rPr>
                <w:rFonts w:asciiTheme="majorHAnsi" w:hAnsiTheme="majorHAnsi" w:cstheme="majorHAnsi"/>
              </w:rPr>
              <w:t xml:space="preserve"> </w:t>
            </w:r>
          </w:p>
          <w:p w14:paraId="79124DF0"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E44EBBE"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23" w:history="1">
              <w:r w:rsidR="001C5F76" w:rsidRPr="00485F85">
                <w:rPr>
                  <w:rFonts w:asciiTheme="majorHAnsi" w:hAnsiTheme="majorHAnsi" w:cstheme="majorHAnsi"/>
                  <w:color w:val="3277AE"/>
                  <w:u w:val="single"/>
                </w:rPr>
                <w:t>Conselho de Divisão de Matemática, Física e Ciências da Vida</w:t>
              </w:r>
            </w:hyperlink>
            <w:r w:rsidR="001C5F76" w:rsidRPr="00485F85">
              <w:rPr>
                <w:rFonts w:asciiTheme="majorHAnsi" w:hAnsiTheme="majorHAnsi" w:cstheme="majorHAnsi"/>
              </w:rPr>
              <w:t xml:space="preserve"> </w:t>
            </w:r>
          </w:p>
          <w:p w14:paraId="4514C618"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9005A0A"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24" w:history="1">
              <w:r w:rsidR="001C5F76" w:rsidRPr="00485F85">
                <w:rPr>
                  <w:rFonts w:asciiTheme="majorHAnsi" w:hAnsiTheme="majorHAnsi" w:cstheme="majorHAnsi"/>
                  <w:color w:val="3277AE"/>
                  <w:u w:val="single"/>
                </w:rPr>
                <w:t>Conselho de Divisão de Ciências Médicas</w:t>
              </w:r>
            </w:hyperlink>
          </w:p>
          <w:p w14:paraId="2D8B0AE0"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A2CF3AA"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25" w:anchor="/?" w:history="1">
              <w:r w:rsidR="001C5F76" w:rsidRPr="00485F85">
                <w:rPr>
                  <w:rFonts w:asciiTheme="majorHAnsi" w:hAnsiTheme="majorHAnsi" w:cstheme="majorHAnsi"/>
                  <w:color w:val="3277AE"/>
                  <w:u w:val="single"/>
                </w:rPr>
                <w:t>Conselho de Divisão de Ciências Sociais</w:t>
              </w:r>
            </w:hyperlink>
          </w:p>
          <w:p w14:paraId="398C94C1"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1337B57"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F0FA08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658E58C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0F075D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Cada Divisão Acadêmica também tem o seu o Comitê e é essa estrutura que se liga com a Universidade Central.</w:t>
            </w:r>
          </w:p>
        </w:tc>
      </w:tr>
      <w:tr w:rsidR="001C5F76" w:rsidRPr="00485F85" w14:paraId="1BCC126B"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2" w:type="dxa"/>
            <w:gridSpan w:val="4"/>
          </w:tcPr>
          <w:p w14:paraId="4554E524" w14:textId="77777777" w:rsidR="001C5F76" w:rsidRPr="00485F85" w:rsidRDefault="001C5F76" w:rsidP="001C5F76">
            <w:pPr>
              <w:contextualSpacing/>
              <w:jc w:val="both"/>
              <w:rPr>
                <w:rFonts w:asciiTheme="majorHAnsi" w:hAnsiTheme="majorHAnsi" w:cstheme="majorHAnsi"/>
              </w:rPr>
            </w:pPr>
          </w:p>
        </w:tc>
        <w:tc>
          <w:tcPr>
            <w:tcW w:w="2458" w:type="dxa"/>
          </w:tcPr>
          <w:p w14:paraId="64E762F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C5F9692" w14:textId="77777777" w:rsidTr="00A206D5">
        <w:trPr>
          <w:trHeight w:val="358"/>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7EEB5C4C" w14:textId="77777777" w:rsidR="001C5F76" w:rsidRPr="00485F85" w:rsidRDefault="001C5F76" w:rsidP="001C5F76">
            <w:pPr>
              <w:jc w:val="both"/>
              <w:rPr>
                <w:rFonts w:asciiTheme="majorHAnsi" w:hAnsiTheme="majorHAnsi" w:cstheme="majorHAnsi"/>
              </w:rPr>
            </w:pPr>
            <w:r w:rsidRPr="00485F85">
              <w:rPr>
                <w:rFonts w:asciiTheme="majorHAnsi" w:hAnsiTheme="majorHAnsi" w:cstheme="majorHAnsi"/>
              </w:rPr>
              <w:t>1.2. Reitoria</w:t>
            </w:r>
          </w:p>
          <w:p w14:paraId="2640D01D" w14:textId="77777777" w:rsidR="001C5F76" w:rsidRPr="00485F85" w:rsidRDefault="001C5F76" w:rsidP="001C5F76">
            <w:pPr>
              <w:jc w:val="both"/>
              <w:rPr>
                <w:rFonts w:asciiTheme="majorHAnsi" w:hAnsiTheme="majorHAnsi" w:cstheme="majorHAnsi"/>
              </w:rPr>
            </w:pPr>
            <w:r w:rsidRPr="00485F85">
              <w:rPr>
                <w:rFonts w:asciiTheme="majorHAnsi" w:hAnsiTheme="majorHAnsi" w:cstheme="majorHAnsi"/>
              </w:rPr>
              <w:t>(Chancellor)</w:t>
            </w:r>
          </w:p>
          <w:p w14:paraId="1F7CAFCB" w14:textId="77777777" w:rsidR="001C5F76" w:rsidRPr="00485F85" w:rsidRDefault="001C5F76" w:rsidP="001C5F76">
            <w:pPr>
              <w:jc w:val="both"/>
              <w:rPr>
                <w:rFonts w:asciiTheme="majorHAnsi" w:hAnsiTheme="majorHAnsi" w:cstheme="majorHAnsi"/>
              </w:rPr>
            </w:pPr>
          </w:p>
          <w:p w14:paraId="0D70CEA0" w14:textId="77777777" w:rsidR="001C5F76" w:rsidRPr="00485F85" w:rsidRDefault="001C5F76" w:rsidP="001C5F76">
            <w:pPr>
              <w:jc w:val="both"/>
              <w:rPr>
                <w:rFonts w:asciiTheme="majorHAnsi" w:hAnsiTheme="majorHAnsi" w:cstheme="majorHAnsi"/>
              </w:rPr>
            </w:pPr>
          </w:p>
          <w:p w14:paraId="3BB3755D"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EAA553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Forma de indicação</w:t>
            </w:r>
          </w:p>
        </w:tc>
        <w:tc>
          <w:tcPr>
            <w:tcW w:w="4003" w:type="dxa"/>
          </w:tcPr>
          <w:p w14:paraId="1792FB9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Tempo de mandato</w:t>
            </w:r>
          </w:p>
        </w:tc>
        <w:tc>
          <w:tcPr>
            <w:tcW w:w="2458" w:type="dxa"/>
            <w:vMerge w:val="restart"/>
          </w:tcPr>
          <w:p w14:paraId="7CC9972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CB8BD2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363EA46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Geralmente é uma figura pública eminente que atua como chefe titular da Universidade, presidindo todas as cerimônias importantes.</w:t>
            </w:r>
          </w:p>
          <w:p w14:paraId="1C3574E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Contudo, o chefe executivo da Instituição é o Vice-Chancellor.</w:t>
            </w:r>
          </w:p>
          <w:p w14:paraId="49D1D2CD"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É ele o principal oficial acadêmico e administrativo da Universidade. São eleitos pela Congregação para cargos de cinco anos, podendo ser prorrogados por mais dois anos. O Vice- Chancellor fornece estratégias, direção e liderança para a universidade colegiada. Eles presidem o Council e outros órgãos principais da Universidade, e nomeiam deputados para presidir outros. Garantir que a governança, gestão e administração da universidade colegiada sejam eficientes e eficazes, eles trabalham </w:t>
            </w:r>
            <w:r w:rsidRPr="00485F85">
              <w:rPr>
                <w:rFonts w:asciiTheme="majorHAnsi" w:hAnsiTheme="majorHAnsi" w:cstheme="majorHAnsi"/>
              </w:rPr>
              <w:lastRenderedPageBreak/>
              <w:t>em estreita colaboração com o Council, a Congregation, as Divisões Acadêmicas e os Colleges.</w:t>
            </w:r>
          </w:p>
          <w:p w14:paraId="1190CE0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B3BB36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3217A41F"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vMerge/>
          </w:tcPr>
          <w:p w14:paraId="3A203296"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0416C4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Elections by Convocation: consiste em todos os ex-alunos membros da Universidade que foram admitidos a um grau (exceto um grau honorário) da Universidade, e de quaisquer outras pessoas que são membros da Congregation ou que se aposentaram por terem sido membros da Congregation na data de sua aposentadoria. Para ser um membro da Convocação, a pessoa deve ter seu diploma conferido, pessoalmente ou à revelia, em uma cerimônia oficial de graduação.</w:t>
            </w:r>
          </w:p>
          <w:p w14:paraId="68E393B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DA6CEF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003" w:type="dxa"/>
          </w:tcPr>
          <w:p w14:paraId="035EA8C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Vitalício</w:t>
            </w:r>
          </w:p>
        </w:tc>
        <w:tc>
          <w:tcPr>
            <w:tcW w:w="2458" w:type="dxa"/>
            <w:vMerge/>
          </w:tcPr>
          <w:p w14:paraId="617DCC6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179CC783"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val="restart"/>
          </w:tcPr>
          <w:p w14:paraId="50001A25" w14:textId="77777777" w:rsidR="001C5F76" w:rsidRPr="00485F85" w:rsidRDefault="001C5F76" w:rsidP="00BF497F">
            <w:pPr>
              <w:numPr>
                <w:ilvl w:val="1"/>
                <w:numId w:val="4"/>
              </w:numPr>
              <w:tabs>
                <w:tab w:val="clear" w:pos="1615"/>
              </w:tabs>
              <w:contextualSpacing/>
              <w:jc w:val="both"/>
              <w:rPr>
                <w:rFonts w:asciiTheme="majorHAnsi" w:hAnsiTheme="majorHAnsi" w:cstheme="majorHAnsi"/>
              </w:rPr>
            </w:pPr>
            <w:r w:rsidRPr="00485F85">
              <w:rPr>
                <w:rFonts w:asciiTheme="majorHAnsi" w:hAnsiTheme="majorHAnsi" w:cstheme="majorHAnsi"/>
              </w:rPr>
              <w:t>Pró-Reitorias</w:t>
            </w:r>
          </w:p>
          <w:p w14:paraId="2EF7D1F6" w14:textId="77777777" w:rsidR="001C5F76" w:rsidRPr="00485F85" w:rsidRDefault="001C5F76" w:rsidP="001C5F76">
            <w:pPr>
              <w:tabs>
                <w:tab w:val="clear" w:pos="1615"/>
              </w:tabs>
              <w:jc w:val="both"/>
              <w:rPr>
                <w:rFonts w:asciiTheme="majorHAnsi" w:hAnsiTheme="majorHAnsi" w:cstheme="majorHAnsi"/>
              </w:rPr>
            </w:pPr>
          </w:p>
        </w:tc>
        <w:tc>
          <w:tcPr>
            <w:tcW w:w="1951" w:type="dxa"/>
            <w:gridSpan w:val="2"/>
          </w:tcPr>
          <w:p w14:paraId="743EA00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Relação de Pró-Reitoras ou correspondente</w:t>
            </w:r>
          </w:p>
        </w:tc>
        <w:tc>
          <w:tcPr>
            <w:tcW w:w="4003" w:type="dxa"/>
          </w:tcPr>
          <w:p w14:paraId="218D5E2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Funções/ Atribuições</w:t>
            </w:r>
          </w:p>
        </w:tc>
        <w:tc>
          <w:tcPr>
            <w:tcW w:w="2458" w:type="dxa"/>
            <w:vMerge w:val="restart"/>
          </w:tcPr>
          <w:p w14:paraId="476271C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26B30D0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E07681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 divisões Acadêmicas são as que mais se aproximam do nosso conceito de Pró-Reitorias no país. Cada divisão acadêmica encampa Institutos, Departamentos ou laboratórios e são responsáveis por gerenciar de forma autônoma as pessoas, os recursos e os cursos, faculdades, Institutos e Departamentos a eles conectados.</w:t>
            </w:r>
          </w:p>
          <w:p w14:paraId="3D30E3B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C71F33" w14:paraId="4130338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749EB2D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740FD64"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4875BD" w:themeColor="accent1"/>
                <w:u w:val="single"/>
                <w:lang w:val="es-ES"/>
              </w:rPr>
            </w:pPr>
            <w:r w:rsidRPr="00485F85">
              <w:rPr>
                <w:rFonts w:asciiTheme="majorHAnsi" w:hAnsiTheme="majorHAnsi" w:cstheme="majorHAnsi"/>
                <w:lang w:val="es-ES"/>
              </w:rPr>
              <w:fldChar w:fldCharType="begin"/>
            </w:r>
            <w:r w:rsidRPr="00485F85">
              <w:rPr>
                <w:rFonts w:asciiTheme="majorHAnsi" w:hAnsiTheme="majorHAnsi" w:cstheme="majorHAnsi"/>
                <w:lang w:val="es-ES"/>
              </w:rPr>
              <w:instrText xml:space="preserve"> HYPERLINK "http://www.humanities.ox.ac.uk" </w:instrText>
            </w:r>
            <w:r w:rsidRPr="00485F85">
              <w:rPr>
                <w:rFonts w:asciiTheme="majorHAnsi" w:hAnsiTheme="majorHAnsi" w:cstheme="majorHAnsi"/>
                <w:lang w:val="es-ES"/>
              </w:rPr>
              <w:fldChar w:fldCharType="separate"/>
            </w:r>
            <w:r w:rsidRPr="00485F85">
              <w:rPr>
                <w:rFonts w:asciiTheme="majorHAnsi" w:hAnsiTheme="majorHAnsi" w:cstheme="majorHAnsi"/>
                <w:color w:val="4875BD" w:themeColor="accent1"/>
                <w:u w:val="single"/>
                <w:lang w:val="es-ES"/>
              </w:rPr>
              <w:t xml:space="preserve">Humanities Division </w:t>
            </w:r>
          </w:p>
          <w:p w14:paraId="634599D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fldChar w:fldCharType="end"/>
            </w:r>
          </w:p>
        </w:tc>
        <w:tc>
          <w:tcPr>
            <w:tcW w:w="4003" w:type="dxa"/>
          </w:tcPr>
          <w:p w14:paraId="002C26B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n-US"/>
              </w:rPr>
              <w:t xml:space="preserve">Reúne nove faculdades e a Ruskin School of Art. </w:t>
            </w:r>
            <w:r w:rsidRPr="00485F85">
              <w:rPr>
                <w:rFonts w:asciiTheme="majorHAnsi" w:hAnsiTheme="majorHAnsi" w:cstheme="majorHAnsi"/>
              </w:rPr>
              <w:t>As faculdades estão entre as maiores do mundo, permitindo que Oxford ofereça uma educação em Artes e Humanidades incomparável em sua gama de assuntos, desde música e belas artes até línguas antigas e modernas.</w:t>
            </w:r>
          </w:p>
          <w:p w14:paraId="38D5671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DE08A7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O que ela oferece:</w:t>
            </w:r>
          </w:p>
          <w:p w14:paraId="5A2CC66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ensino e pesquisa de nível mundial, com ênfase crescente no estudo interdisciplinar,</w:t>
            </w:r>
          </w:p>
          <w:p w14:paraId="02C543A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excelentes bibliotecas e museus, incluindo,</w:t>
            </w:r>
          </w:p>
          <w:p w14:paraId="64C1216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 Biblioteca Bodleiana com 11 milhões de volumes e coleções inestimáveis ​​de livros e manuscritos,</w:t>
            </w:r>
          </w:p>
          <w:p w14:paraId="602B4E0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Museu Ashmolean de Arte e Arqueologia,</w:t>
            </w:r>
          </w:p>
          <w:p w14:paraId="785E2D33"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FF8ED9F" w14:textId="77777777" w:rsidR="001C5F76" w:rsidRPr="00485F85" w:rsidRDefault="001C5F76" w:rsidP="001C5F76">
            <w:pPr>
              <w:tabs>
                <w:tab w:val="clear" w:pos="1615"/>
              </w:tabs>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BC0BC6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lang w:val="es-ES"/>
              </w:rPr>
            </w:pPr>
            <w:r w:rsidRPr="00485F85">
              <w:rPr>
                <w:rFonts w:asciiTheme="majorHAnsi" w:hAnsiTheme="majorHAnsi" w:cstheme="majorHAnsi"/>
                <w:b/>
                <w:bCs/>
                <w:lang w:val="es-ES"/>
              </w:rPr>
              <w:t>Departments, faculties and centres:</w:t>
            </w:r>
          </w:p>
          <w:p w14:paraId="4C08E534"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American Institute, Rothermere</w:t>
            </w:r>
          </w:p>
          <w:p w14:paraId="0C4DECA9"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Art, Ruskin School of</w:t>
            </w:r>
          </w:p>
          <w:p w14:paraId="247CD109"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Classics, Faculty of</w:t>
            </w:r>
          </w:p>
          <w:p w14:paraId="636BFE3D"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English Language and Literature, Faculty of</w:t>
            </w:r>
          </w:p>
          <w:p w14:paraId="41055E4D"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History, Faculty of</w:t>
            </w:r>
          </w:p>
          <w:p w14:paraId="05FF7848"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History of Art department</w:t>
            </w:r>
          </w:p>
          <w:p w14:paraId="34B6207F"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Linguistics, Philology &amp; Phonetics, Faculty of</w:t>
            </w:r>
          </w:p>
          <w:p w14:paraId="4A0986C5"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Medieval and Modern Languages, Faculty of</w:t>
            </w:r>
          </w:p>
          <w:p w14:paraId="6A841D37"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Music, Faculty of</w:t>
            </w:r>
          </w:p>
          <w:p w14:paraId="6961A52A"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Oriental Studies, Faculty of</w:t>
            </w:r>
          </w:p>
          <w:p w14:paraId="620A2275"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Philosophy, Faculty of</w:t>
            </w:r>
          </w:p>
          <w:p w14:paraId="39D8D96A"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Theology and Religion, Faculty of</w:t>
            </w:r>
          </w:p>
          <w:p w14:paraId="4F199B76"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TORCH | The Oxford Research Centre in the Humanities</w:t>
            </w:r>
          </w:p>
          <w:p w14:paraId="246DE38C" w14:textId="77777777" w:rsidR="001C5F76" w:rsidRPr="00485F85" w:rsidRDefault="001C5F76" w:rsidP="00BF497F">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Voltaire Foundation </w:t>
            </w:r>
          </w:p>
          <w:p w14:paraId="26BF37F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0D3E5B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lastRenderedPageBreak/>
              <w:t>Comitês Chave que dão suporte à divisão</w:t>
            </w:r>
          </w:p>
          <w:p w14:paraId="2C205A2D"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Graduate Studies Committee</w:t>
            </w:r>
          </w:p>
          <w:p w14:paraId="703028C4"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Undergraduate Studies Committee</w:t>
            </w:r>
          </w:p>
          <w:p w14:paraId="0298DECB"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Education Development Panel</w:t>
            </w:r>
          </w:p>
          <w:p w14:paraId="3DA7C153"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Planning and Resources Committee</w:t>
            </w:r>
          </w:p>
          <w:p w14:paraId="67B0741B"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IT Forum</w:t>
            </w:r>
          </w:p>
          <w:p w14:paraId="77631050"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Personnel Panel</w:t>
            </w:r>
          </w:p>
          <w:p w14:paraId="2E75CB78" w14:textId="77777777" w:rsidR="001C5F76" w:rsidRPr="00485F85" w:rsidRDefault="001C5F76" w:rsidP="00BF497F">
            <w:pPr>
              <w:numPr>
                <w:ilvl w:val="0"/>
                <w:numId w:val="5"/>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Research Committee</w:t>
            </w:r>
          </w:p>
          <w:p w14:paraId="780B7E8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C02DDC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02431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Divisional Office</w:t>
            </w:r>
            <w:r w:rsidRPr="00485F85">
              <w:rPr>
                <w:rFonts w:asciiTheme="majorHAnsi" w:hAnsiTheme="majorHAnsi" w:cstheme="majorHAnsi"/>
              </w:rPr>
              <w:t xml:space="preserve"> </w:t>
            </w:r>
          </w:p>
          <w:p w14:paraId="02D51E6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rPr>
              <w:t xml:space="preserve">Apoia as atividades da Humanities Division e dos Head of Division. É composto por cinco times - Planning, Resources and Personnel; Education and Training; Research Support; Finance; Development – serve de elo entre a Universidade central as Humanities faculties, garantindo que as faculdades cumprem os requisitos da Universidade, ao mesmo tempo que representa centralmente os interesses da coletividade das faculties. </w:t>
            </w:r>
            <w:r w:rsidRPr="00485F85">
              <w:rPr>
                <w:rFonts w:asciiTheme="majorHAnsi" w:hAnsiTheme="majorHAnsi" w:cstheme="majorHAnsi"/>
                <w:lang w:val="en-US"/>
              </w:rPr>
              <w:t>O Divisional Office também apoia o Divisional Board e committees of the Board.</w:t>
            </w:r>
          </w:p>
          <w:p w14:paraId="44FB323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73C29D6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c>
          <w:tcPr>
            <w:tcW w:w="2458" w:type="dxa"/>
            <w:vMerge/>
          </w:tcPr>
          <w:p w14:paraId="0C1C9FE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r>
      <w:tr w:rsidR="001C5F76" w:rsidRPr="00485F85" w14:paraId="7FC47766"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713548C9" w14:textId="77777777" w:rsidR="001C5F76" w:rsidRPr="00485F85" w:rsidRDefault="001C5F76" w:rsidP="001C5F76">
            <w:pPr>
              <w:contextualSpacing/>
              <w:jc w:val="both"/>
              <w:rPr>
                <w:rFonts w:asciiTheme="majorHAnsi" w:hAnsiTheme="majorHAnsi" w:cstheme="majorHAnsi"/>
                <w:lang w:val="en-US"/>
              </w:rPr>
            </w:pPr>
          </w:p>
        </w:tc>
        <w:tc>
          <w:tcPr>
            <w:tcW w:w="1951" w:type="dxa"/>
            <w:gridSpan w:val="2"/>
          </w:tcPr>
          <w:p w14:paraId="24362E33"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4875BD" w:themeColor="accent1"/>
                <w:u w:val="single"/>
                <w:lang w:val="es-ES"/>
              </w:rPr>
            </w:pPr>
            <w:r w:rsidRPr="00485F85">
              <w:rPr>
                <w:rFonts w:asciiTheme="majorHAnsi" w:hAnsiTheme="majorHAnsi" w:cstheme="majorHAnsi"/>
                <w:lang w:val="es-ES"/>
              </w:rPr>
              <w:fldChar w:fldCharType="begin"/>
            </w:r>
            <w:r w:rsidRPr="00485F85">
              <w:rPr>
                <w:rFonts w:asciiTheme="majorHAnsi" w:hAnsiTheme="majorHAnsi" w:cstheme="majorHAnsi"/>
                <w:lang w:val="es-ES"/>
              </w:rPr>
              <w:instrText xml:space="preserve"> HYPERLINK "http://www.mpls.ox.ac.uk" </w:instrText>
            </w:r>
            <w:r w:rsidRPr="00485F85">
              <w:rPr>
                <w:rFonts w:asciiTheme="majorHAnsi" w:hAnsiTheme="majorHAnsi" w:cstheme="majorHAnsi"/>
                <w:lang w:val="es-ES"/>
              </w:rPr>
              <w:fldChar w:fldCharType="separate"/>
            </w:r>
            <w:r w:rsidRPr="00485F85">
              <w:rPr>
                <w:rFonts w:asciiTheme="majorHAnsi" w:hAnsiTheme="majorHAnsi" w:cstheme="majorHAnsi"/>
                <w:color w:val="4875BD" w:themeColor="accent1"/>
                <w:u w:val="single"/>
                <w:lang w:val="es-ES"/>
              </w:rPr>
              <w:t xml:space="preserve">Mathematical, Physical &amp; Life Sciences Division </w:t>
            </w:r>
          </w:p>
          <w:p w14:paraId="4D9712A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fldChar w:fldCharType="end"/>
            </w:r>
          </w:p>
        </w:tc>
        <w:tc>
          <w:tcPr>
            <w:tcW w:w="4003" w:type="dxa"/>
          </w:tcPr>
          <w:p w14:paraId="37B3460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391EDE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Os 10 departamentos MPLS abrangem todo o espectro das ciências matemáticas, computacionais, físicas, de engenharia e da vida, e realizam pesquisas fundamentais e trabalhos aplicados de ponta. A pesquisa em MPLS aborda os principais desafios sociais e tecnológicos - seja desenvolvendo novas soluções de energia ou melhores tratamentos contra o câncer, compreendendo os processos de mudança climática ou ajudando a preservar a biodiversidade, e está cada vez mais focada nas principais questões interdisciplinares. Colaboramos de perto com colegas em Oxford nas  ciências médicas , ciências sociais e humanas, e com outras universidades, organizações de pesquisa e parceiros industriais em todo o mundo em busca de pesquisas inovadoras voltadas para abordar questões científicas fundamentais e </w:t>
            </w:r>
            <w:r w:rsidRPr="00485F85">
              <w:rPr>
                <w:rFonts w:asciiTheme="majorHAnsi" w:hAnsiTheme="majorHAnsi" w:cstheme="majorHAnsi"/>
              </w:rPr>
              <w:lastRenderedPageBreak/>
              <w:t>críticas.</w:t>
            </w:r>
          </w:p>
          <w:p w14:paraId="405FB63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2DD4D8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O que ela oferece:</w:t>
            </w:r>
          </w:p>
          <w:p w14:paraId="6EF49BD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Contato com a indústria</w:t>
            </w:r>
          </w:p>
          <w:p w14:paraId="390C93B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Filantropia</w:t>
            </w:r>
          </w:p>
          <w:p w14:paraId="328B243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Igualdade, Diversidade e Inclusão</w:t>
            </w:r>
          </w:p>
          <w:p w14:paraId="1EF8A12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Recursos de estudo de pós-graduação</w:t>
            </w:r>
          </w:p>
          <w:p w14:paraId="434A385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Recursos de estudo de graduação</w:t>
            </w:r>
          </w:p>
          <w:p w14:paraId="11605B2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Recursos de pesquisa</w:t>
            </w:r>
          </w:p>
          <w:p w14:paraId="38953F6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Ensino, aprendizagem e supervisão</w:t>
            </w:r>
          </w:p>
          <w:p w14:paraId="50AD5B2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Desenvolvimento de carreira, treinamento e empresa</w:t>
            </w:r>
          </w:p>
          <w:p w14:paraId="258DFA9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Engajamento público com pesquisa</w:t>
            </w:r>
          </w:p>
          <w:p w14:paraId="52D391D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Recursos de comunicação para funcionários e alunos</w:t>
            </w:r>
          </w:p>
          <w:p w14:paraId="198F42F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Serviços e recursos administrativos</w:t>
            </w:r>
          </w:p>
          <w:p w14:paraId="2808F7B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B13F63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7DA0B9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Departments, faculties and centres:</w:t>
            </w:r>
          </w:p>
          <w:p w14:paraId="12FBE89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6516B3EF"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Begbroke Science Park</w:t>
            </w:r>
          </w:p>
          <w:p w14:paraId="3301B1D0"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Chemistry, Department of</w:t>
            </w:r>
          </w:p>
          <w:p w14:paraId="630F582B"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Computer Science, Department of</w:t>
            </w:r>
          </w:p>
          <w:p w14:paraId="5EB66121"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Doctoral Training Centre</w:t>
            </w:r>
          </w:p>
          <w:p w14:paraId="15B92454"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Earth Sciences, Department of</w:t>
            </w:r>
          </w:p>
          <w:p w14:paraId="7AB36F39"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Engineering Science, Department of</w:t>
            </w:r>
          </w:p>
          <w:p w14:paraId="50BECD33"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Materials, Department of</w:t>
            </w:r>
          </w:p>
          <w:p w14:paraId="42D30228"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Mathematical Institute</w:t>
            </w:r>
          </w:p>
          <w:p w14:paraId="34069033"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Physics, Department of</w:t>
            </w:r>
          </w:p>
          <w:p w14:paraId="7AD6BBEE"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Plant Sciences, Department of</w:t>
            </w:r>
          </w:p>
          <w:p w14:paraId="1AF49DA3"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Statistics, Department of</w:t>
            </w:r>
          </w:p>
          <w:p w14:paraId="35503994" w14:textId="77777777" w:rsidR="001C5F76" w:rsidRPr="00485F85" w:rsidRDefault="001C5F76" w:rsidP="00BF497F">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Zoology, Department of</w:t>
            </w:r>
          </w:p>
          <w:p w14:paraId="61BDA18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s-ES"/>
              </w:rPr>
            </w:pPr>
          </w:p>
          <w:p w14:paraId="42EBA6A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s-ES"/>
              </w:rPr>
            </w:pPr>
          </w:p>
          <w:p w14:paraId="6565BF0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Comitês Chave que dão suporte à divisão</w:t>
            </w:r>
          </w:p>
          <w:p w14:paraId="0B5EE96F" w14:textId="77777777" w:rsidR="001C5F76" w:rsidRPr="00485F85" w:rsidRDefault="001C5F76" w:rsidP="001C5F76">
            <w:pPr>
              <w:ind w:left="7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532DF208"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FINANCE</w:t>
            </w:r>
          </w:p>
          <w:p w14:paraId="24AB0B47"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RESEARCH</w:t>
            </w:r>
          </w:p>
          <w:p w14:paraId="50DC6B9F"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EQUALITY AND DIVERSITY</w:t>
            </w:r>
          </w:p>
          <w:p w14:paraId="3319A1E2"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EDUCATION AND STUDENTS</w:t>
            </w:r>
          </w:p>
          <w:p w14:paraId="79641CE3"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HR</w:t>
            </w:r>
          </w:p>
          <w:p w14:paraId="10B51CBD"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Committee for Library Provision and Strategy (CliPS)</w:t>
            </w:r>
          </w:p>
          <w:p w14:paraId="0F1C4446"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Experimental Sciences Safety Forum</w:t>
            </w:r>
          </w:p>
          <w:p w14:paraId="4A73DB17"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ICT Panel</w:t>
            </w:r>
          </w:p>
          <w:p w14:paraId="59A8DAE5"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Bridging Steering Group</w:t>
            </w:r>
          </w:p>
          <w:p w14:paraId="3DE25F5B" w14:textId="77777777" w:rsidR="001C5F76" w:rsidRPr="00485F85" w:rsidRDefault="001C5F76" w:rsidP="00BF497F">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CDT Directors Forum</w:t>
            </w:r>
          </w:p>
          <w:p w14:paraId="3070E99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76BD52C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581D03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lastRenderedPageBreak/>
              <w:t>Divisional Office</w:t>
            </w:r>
          </w:p>
          <w:p w14:paraId="6C0A8EBE"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Fornecer liderança e agir como defensores de seu agrupamento cognato em todos os níveis da Universidade e externamente</w:t>
            </w:r>
          </w:p>
          <w:p w14:paraId="6C12EF61"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Coordenar e intermediar relacionamentos e iniciativas de atendimento em toda a divisão, com outras divisões, com outros órgãos da Universidade, faculdades e com parceiros externos, chegando a um acordo sobre as prioridades divisionais conforme necessário</w:t>
            </w:r>
          </w:p>
          <w:p w14:paraId="2D764CDB"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Apoiar e aconselhar departamentos e faculdades constituintes em todas as áreas da atividade acadêmica</w:t>
            </w:r>
          </w:p>
          <w:p w14:paraId="2E6F47B3"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Fazer a ligação e trabalhar junto com os escritórios administrativos centrais da universidade na promoção de estratégias e políticas institucionais </w:t>
            </w:r>
          </w:p>
          <w:p w14:paraId="7E1E6535"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Gerenciar  uma variedade de funções operacionais de apoio à atividade departamental, por exemplo, marcar compromissos acadêmicos; executando contas de treinamento de doutorado</w:t>
            </w:r>
          </w:p>
          <w:p w14:paraId="6F1D9185"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Colaborar  com grupos e órgãos externos relevantes em questões de interesse divisionário (por exemplo, patrocinadores de pesquisa, associações disciplinares, doadores e outras partes externas interessadas)</w:t>
            </w:r>
          </w:p>
          <w:p w14:paraId="5C64917A" w14:textId="77777777" w:rsidR="001C5F76" w:rsidRPr="00485F85" w:rsidRDefault="001C5F76" w:rsidP="00BF497F">
            <w:pPr>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Fornecer à equipe trabalho  para garantir que as responsabilidades estatutárias do conselho divisional sejam realizadas</w:t>
            </w:r>
          </w:p>
          <w:p w14:paraId="192DE06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10064BD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5C979BE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F455E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3356D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3A4F67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A8F36C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3352F1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A5C1AB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A7989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38B251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C19CE3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0A354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3A9EDE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917C6D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03370B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076AFD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4454CE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1A5560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EE1FEE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EFD55F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7D6A67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0BDDC2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EB2CC3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C50EE8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7DAF41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5D2E62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6D4512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A3AA0C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637017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740A9F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6C46FB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8FED8A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3C9A32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985FDD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469058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C065B7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AEEF5D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C5AE3C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5E0D72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DAAE42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FFFCF6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3C5CDA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66F9B7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2AB301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C60CDB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8C13D9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864048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00F481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4DCDB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4DA794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C6BFD7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5E7F2E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E5D9F7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8BB90A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EA8B97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9DF2A6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16A58A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7D8EBF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7E0697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73C0B2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5856F4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B09C3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08C39D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E93B37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358A53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AC6DF4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A71B99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7EA5C5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4E4E77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C8FCDA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3D1D71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435492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B440EB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CF49EF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F83AE4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9C1519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86548C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Divisional Office</w:t>
            </w:r>
          </w:p>
          <w:p w14:paraId="30A5080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rPr>
              <w:t>Essas atividades são realizadas em colaboração e consulta com órgãos departamentais, faculdades e universidades centrais, conforme apropriado. As implicações operacionais dessas responsabilidades importantes aumentaram muito substancialmente desde que as divisões foram criadas pela primeira vez desde 2000</w:t>
            </w:r>
            <w:r w:rsidRPr="00485F85">
              <w:rPr>
                <w:rFonts w:asciiTheme="majorHAnsi" w:hAnsiTheme="majorHAnsi" w:cstheme="majorHAnsi"/>
                <w:b/>
                <w:bCs/>
              </w:rPr>
              <w:t>.</w:t>
            </w:r>
          </w:p>
          <w:p w14:paraId="4631CE4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46E73D0"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2F2587E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4DDC8350" w14:textId="77777777" w:rsidR="001C5F76" w:rsidRPr="00485F85" w:rsidRDefault="00A515B3"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hyperlink r:id="rId126" w:history="1">
              <w:r w:rsidR="001C5F76" w:rsidRPr="00485F85">
                <w:rPr>
                  <w:rFonts w:asciiTheme="majorHAnsi" w:hAnsiTheme="majorHAnsi" w:cstheme="majorHAnsi"/>
                  <w:color w:val="4875BD" w:themeColor="accent1"/>
                  <w:u w:val="single"/>
                  <w:lang w:val="es-ES"/>
                </w:rPr>
                <w:t>Medical Sciences Division</w:t>
              </w:r>
            </w:hyperlink>
            <w:r w:rsidR="001C5F76" w:rsidRPr="00485F85">
              <w:rPr>
                <w:rFonts w:asciiTheme="majorHAnsi" w:hAnsiTheme="majorHAnsi" w:cstheme="majorHAnsi"/>
                <w:lang w:val="es-ES"/>
              </w:rPr>
              <w:t xml:space="preserve"> </w:t>
            </w:r>
          </w:p>
          <w:p w14:paraId="1FA6635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003" w:type="dxa"/>
          </w:tcPr>
          <w:p w14:paraId="4D3DBAD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Ser a melhor instituição biomédica universidade na Europa e entre as cinco melhores instituições biomédicas do mundo, e tem sido classificada como número um nos últimos anos dez na Educa Times Higher t ion Mundial University Rankings para clínica, pré-clínica e ciências da saúde - a única instituição não norte-americana a ser </w:t>
            </w:r>
            <w:r w:rsidRPr="00485F85">
              <w:rPr>
                <w:rFonts w:asciiTheme="majorHAnsi" w:hAnsiTheme="majorHAnsi" w:cstheme="majorHAnsi"/>
              </w:rPr>
              <w:lastRenderedPageBreak/>
              <w:t>bem avaliada pela THE em qualquer disciplina .</w:t>
            </w:r>
          </w:p>
          <w:p w14:paraId="54350FA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Mais de 5.000 acadêmicos, pesquisadores, clínicos e GPs do NHS e equipe administrativa, 1.500 alunos de pós-graduação e 1.600 estudantes de graduação, juntos contribuem para nossa extensa e exemplar pesquisa, ensino e portfólios clínicos.</w:t>
            </w:r>
          </w:p>
          <w:p w14:paraId="12A6AC8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F355A4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O que ela oferece</w:t>
            </w:r>
          </w:p>
          <w:p w14:paraId="5CD47E0D" w14:textId="77777777" w:rsidR="001C5F76" w:rsidRPr="00485F85" w:rsidRDefault="001C5F76" w:rsidP="00BF497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Ensino</w:t>
            </w:r>
          </w:p>
          <w:p w14:paraId="5EF49E06" w14:textId="77777777" w:rsidR="001C5F76" w:rsidRPr="00485F85" w:rsidRDefault="001C5F76" w:rsidP="00BF497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Pesquisa</w:t>
            </w:r>
          </w:p>
          <w:p w14:paraId="695F3C32" w14:textId="77777777" w:rsidR="001C5F76" w:rsidRPr="00485F85" w:rsidRDefault="001C5F76" w:rsidP="00BF497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Parcerias</w:t>
            </w:r>
          </w:p>
          <w:p w14:paraId="05953936" w14:textId="77777777" w:rsidR="001C5F76" w:rsidRPr="00485F85" w:rsidRDefault="001C5F76" w:rsidP="00BF497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Igualdade e Diversidade</w:t>
            </w:r>
          </w:p>
          <w:p w14:paraId="48C0877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D189DB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p w14:paraId="5467610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Departments, faculties and centres</w:t>
            </w:r>
          </w:p>
          <w:p w14:paraId="1D012FF1"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Biochemistry, Department of</w:t>
            </w:r>
          </w:p>
          <w:p w14:paraId="5198FC74"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Clinical Medicine, Nuffield Department of</w:t>
            </w:r>
          </w:p>
          <w:p w14:paraId="7519C80D"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Clinical Neurosciences, Nuffield Department of</w:t>
            </w:r>
          </w:p>
          <w:p w14:paraId="791C99B9"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Experimental Psychology, Department of</w:t>
            </w:r>
          </w:p>
          <w:p w14:paraId="594249EA"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Medicine, Radcliffe Department of</w:t>
            </w:r>
          </w:p>
          <w:p w14:paraId="5F1A6BA6"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Oncology, Department of</w:t>
            </w:r>
          </w:p>
          <w:p w14:paraId="13A0B0C0"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Orthopaedics, Rheumatology and Musculoskeletal Sciences, Nuffield Department of</w:t>
            </w:r>
          </w:p>
          <w:p w14:paraId="16A96961"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Paediatrics, Department of</w:t>
            </w:r>
          </w:p>
          <w:p w14:paraId="7C3C677B"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Pathology, Sir William Dunn School of</w:t>
            </w:r>
          </w:p>
          <w:p w14:paraId="345AD132"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Pharmacology, Department of</w:t>
            </w:r>
          </w:p>
          <w:p w14:paraId="1B183A37"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Physiology, Anatomy &amp; Genetics, Department of</w:t>
            </w:r>
          </w:p>
          <w:p w14:paraId="0B7E1BA9"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Population Health, Nuffield Department of</w:t>
            </w:r>
          </w:p>
          <w:p w14:paraId="7FF7E766"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Primary Care Health Sciences, Department of</w:t>
            </w:r>
          </w:p>
          <w:p w14:paraId="64753F6B"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Psychiatry, Department of</w:t>
            </w:r>
          </w:p>
          <w:p w14:paraId="010EE662"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Surgical Sciences, Nuffield Department of</w:t>
            </w:r>
          </w:p>
          <w:p w14:paraId="33A8F067" w14:textId="77777777" w:rsidR="001C5F76" w:rsidRPr="00485F85" w:rsidRDefault="001C5F76" w:rsidP="00BF497F">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Women's &amp; Reproductive Health, Nuffield Department of</w:t>
            </w:r>
          </w:p>
          <w:p w14:paraId="731B7F1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00E7EC1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Comitês Chave que dão suporte à divisão</w:t>
            </w:r>
          </w:p>
          <w:p w14:paraId="5C57FB5A"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Medical sciences board</w:t>
            </w:r>
          </w:p>
          <w:p w14:paraId="365287DC"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Finance, research, and general purposes committee</w:t>
            </w:r>
          </w:p>
          <w:p w14:paraId="1732D1E6"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Educational policy and standards committee</w:t>
            </w:r>
          </w:p>
          <w:p w14:paraId="13AB2944"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It committee</w:t>
            </w:r>
          </w:p>
          <w:p w14:paraId="285ADED6"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Medical sciences distinctions committee </w:t>
            </w:r>
          </w:p>
          <w:p w14:paraId="41237602"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Equality, diversity &amp; inclusion steering group</w:t>
            </w:r>
          </w:p>
          <w:p w14:paraId="08730265" w14:textId="77777777" w:rsidR="001C5F76" w:rsidRPr="00485F85" w:rsidRDefault="001C5F76" w:rsidP="00BF497F">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Athena swan steerin</w:t>
            </w:r>
          </w:p>
          <w:p w14:paraId="3F2FA419"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1B730E5"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DB848E" w14:textId="77777777" w:rsidR="001C5F76" w:rsidRPr="00485F85" w:rsidRDefault="001C5F76"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Divisional Office (as mesmas informações da Divisão Mathematical, Physical &amp; Life Sciences Division </w:t>
            </w:r>
          </w:p>
          <w:p w14:paraId="7F78FA5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p w14:paraId="5F2A16F4"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Fornecer liderança e agir como defensores de seu agrupamento cognato em todos os níveis da Universidade e externamente</w:t>
            </w:r>
          </w:p>
          <w:p w14:paraId="6CBF8600"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Coordenar e intermediar relacionamentos e iniciativas de atendimento em toda a divisão, com outras divisões, com outros órgãos da Universidade, faculdades e com parceiros externos, chegando a um acordo sobre as prioridades divisionais conforme necessário</w:t>
            </w:r>
          </w:p>
          <w:p w14:paraId="0A849568"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Apoiar e aconselhar departamentos e faculdades constituintes em todas as áreas da atividade acadêmica</w:t>
            </w:r>
          </w:p>
          <w:p w14:paraId="1B645D5F"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Fazer a ligação e trabalhar junto com os escritórios administrativos centrais da universidade na promoção de estratégias e políticas institucionais </w:t>
            </w:r>
          </w:p>
          <w:p w14:paraId="745ECDE4"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Gerenciar uma variedade de funções operacionais de apoio à atividade departamental, por exemplo, marcar compromissos acadêmicos; executando contas de treinamento de doutorado</w:t>
            </w:r>
          </w:p>
          <w:p w14:paraId="740D8F7F"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Colaborar com grupos e órgãos externos relevantes em questões de interesse divisionário (por exemplo, patrocinadores de pesquisa, associações disciplinares, doadores e outras partes externas interessadas)</w:t>
            </w:r>
          </w:p>
          <w:p w14:paraId="4746FC17" w14:textId="77777777" w:rsidR="001C5F76" w:rsidRPr="00485F85" w:rsidRDefault="001C5F76" w:rsidP="00BF497F">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Fornecer à equipe trabalho para garantir que as responsabilidades </w:t>
            </w:r>
            <w:r w:rsidRPr="00485F85">
              <w:rPr>
                <w:rFonts w:asciiTheme="majorHAnsi" w:hAnsiTheme="majorHAnsi" w:cstheme="majorHAnsi"/>
              </w:rPr>
              <w:lastRenderedPageBreak/>
              <w:t>estatutárias do conselho divisional sejam realizadas</w:t>
            </w:r>
          </w:p>
          <w:p w14:paraId="0941C91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CB21F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7AE2A83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45C3B9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167FD2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D66C7E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B10F9B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548857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A34477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2A5C2D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C31B26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996585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7C7AE3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272443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AF2D6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F6E5A5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78D31E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EBFFA0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E8B91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C115E3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157C93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FCFBC3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F7382E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D71054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3E41AD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0E727E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EF2119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79AD8C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A7C1AC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61CD44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08B5A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82CDBC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BF7FF3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405C07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B62C0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6C4510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663C4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122965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6EDF30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19022B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190868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08667F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4EACD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84AB2F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4C004D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585BF6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70BFD4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2013FA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F2AFF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D569F6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F2F17F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CB7A39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C0AD21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62B4D5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64211C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FB050E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A1CEA2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4F255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15878A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A18CC9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46ECD9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9D143C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C2174F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A92165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170720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1D46A7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D060A5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C85A2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037E8E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BEFCCF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997567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DDD875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69E32E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E14A6E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952FE7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FF84D2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3B4C70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9444D0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C4BFE8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A714E7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7DC5D5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Divisional Office</w:t>
            </w:r>
          </w:p>
          <w:p w14:paraId="3BF57CD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rPr>
              <w:t>Essas atividades são realizadas em colaboração e consulta com órgãos departamentais, faculdades e universidades centrais, conforme apropriado. As implicações operacionais dessas responsabilidades importantes aumentaram muito substancialmente desde que as divisões foram criadas pela primeira vez desde 2000</w:t>
            </w:r>
            <w:r w:rsidRPr="00485F85">
              <w:rPr>
                <w:rFonts w:asciiTheme="majorHAnsi" w:hAnsiTheme="majorHAnsi" w:cstheme="majorHAnsi"/>
                <w:b/>
                <w:bCs/>
              </w:rPr>
              <w:t>.</w:t>
            </w:r>
          </w:p>
          <w:p w14:paraId="53C4153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587F7C8"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C5DB912"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291BE74"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hyperlink r:id="rId127" w:history="1">
              <w:r w:rsidR="001C5F76" w:rsidRPr="00485F85">
                <w:rPr>
                  <w:rFonts w:asciiTheme="majorHAnsi" w:hAnsiTheme="majorHAnsi" w:cstheme="majorHAnsi"/>
                  <w:color w:val="4875BD" w:themeColor="accent1"/>
                  <w:u w:val="single"/>
                  <w:lang w:val="es-ES"/>
                </w:rPr>
                <w:t>Social Sciences Division</w:t>
              </w:r>
            </w:hyperlink>
            <w:r w:rsidR="001C5F76" w:rsidRPr="00485F85">
              <w:rPr>
                <w:rFonts w:asciiTheme="majorHAnsi" w:hAnsiTheme="majorHAnsi" w:cstheme="majorHAnsi"/>
                <w:lang w:val="es-ES"/>
              </w:rPr>
              <w:t xml:space="preserve"> </w:t>
            </w:r>
          </w:p>
          <w:p w14:paraId="5C445CF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003" w:type="dxa"/>
          </w:tcPr>
          <w:p w14:paraId="45AEDD5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Representa um dos maiores agrupamentos de cientistas sociais do mundo. Reunimos excelentes departamentos, faculdades e escolas comprometidas em enfrentar alguns dos maiores desafios que a humanidade enfrenta, como gestão sustentável de recursos, migração, governança global, justiça, pobreza e desenvolvimento. Nossa pesquisa combina metodologias quantitativas rigorosas e inovadoras e abordagens teóricas usando experiências e ações individuais e coletivas. A qualidade e diversidade de nossas pesquisas e de nossos mais de 1.000 pesquisadores criam um círculo virtuoso, atraindo os alunos e pesquisadores mais talentosos, permitindo-nos criar um ambiente intelectualmente fértil para a próxima geração de líderes mundiais.</w:t>
            </w:r>
          </w:p>
          <w:p w14:paraId="606F727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E86D06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O que ela oferece</w:t>
            </w:r>
          </w:p>
          <w:p w14:paraId="04F556A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Mais de 5.000 alunos estão matriculados em nosso amplo e inovador programa de cursos de graduação e pós-graduação, todos sustentados pela pesquisa inovadora de nossos acadêmicos.</w:t>
            </w:r>
          </w:p>
          <w:p w14:paraId="530A4C1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D14E44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585F878"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Departments, faculties and centres </w:t>
            </w:r>
          </w:p>
          <w:p w14:paraId="6F99DF6B" w14:textId="77777777" w:rsidR="001C5F76" w:rsidRPr="00485F85" w:rsidRDefault="001C5F76" w:rsidP="00BF497F">
            <w:pPr>
              <w:numPr>
                <w:ilvl w:val="0"/>
                <w:numId w:val="20"/>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Anthropology and Museum Ethnography, School of</w:t>
            </w:r>
          </w:p>
          <w:p w14:paraId="7D1D052D"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Archaeology, School of</w:t>
            </w:r>
          </w:p>
          <w:p w14:paraId="5D5C928C"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Business School, Saïd</w:t>
            </w:r>
          </w:p>
          <w:p w14:paraId="436EE0CC"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Economics, Department of</w:t>
            </w:r>
          </w:p>
          <w:p w14:paraId="0FB2C715"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Education, Department of</w:t>
            </w:r>
          </w:p>
          <w:p w14:paraId="588C235B"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Geography and the Environment, School of</w:t>
            </w:r>
          </w:p>
          <w:p w14:paraId="133532C7"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Global and Area Studies, Oxford School of</w:t>
            </w:r>
          </w:p>
          <w:p w14:paraId="7AE9B22A"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Government, Blavatnik School of</w:t>
            </w:r>
          </w:p>
          <w:p w14:paraId="7264E619"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International Development, Department of</w:t>
            </w:r>
          </w:p>
          <w:p w14:paraId="23DC3C34"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Internet Institute, Oxford</w:t>
            </w:r>
          </w:p>
          <w:p w14:paraId="52FE58C0"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Law, Faculty of</w:t>
            </w:r>
          </w:p>
          <w:p w14:paraId="029FB0FE"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Martin School</w:t>
            </w:r>
          </w:p>
          <w:p w14:paraId="4355C1B0"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Politics and International </w:t>
            </w:r>
            <w:r w:rsidRPr="00485F85">
              <w:rPr>
                <w:rFonts w:asciiTheme="majorHAnsi" w:hAnsiTheme="majorHAnsi" w:cstheme="majorHAnsi"/>
                <w:lang w:val="en-US"/>
              </w:rPr>
              <w:lastRenderedPageBreak/>
              <w:t>Relations, Department of</w:t>
            </w:r>
          </w:p>
          <w:p w14:paraId="4BF4465F"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Social Policy and Intervention, Department of</w:t>
            </w:r>
          </w:p>
          <w:p w14:paraId="753C754A" w14:textId="77777777" w:rsidR="001C5F76" w:rsidRPr="00485F85" w:rsidRDefault="001C5F76" w:rsidP="00BF497F">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Sociology, Department of</w:t>
            </w:r>
          </w:p>
          <w:p w14:paraId="2B6C7C5D"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BEBC59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1F08087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Comitês Chave que dão suporte à divisão</w:t>
            </w:r>
          </w:p>
          <w:p w14:paraId="1239E2E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51C25C55"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Planning and Resources Committee (PRC)</w:t>
            </w:r>
          </w:p>
          <w:p w14:paraId="285D0D5C"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Research Strategy Group</w:t>
            </w:r>
          </w:p>
          <w:p w14:paraId="14D64C27"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IT Forum</w:t>
            </w:r>
          </w:p>
          <w:p w14:paraId="7C3443D0"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Equality and Diversity Steering Group</w:t>
            </w:r>
          </w:p>
          <w:p w14:paraId="7C1A85FC"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Undergraduate Studies Committee</w:t>
            </w:r>
          </w:p>
          <w:p w14:paraId="20930577"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Graduate Studies Committee</w:t>
            </w:r>
          </w:p>
          <w:p w14:paraId="434575E1"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Quality Assurance Committee</w:t>
            </w:r>
          </w:p>
          <w:p w14:paraId="5AC815CC"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Grand Union ESRC DTP Management Board</w:t>
            </w:r>
          </w:p>
          <w:p w14:paraId="48F923E0" w14:textId="77777777" w:rsidR="001C5F76" w:rsidRPr="00485F85" w:rsidRDefault="001C5F76" w:rsidP="00BF497F">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Committee on Library Provision and Strategy in the Social Sciences</w:t>
            </w:r>
          </w:p>
          <w:p w14:paraId="18E23061"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US"/>
              </w:rPr>
            </w:pPr>
          </w:p>
          <w:p w14:paraId="3866B136"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Divisional Office </w:t>
            </w:r>
          </w:p>
          <w:p w14:paraId="56A93264"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Divisional Office apóia acadêmicos e pesquisadores, bem como as funções administrativas em departamentos, realizando grande parte do trabalho diário relacionado ao planejamento e alocação de recursos, administração de nomeações acadêmicas, administração de pós-graduação em curso e supervisão detalhada de educação e pesquisa. Nossas responsabilidades cobrem orçamento, provisão educacional e política acadêmica em toda a Divisão, com um papel particular no monitoramento e garantia de qualidade.</w:t>
            </w:r>
          </w:p>
          <w:p w14:paraId="33FF1500"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BD55F57"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Divisional Office Staff</w:t>
            </w:r>
          </w:p>
          <w:p w14:paraId="23B76B3E"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Leadership Team</w:t>
            </w:r>
          </w:p>
          <w:p w14:paraId="4E99ECCF"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Academic Appointments</w:t>
            </w:r>
          </w:p>
          <w:p w14:paraId="021E9F63"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Academic Office</w:t>
            </w:r>
          </w:p>
          <w:p w14:paraId="6BD558CD"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Communications</w:t>
            </w:r>
          </w:p>
          <w:p w14:paraId="72BCA762"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Development</w:t>
            </w:r>
          </w:p>
          <w:p w14:paraId="4A6E558F"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Finance</w:t>
            </w:r>
          </w:p>
          <w:p w14:paraId="05D52BA4"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Graduate Studies</w:t>
            </w:r>
          </w:p>
          <w:p w14:paraId="5DF7DA24"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HR</w:t>
            </w:r>
          </w:p>
          <w:p w14:paraId="08786D53"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Personnel</w:t>
            </w:r>
          </w:p>
          <w:p w14:paraId="0F06BF41"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Research, Impact and </w:t>
            </w:r>
            <w:r w:rsidRPr="00485F85">
              <w:rPr>
                <w:rFonts w:asciiTheme="majorHAnsi" w:hAnsiTheme="majorHAnsi" w:cstheme="majorHAnsi"/>
              </w:rPr>
              <w:lastRenderedPageBreak/>
              <w:t>Engagement</w:t>
            </w:r>
          </w:p>
          <w:p w14:paraId="10E3D9A3" w14:textId="77777777" w:rsidR="001C5F76" w:rsidRPr="00485F85" w:rsidRDefault="001C5F76" w:rsidP="00BF497F">
            <w:pPr>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Strategic Planning and Projects</w:t>
            </w:r>
          </w:p>
          <w:p w14:paraId="1020FE7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CCEA9D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7F56870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04E18B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C398973"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65AD9CC" w14:textId="77777777" w:rsidR="001C5F76" w:rsidRPr="00485F85" w:rsidRDefault="00A515B3" w:rsidP="001C5F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28" w:history="1">
              <w:r w:rsidR="001C5F76" w:rsidRPr="00485F85">
                <w:rPr>
                  <w:rFonts w:asciiTheme="majorHAnsi" w:hAnsiTheme="majorHAnsi" w:cstheme="majorHAnsi"/>
                  <w:color w:val="4875BD" w:themeColor="accent1"/>
                  <w:u w:val="single"/>
                </w:rPr>
                <w:t>Department for Continuing Education</w:t>
              </w:r>
            </w:hyperlink>
            <w:r w:rsidR="001C5F76" w:rsidRPr="00485F85">
              <w:rPr>
                <w:rFonts w:asciiTheme="majorHAnsi" w:hAnsiTheme="majorHAnsi" w:cstheme="majorHAnsi"/>
              </w:rPr>
              <w:t xml:space="preserve"> </w:t>
            </w:r>
          </w:p>
          <w:p w14:paraId="6662127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003" w:type="dxa"/>
          </w:tcPr>
          <w:p w14:paraId="5B6C4C2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Existe para permitir que a Universidade de Oxford alcance alunos além do corpo discente em tempo integral. Aumentamos o impacto local, nacional e internacional da Universidade, envolvendo-se com públicos que a Universidade não atingiria, inclusive por meio de programas de mestrado e doutorado em formatos flexíveis, atraindo alunos adultos de alto calibre.</w:t>
            </w:r>
          </w:p>
          <w:p w14:paraId="64B17E7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84D1AA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Oferece mais de 1000 cursos e programas a cada ano para alunos de todo o mundo. Trabalha dentro da Universidade e fora dela, no desenvolvimento de novos programas para atender às necessidades educacionais dos tempos de mudança.</w:t>
            </w:r>
          </w:p>
          <w:p w14:paraId="1103814F"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847FF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O que ela oferece:</w:t>
            </w:r>
          </w:p>
          <w:p w14:paraId="4C2E7036"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Aulas semanais</w:t>
            </w:r>
          </w:p>
          <w:p w14:paraId="2C93B204"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Cursos online</w:t>
            </w:r>
          </w:p>
          <w:p w14:paraId="39211A98"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Escolas diurnas e finais de semana</w:t>
            </w:r>
          </w:p>
          <w:p w14:paraId="46061C93"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Escolas de verão</w:t>
            </w:r>
          </w:p>
          <w:p w14:paraId="738307B2"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Desenvolvimento profissional contínuo , incluindo treinamento personalizado para empresas</w:t>
            </w:r>
          </w:p>
          <w:p w14:paraId="04CB1EC5"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Certificados de graduação, diplomas e diplomas avançados</w:t>
            </w:r>
          </w:p>
          <w:p w14:paraId="7F681CA4"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Certificados de pós-graduação, mestrado e DPhils</w:t>
            </w:r>
          </w:p>
          <w:p w14:paraId="581FBECE"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Alojamento</w:t>
            </w:r>
          </w:p>
          <w:p w14:paraId="54E7CF29" w14:textId="77777777" w:rsidR="001C5F76" w:rsidRPr="00485F85" w:rsidRDefault="001C5F76" w:rsidP="00BF497F">
            <w:pPr>
              <w:numPr>
                <w:ilvl w:val="0"/>
                <w:numId w:val="18"/>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Biblioteca</w:t>
            </w:r>
          </w:p>
          <w:p w14:paraId="5C03281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Mais de 15.000 alunos se inscrevem nos programas do Departamento a cada ano. Eles variam em idade de 18 a 98 anos e vêm de mais de 160 países.</w:t>
            </w:r>
          </w:p>
          <w:p w14:paraId="0024FBA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5D7099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p w14:paraId="4597AA1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Departaments</w:t>
            </w:r>
          </w:p>
          <w:p w14:paraId="666614F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p w14:paraId="753F404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Departamento tem uma comunidade de pesquisa interdisciplinar ativa , particularmente no que diz respeito ao envolvimento público e iniciativas baseadas na prática que se baseiam nos interesses de pesquisa da equipe acadêmica e de mais de 80 estudantes de </w:t>
            </w:r>
            <w:r w:rsidRPr="00485F85">
              <w:rPr>
                <w:rFonts w:asciiTheme="majorHAnsi" w:hAnsiTheme="majorHAnsi" w:cstheme="majorHAnsi"/>
              </w:rPr>
              <w:lastRenderedPageBreak/>
              <w:t>pesquisa</w:t>
            </w:r>
          </w:p>
          <w:p w14:paraId="16923AB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2E249AF"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Archaeology</w:t>
            </w:r>
          </w:p>
          <w:p w14:paraId="3E316696"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Architectural History</w:t>
            </w:r>
          </w:p>
          <w:p w14:paraId="08396230"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Art History and Design</w:t>
            </w:r>
          </w:p>
          <w:p w14:paraId="1C787FD1"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Counselling and Psychotherapy</w:t>
            </w:r>
          </w:p>
          <w:p w14:paraId="55CC2720"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History</w:t>
            </w:r>
          </w:p>
          <w:p w14:paraId="1405EB4B"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Human Rights Law</w:t>
            </w:r>
          </w:p>
          <w:p w14:paraId="4220489B"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Literature</w:t>
            </w:r>
          </w:p>
          <w:p w14:paraId="6B8E2A2A"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Maths, Computing and Data Science</w:t>
            </w:r>
          </w:p>
          <w:p w14:paraId="47F46E84"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Political Economy and Business</w:t>
            </w:r>
          </w:p>
          <w:p w14:paraId="07408F1B" w14:textId="77777777" w:rsidR="001C5F76" w:rsidRPr="00485F85" w:rsidRDefault="001C5F76" w:rsidP="00BF497F">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Sustainable Urban Development</w:t>
            </w:r>
          </w:p>
          <w:p w14:paraId="52BEA76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7299EF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Comitês Chave que dão suporte à divisão</w:t>
            </w:r>
          </w:p>
          <w:p w14:paraId="12C3730C" w14:textId="77777777" w:rsidR="001C5F76" w:rsidRPr="00485F85" w:rsidRDefault="001C5F76" w:rsidP="001C5F76">
            <w:pPr>
              <w:ind w:left="7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F21519F"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Assessment and Teaching Committee</w:t>
            </w:r>
          </w:p>
          <w:p w14:paraId="6C453ECA"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Academic Board</w:t>
            </w:r>
          </w:p>
          <w:p w14:paraId="3786B94E"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Continuing Education Board</w:t>
            </w:r>
          </w:p>
          <w:p w14:paraId="467FAACB"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Committee on Library Provision</w:t>
            </w:r>
          </w:p>
          <w:p w14:paraId="2AC81633"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Graduate School Committee</w:t>
            </w:r>
          </w:p>
          <w:p w14:paraId="59085DF2"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Continuing Education Board</w:t>
            </w:r>
          </w:p>
          <w:p w14:paraId="3108E854"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Board of Studies</w:t>
            </w:r>
          </w:p>
          <w:p w14:paraId="3DC5A912"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Academic Board</w:t>
            </w:r>
          </w:p>
          <w:p w14:paraId="62F3E71C" w14:textId="77777777" w:rsidR="001C5F76" w:rsidRPr="00485F85" w:rsidRDefault="001C5F76" w:rsidP="00BF497F">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Course Committees</w:t>
            </w:r>
          </w:p>
          <w:p w14:paraId="41F619A1"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9420404"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14A0CEB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827245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0A9D9A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0E95A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D8F3EC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67DA0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A23AC1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58E942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9D657D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EF3908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0FBFC8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E12D81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3F82A5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27E2D5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D9E509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D86F04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CBD87F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1638BE"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8BB05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AF8888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B9A0F6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47B91279"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7F17220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58283C6" w14:textId="77777777" w:rsidR="001C5F76" w:rsidRPr="00485F85" w:rsidRDefault="00A515B3"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hyperlink r:id="rId129" w:history="1">
              <w:r w:rsidR="001C5F76" w:rsidRPr="00485F85">
                <w:rPr>
                  <w:rFonts w:asciiTheme="majorHAnsi" w:hAnsiTheme="majorHAnsi" w:cstheme="majorHAnsi"/>
                  <w:color w:val="4875BD" w:themeColor="accent1"/>
                  <w:u w:val="single"/>
                  <w:lang w:val="en-US"/>
                </w:rPr>
                <w:t>Gardens, Libraries and Museums</w:t>
              </w:r>
            </w:hyperlink>
            <w:r w:rsidR="001C5F76" w:rsidRPr="00485F85">
              <w:rPr>
                <w:rFonts w:asciiTheme="majorHAnsi" w:hAnsiTheme="majorHAnsi" w:cstheme="majorHAnsi"/>
                <w:lang w:val="en-US"/>
              </w:rPr>
              <w:t xml:space="preserve"> (GLAM)</w:t>
            </w:r>
          </w:p>
          <w:p w14:paraId="6B06132D" w14:textId="77777777" w:rsidR="001C5F76" w:rsidRPr="00485F85" w:rsidRDefault="001C5F76" w:rsidP="001C5F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tc>
        <w:tc>
          <w:tcPr>
            <w:tcW w:w="4003" w:type="dxa"/>
          </w:tcPr>
          <w:p w14:paraId="631A93C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p w14:paraId="0DA4A2B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Abriga algumas das coleções mais significativas do mundo. Eles fornecem importantes locais de investigação acadêmica e servem como porta de entrada para a riqueza de conhecimento e pesquisa gerada em Oxford, recebendo mais de 3 milhões de visitantes a cada ano.</w:t>
            </w:r>
          </w:p>
          <w:p w14:paraId="0002593D"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5263314"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Museus</w:t>
            </w:r>
          </w:p>
          <w:p w14:paraId="55826FC4"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quatro museus abrigam mais de 8,5 milhões de objetos e espécimes que representam o mundo natural, arte global e artefatos:</w:t>
            </w:r>
          </w:p>
          <w:p w14:paraId="08069064"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EDE0C2A"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Ashmolean é o primeiro museu público da Grã-Bretanha e suas coleções incluem o grupo de desenhos de Rafael mais importante do mundo.</w:t>
            </w:r>
          </w:p>
          <w:p w14:paraId="27859E2C"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Museu de História da Ciência - alojado no edifício de museu construído propositadamente mais antigo do </w:t>
            </w:r>
            <w:r w:rsidRPr="00485F85">
              <w:rPr>
                <w:rFonts w:asciiTheme="majorHAnsi" w:hAnsiTheme="majorHAnsi" w:cstheme="majorHAnsi"/>
              </w:rPr>
              <w:lastRenderedPageBreak/>
              <w:t>mundo - contém a melhor coleção do mundo de instrumentos científicos históricos.</w:t>
            </w:r>
          </w:p>
          <w:p w14:paraId="4C11BBA6"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Museu de História Natural mantém as coleções internacionalmente significativas da Universidade de 7 milhões de espécimes geológicos e zoológicos, incluindo os ossos fósseis do primeiro dinossauro a ser descrito cientificamente.</w:t>
            </w:r>
          </w:p>
          <w:p w14:paraId="5F58BBF3"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Museu Pitt Rivers abriga uma das melhores coleções do mundo de antropologia e arqueologia, com objetos de todos os continentes e de toda a história da humanidade. </w:t>
            </w:r>
          </w:p>
          <w:p w14:paraId="6A2F41A6"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1F67E7B"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Bibliotecas</w:t>
            </w:r>
          </w:p>
          <w:p w14:paraId="585F1437" w14:textId="77777777" w:rsidR="001C5F76" w:rsidRPr="00485F85" w:rsidRDefault="001C5F76" w:rsidP="001C5F76">
            <w:pPr>
              <w:ind w:left="7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Bodleian é o maior sistema de bibliotecas universitárias do Reino Unido. Compreende a principal biblioteca da Universidade - a Biblioteca Bodleian - e 27 bibliotecas em Oxford, que prestam serviços a estudiosos do século 21 em várias disciplinas, desde o acesso direto a coleções impressas de alta demanda até o acesso online a periódicos, manuscritos, arquivos e bancos de dados. Juntas, as Bibliotecas Bodleian possuem mais de 13 milhões de itens impressos, mais de 80.000 periódicos eletrônicos e coleções especiais excepcionais, incluindo livros e manuscritos raros.</w:t>
            </w:r>
          </w:p>
          <w:p w14:paraId="52977286" w14:textId="77777777" w:rsidR="001C5F76" w:rsidRPr="00485F85" w:rsidRDefault="001C5F76" w:rsidP="001C5F76">
            <w:pPr>
              <w:ind w:left="7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71151C7"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Jardins</w:t>
            </w:r>
          </w:p>
          <w:p w14:paraId="0E7B03A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Jardim Botânico é o jardim botânico mais antigo da Grã-Bretanha. Fundada em 1621, suas coleções são utilizadas no ensino, na pesquisa e na conservação há 400 anos, e forma a coleção de plantas mais compacta e diversa do mundo. O Arboretum, que faz parte do Jardim Botânico desde 1963, contém a melhor coleção de árvores em Oxfordshire, incluindo algumas das sequoias mais antigas do Reino Unido.</w:t>
            </w:r>
          </w:p>
          <w:p w14:paraId="2047042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76ABF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Governança </w:t>
            </w:r>
          </w:p>
          <w:p w14:paraId="66AF5F1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Supervisionada pelo Pro-Vice-Chancellor for People &amp; GLAM, a divisão de Gardens, Libraries and Museums (GLAM) representa seis departamentos e </w:t>
            </w:r>
            <w:r w:rsidRPr="00485F85">
              <w:rPr>
                <w:rFonts w:asciiTheme="majorHAnsi" w:hAnsiTheme="majorHAnsi" w:cstheme="majorHAnsi"/>
              </w:rPr>
              <w:lastRenderedPageBreak/>
              <w:t>coordena orçamentos, políticas e estratégias relacionadas em apoio às atividades acadêmicas, de pesquisa e de ensino da Universidade, e seus patrimônio e responsabilidades legais.</w:t>
            </w:r>
          </w:p>
          <w:p w14:paraId="70DF0E8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Cada um dos departamentos do GLAM tem um corpo diretivo prescrito por Estatuto ou Regulamento: os Curators of the University Libraries e os Boards of Visitors of the individual museums e do Jardim Botânico.</w:t>
            </w:r>
          </w:p>
          <w:p w14:paraId="383E2F5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Conselho do GLAM é composto pelos diretores dos seis departamentos do GLAM e é presidido pelo Pro-Vice-Chancellor (People &amp; GLAM).</w:t>
            </w:r>
          </w:p>
          <w:p w14:paraId="44AAB050" w14:textId="77777777" w:rsidR="001C5F76" w:rsidRPr="00485F85" w:rsidRDefault="001C5F76" w:rsidP="001C5F76">
            <w:pPr>
              <w:ind w:left="7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33ABE22"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GLAM Divisional Office</w:t>
            </w:r>
          </w:p>
          <w:p w14:paraId="5F9D0CB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GLAM Divisional Office, sob a direção do GLAM Divisional Secretary, fornece coordenação e suporte para os seis departamentos do GLAM.</w:t>
            </w:r>
          </w:p>
          <w:p w14:paraId="26FDDE0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458" w:type="dxa"/>
          </w:tcPr>
          <w:p w14:paraId="743BEE6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A35341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61D28F5"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Bibliotecas, jardins e Museus possuem soa própria Divisão</w:t>
            </w:r>
          </w:p>
        </w:tc>
      </w:tr>
      <w:tr w:rsidR="001C5F76" w:rsidRPr="00485F85" w14:paraId="62D53DCB"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2069323" w14:textId="77777777" w:rsidR="001C5F76" w:rsidRPr="00485F85" w:rsidRDefault="001C5F76" w:rsidP="001C5F76">
            <w:pPr>
              <w:contextualSpacing/>
              <w:jc w:val="both"/>
              <w:rPr>
                <w:rFonts w:asciiTheme="majorHAnsi" w:hAnsiTheme="majorHAnsi" w:cstheme="majorHAnsi"/>
              </w:rPr>
            </w:pPr>
            <w:r w:rsidRPr="00485F85">
              <w:rPr>
                <w:rFonts w:asciiTheme="majorHAnsi" w:hAnsiTheme="majorHAnsi" w:cstheme="majorHAnsi"/>
              </w:rPr>
              <w:lastRenderedPageBreak/>
              <w:t>1.4. Órgãos Auxiliares e Complementares</w:t>
            </w:r>
          </w:p>
        </w:tc>
        <w:tc>
          <w:tcPr>
            <w:tcW w:w="1951" w:type="dxa"/>
            <w:gridSpan w:val="2"/>
          </w:tcPr>
          <w:p w14:paraId="71475DC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Relação de Órgãos</w:t>
            </w:r>
          </w:p>
        </w:tc>
        <w:tc>
          <w:tcPr>
            <w:tcW w:w="4003" w:type="dxa"/>
          </w:tcPr>
          <w:p w14:paraId="59E4D69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Data de criação</w:t>
            </w:r>
          </w:p>
        </w:tc>
        <w:tc>
          <w:tcPr>
            <w:tcW w:w="2458" w:type="dxa"/>
          </w:tcPr>
          <w:p w14:paraId="3B08FCC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485F85" w14:paraId="0E62FA76" w14:textId="77777777" w:rsidTr="00A206D5">
        <w:trPr>
          <w:trHeight w:val="2686"/>
        </w:trPr>
        <w:tc>
          <w:tcPr>
            <w:cnfStyle w:val="001000000000" w:firstRow="0" w:lastRow="0" w:firstColumn="1" w:lastColumn="0" w:oddVBand="0" w:evenVBand="0" w:oddHBand="0" w:evenHBand="0" w:firstRowFirstColumn="0" w:firstRowLastColumn="0" w:lastRowFirstColumn="0" w:lastRowLastColumn="0"/>
            <w:tcW w:w="1418" w:type="dxa"/>
            <w:vMerge/>
          </w:tcPr>
          <w:p w14:paraId="29B0921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5E1C4DC" w14:textId="77777777" w:rsidR="001C5F76" w:rsidRPr="00485F85" w:rsidRDefault="001C5F76" w:rsidP="001C5F76">
            <w:pPr>
              <w:ind w:left="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14A2ED2" w14:textId="77777777" w:rsidR="001C5F76" w:rsidRPr="00485F85" w:rsidRDefault="001C5F76" w:rsidP="001C5F76">
            <w:pPr>
              <w:ind w:left="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5F314B7" w14:textId="77777777" w:rsidR="001C5F76" w:rsidRPr="00485F85" w:rsidRDefault="001C5F76" w:rsidP="001C5F76">
            <w:pPr>
              <w:ind w:left="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96E9603" w14:textId="77777777" w:rsidR="001C5F76" w:rsidRPr="00485F85" w:rsidRDefault="001C5F76" w:rsidP="001C5F76">
            <w:pPr>
              <w:ind w:left="8"/>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s-ES"/>
              </w:rPr>
            </w:pPr>
            <w:r w:rsidRPr="00485F85">
              <w:rPr>
                <w:rFonts w:asciiTheme="majorHAnsi" w:hAnsiTheme="majorHAnsi" w:cstheme="majorHAnsi"/>
                <w:b/>
                <w:bCs/>
              </w:rPr>
              <w:t>Não se aplica</w:t>
            </w:r>
          </w:p>
        </w:tc>
        <w:tc>
          <w:tcPr>
            <w:tcW w:w="4003" w:type="dxa"/>
          </w:tcPr>
          <w:p w14:paraId="427DA949"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p w14:paraId="69D43833"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p w14:paraId="0D7CDED6"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p w14:paraId="0A7D7736"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b/>
                <w:bCs/>
              </w:rPr>
              <w:t>Não se aplica</w:t>
            </w:r>
          </w:p>
        </w:tc>
        <w:tc>
          <w:tcPr>
            <w:tcW w:w="2458" w:type="dxa"/>
          </w:tcPr>
          <w:p w14:paraId="0A53005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D40425A"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Os órgãos auxiliares e complementares de OXFORD estão organizados em uma divisão específica, Gardens, Libraries and Museums (GLAM), já detalhada no item 1.3 </w:t>
            </w:r>
          </w:p>
          <w:p w14:paraId="153E342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68320DC9" w14:textId="77777777" w:rsidTr="00A206D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tcPr>
          <w:p w14:paraId="062F28E2" w14:textId="77777777" w:rsidR="001C5F76" w:rsidRPr="00485F85" w:rsidRDefault="001C5F76" w:rsidP="001C5F76">
            <w:pPr>
              <w:jc w:val="both"/>
              <w:rPr>
                <w:rFonts w:asciiTheme="majorHAnsi" w:hAnsiTheme="majorHAnsi" w:cstheme="majorHAnsi"/>
              </w:rPr>
            </w:pPr>
            <w:r w:rsidRPr="00485F85">
              <w:rPr>
                <w:rFonts w:asciiTheme="majorHAnsi" w:hAnsiTheme="majorHAnsi" w:cstheme="majorHAnsi"/>
              </w:rPr>
              <w:t>1.4.1. Tipo de gestão dos órgãos complementares</w:t>
            </w:r>
          </w:p>
        </w:tc>
        <w:tc>
          <w:tcPr>
            <w:tcW w:w="5954" w:type="dxa"/>
            <w:gridSpan w:val="3"/>
          </w:tcPr>
          <w:p w14:paraId="5A40196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81C54B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que pôde ser constatado após a análise de todas as Divisões Acadêmicas é que elas são </w:t>
            </w:r>
            <w:r w:rsidRPr="00485F85">
              <w:rPr>
                <w:rFonts w:asciiTheme="majorHAnsi" w:hAnsiTheme="majorHAnsi" w:cstheme="majorHAnsi"/>
                <w:b/>
                <w:bCs/>
              </w:rPr>
              <w:t>administrativamente e financeiramente independentes</w:t>
            </w:r>
            <w:r w:rsidRPr="00485F85">
              <w:rPr>
                <w:rFonts w:asciiTheme="majorHAnsi" w:hAnsiTheme="majorHAnsi" w:cstheme="majorHAnsi"/>
              </w:rPr>
              <w:t xml:space="preserve"> da Universidade central, contudo, existe uma ligação com a Universidade Central por meio dos Comitês que se reportam para o Council para que o alinhamento de ações seja realizado.</w:t>
            </w:r>
          </w:p>
          <w:p w14:paraId="21EA124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2BCCBB1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485F85" w14:paraId="66B17265"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val="restart"/>
          </w:tcPr>
          <w:p w14:paraId="6347CD35" w14:textId="77777777" w:rsidR="001C5F76" w:rsidRPr="00485F85" w:rsidRDefault="001C5F76" w:rsidP="001C5F76">
            <w:pPr>
              <w:contextualSpacing/>
              <w:jc w:val="both"/>
              <w:rPr>
                <w:rFonts w:asciiTheme="majorHAnsi" w:hAnsiTheme="majorHAnsi" w:cstheme="majorHAnsi"/>
              </w:rPr>
            </w:pPr>
            <w:r w:rsidRPr="00485F85">
              <w:rPr>
                <w:rFonts w:asciiTheme="majorHAnsi" w:hAnsiTheme="majorHAnsi" w:cstheme="majorHAnsi"/>
              </w:rPr>
              <w:t>1.5. Unidades Acadêmicas</w:t>
            </w:r>
            <w:r w:rsidRPr="00485F85">
              <w:rPr>
                <w:rFonts w:asciiTheme="majorHAnsi" w:hAnsiTheme="majorHAnsi" w:cstheme="majorHAnsi"/>
              </w:rPr>
              <w:br/>
            </w:r>
          </w:p>
          <w:p w14:paraId="54984764"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0F798B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Relação de Unidades</w:t>
            </w:r>
          </w:p>
        </w:tc>
        <w:tc>
          <w:tcPr>
            <w:tcW w:w="4003" w:type="dxa"/>
          </w:tcPr>
          <w:p w14:paraId="65A9EEE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de criação</w:t>
            </w:r>
          </w:p>
        </w:tc>
        <w:tc>
          <w:tcPr>
            <w:tcW w:w="2458" w:type="dxa"/>
            <w:vMerge w:val="restart"/>
          </w:tcPr>
          <w:p w14:paraId="433F191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Observações </w:t>
            </w:r>
          </w:p>
        </w:tc>
      </w:tr>
      <w:tr w:rsidR="001C5F76" w:rsidRPr="00485F85" w14:paraId="60C9B97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407E88F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15A859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Blackfriars</w:t>
            </w:r>
          </w:p>
        </w:tc>
        <w:tc>
          <w:tcPr>
            <w:tcW w:w="4003" w:type="dxa"/>
          </w:tcPr>
          <w:p w14:paraId="18C3BB5D"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1221, Re-fundado em 1921</w:t>
            </w:r>
          </w:p>
        </w:tc>
        <w:tc>
          <w:tcPr>
            <w:tcW w:w="2458" w:type="dxa"/>
            <w:vMerge/>
          </w:tcPr>
          <w:p w14:paraId="27F7998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D828FC5"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5DCF9E0"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96AD29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University College</w:t>
            </w:r>
          </w:p>
        </w:tc>
        <w:tc>
          <w:tcPr>
            <w:tcW w:w="4003" w:type="dxa"/>
          </w:tcPr>
          <w:p w14:paraId="121D4731"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1249</w:t>
            </w:r>
          </w:p>
        </w:tc>
        <w:tc>
          <w:tcPr>
            <w:tcW w:w="2458" w:type="dxa"/>
            <w:vMerge/>
          </w:tcPr>
          <w:p w14:paraId="0840EAF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183CFCF"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54D25F71"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25A45AF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Balliol College</w:t>
            </w:r>
          </w:p>
        </w:tc>
        <w:tc>
          <w:tcPr>
            <w:tcW w:w="4003" w:type="dxa"/>
          </w:tcPr>
          <w:p w14:paraId="2D420182"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1263</w:t>
            </w:r>
          </w:p>
        </w:tc>
        <w:tc>
          <w:tcPr>
            <w:tcW w:w="2458" w:type="dxa"/>
            <w:vMerge/>
          </w:tcPr>
          <w:p w14:paraId="58409AE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47E1B612"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78C81901"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2F742F4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Merton College</w:t>
            </w:r>
          </w:p>
        </w:tc>
        <w:tc>
          <w:tcPr>
            <w:tcW w:w="4003" w:type="dxa"/>
          </w:tcPr>
          <w:p w14:paraId="174690A3"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1264</w:t>
            </w:r>
          </w:p>
        </w:tc>
        <w:tc>
          <w:tcPr>
            <w:tcW w:w="2458" w:type="dxa"/>
            <w:vMerge/>
          </w:tcPr>
          <w:p w14:paraId="0927688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C5C08B2"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9129EC4"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A6190F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St Edmund Hall</w:t>
            </w:r>
          </w:p>
        </w:tc>
        <w:tc>
          <w:tcPr>
            <w:tcW w:w="4003" w:type="dxa"/>
          </w:tcPr>
          <w:p w14:paraId="2C02D2FC"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1278</w:t>
            </w:r>
          </w:p>
        </w:tc>
        <w:tc>
          <w:tcPr>
            <w:tcW w:w="2458" w:type="dxa"/>
          </w:tcPr>
          <w:p w14:paraId="0364C81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22ADC8A6"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01C66A50"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3E923C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Hertford College</w:t>
            </w:r>
          </w:p>
        </w:tc>
        <w:tc>
          <w:tcPr>
            <w:tcW w:w="4003" w:type="dxa"/>
          </w:tcPr>
          <w:p w14:paraId="120E634A"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1284</w:t>
            </w:r>
          </w:p>
        </w:tc>
        <w:tc>
          <w:tcPr>
            <w:tcW w:w="2458" w:type="dxa"/>
          </w:tcPr>
          <w:p w14:paraId="4D03B7C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8B7967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7FF7581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4EFBC87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Exeter College</w:t>
            </w:r>
          </w:p>
        </w:tc>
        <w:tc>
          <w:tcPr>
            <w:tcW w:w="4003" w:type="dxa"/>
          </w:tcPr>
          <w:p w14:paraId="2C457F94"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1314</w:t>
            </w:r>
          </w:p>
        </w:tc>
        <w:tc>
          <w:tcPr>
            <w:tcW w:w="2458" w:type="dxa"/>
          </w:tcPr>
          <w:p w14:paraId="013C132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3617043"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613F7CC"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71624B4"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Oriel College</w:t>
            </w:r>
          </w:p>
        </w:tc>
        <w:tc>
          <w:tcPr>
            <w:tcW w:w="4003" w:type="dxa"/>
          </w:tcPr>
          <w:p w14:paraId="678ACDD4"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1326</w:t>
            </w:r>
          </w:p>
        </w:tc>
        <w:tc>
          <w:tcPr>
            <w:tcW w:w="2458" w:type="dxa"/>
          </w:tcPr>
          <w:p w14:paraId="53071FF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606E5D50"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5C1CA303"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1A6A0C7"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The Queen's College</w:t>
            </w:r>
          </w:p>
        </w:tc>
        <w:tc>
          <w:tcPr>
            <w:tcW w:w="4003" w:type="dxa"/>
          </w:tcPr>
          <w:p w14:paraId="0072C159"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1341</w:t>
            </w:r>
          </w:p>
        </w:tc>
        <w:tc>
          <w:tcPr>
            <w:tcW w:w="2458" w:type="dxa"/>
          </w:tcPr>
          <w:p w14:paraId="4D7018A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10A8DCBA"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04FEB689"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AAD4B8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New College</w:t>
            </w:r>
          </w:p>
        </w:tc>
        <w:tc>
          <w:tcPr>
            <w:tcW w:w="4003" w:type="dxa"/>
          </w:tcPr>
          <w:p w14:paraId="25378F3A"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1379</w:t>
            </w:r>
          </w:p>
        </w:tc>
        <w:tc>
          <w:tcPr>
            <w:tcW w:w="2458" w:type="dxa"/>
          </w:tcPr>
          <w:p w14:paraId="5F7E705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55DBC80B"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9288F9B"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41A0473"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Lincoln College</w:t>
            </w:r>
          </w:p>
        </w:tc>
        <w:tc>
          <w:tcPr>
            <w:tcW w:w="4003" w:type="dxa"/>
          </w:tcPr>
          <w:p w14:paraId="55299322"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1427</w:t>
            </w:r>
          </w:p>
        </w:tc>
        <w:tc>
          <w:tcPr>
            <w:tcW w:w="2458" w:type="dxa"/>
          </w:tcPr>
          <w:p w14:paraId="36FE53A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E26B640"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6B96256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A27128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Magdalen College</w:t>
            </w:r>
          </w:p>
        </w:tc>
        <w:tc>
          <w:tcPr>
            <w:tcW w:w="4003" w:type="dxa"/>
          </w:tcPr>
          <w:p w14:paraId="47FF958C"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1458</w:t>
            </w:r>
          </w:p>
        </w:tc>
        <w:tc>
          <w:tcPr>
            <w:tcW w:w="2458" w:type="dxa"/>
          </w:tcPr>
          <w:p w14:paraId="3318EC1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308362F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0E2AAB6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5FEC625"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Brasenose College</w:t>
            </w:r>
          </w:p>
        </w:tc>
        <w:tc>
          <w:tcPr>
            <w:tcW w:w="4003" w:type="dxa"/>
          </w:tcPr>
          <w:p w14:paraId="6A043B9A"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1509</w:t>
            </w:r>
          </w:p>
        </w:tc>
        <w:tc>
          <w:tcPr>
            <w:tcW w:w="2458" w:type="dxa"/>
          </w:tcPr>
          <w:p w14:paraId="3F6F6BB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6A4C69C"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B781BE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9D46BE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Corpus Christi College</w:t>
            </w:r>
          </w:p>
        </w:tc>
        <w:tc>
          <w:tcPr>
            <w:tcW w:w="4003" w:type="dxa"/>
          </w:tcPr>
          <w:p w14:paraId="353B583A"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1517</w:t>
            </w:r>
          </w:p>
        </w:tc>
        <w:tc>
          <w:tcPr>
            <w:tcW w:w="2458" w:type="dxa"/>
          </w:tcPr>
          <w:p w14:paraId="40B4797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2A78D8A"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5A643C97"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275589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Christ Church </w:t>
            </w:r>
          </w:p>
        </w:tc>
        <w:tc>
          <w:tcPr>
            <w:tcW w:w="4003" w:type="dxa"/>
          </w:tcPr>
          <w:p w14:paraId="7AD4ED6C"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1546</w:t>
            </w:r>
          </w:p>
        </w:tc>
        <w:tc>
          <w:tcPr>
            <w:tcW w:w="2458" w:type="dxa"/>
          </w:tcPr>
          <w:p w14:paraId="55A55480"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1E0EF421"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0EDB536"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2A4D966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John's College</w:t>
            </w:r>
          </w:p>
        </w:tc>
        <w:tc>
          <w:tcPr>
            <w:tcW w:w="4003" w:type="dxa"/>
          </w:tcPr>
          <w:p w14:paraId="7D90F48A"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1555</w:t>
            </w:r>
          </w:p>
        </w:tc>
        <w:tc>
          <w:tcPr>
            <w:tcW w:w="2458" w:type="dxa"/>
          </w:tcPr>
          <w:p w14:paraId="3D0258A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DD6428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EB84F16"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FBEC23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Trinity College</w:t>
            </w:r>
          </w:p>
        </w:tc>
        <w:tc>
          <w:tcPr>
            <w:tcW w:w="4003" w:type="dxa"/>
          </w:tcPr>
          <w:p w14:paraId="142D1C1C"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1555</w:t>
            </w:r>
          </w:p>
        </w:tc>
        <w:tc>
          <w:tcPr>
            <w:tcW w:w="2458" w:type="dxa"/>
          </w:tcPr>
          <w:p w14:paraId="219C222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EC713A3"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1FC2F628"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56A308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Jesus College</w:t>
            </w:r>
          </w:p>
        </w:tc>
        <w:tc>
          <w:tcPr>
            <w:tcW w:w="4003" w:type="dxa"/>
          </w:tcPr>
          <w:p w14:paraId="25D47646"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1571</w:t>
            </w:r>
          </w:p>
        </w:tc>
        <w:tc>
          <w:tcPr>
            <w:tcW w:w="2458" w:type="dxa"/>
          </w:tcPr>
          <w:p w14:paraId="62CA1CF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02BC6A26"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6494C7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507AC5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Wadham College</w:t>
            </w:r>
          </w:p>
        </w:tc>
        <w:tc>
          <w:tcPr>
            <w:tcW w:w="4003" w:type="dxa"/>
          </w:tcPr>
          <w:p w14:paraId="026ADB5A"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1610</w:t>
            </w:r>
          </w:p>
        </w:tc>
        <w:tc>
          <w:tcPr>
            <w:tcW w:w="2458" w:type="dxa"/>
          </w:tcPr>
          <w:p w14:paraId="586DAE16"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E92AA1E"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1140EA5B"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26B618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Pembroke College</w:t>
            </w:r>
          </w:p>
        </w:tc>
        <w:tc>
          <w:tcPr>
            <w:tcW w:w="4003" w:type="dxa"/>
          </w:tcPr>
          <w:p w14:paraId="6C8958EC"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1624</w:t>
            </w:r>
          </w:p>
        </w:tc>
        <w:tc>
          <w:tcPr>
            <w:tcW w:w="2458" w:type="dxa"/>
          </w:tcPr>
          <w:p w14:paraId="6C25509E"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9358836"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0B953052"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56B712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Worcester College</w:t>
            </w:r>
          </w:p>
        </w:tc>
        <w:tc>
          <w:tcPr>
            <w:tcW w:w="4003" w:type="dxa"/>
          </w:tcPr>
          <w:p w14:paraId="35E114A7"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1714</w:t>
            </w:r>
          </w:p>
        </w:tc>
        <w:tc>
          <w:tcPr>
            <w:tcW w:w="2458" w:type="dxa"/>
          </w:tcPr>
          <w:p w14:paraId="16E20DB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0FC45A44"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15B7722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9A4449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Harris Manchester College</w:t>
            </w:r>
          </w:p>
        </w:tc>
        <w:tc>
          <w:tcPr>
            <w:tcW w:w="4003" w:type="dxa"/>
          </w:tcPr>
          <w:p w14:paraId="6DE78A86"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1786</w:t>
            </w:r>
          </w:p>
        </w:tc>
        <w:tc>
          <w:tcPr>
            <w:tcW w:w="2458" w:type="dxa"/>
          </w:tcPr>
          <w:p w14:paraId="66BA2FB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39A6A3AF"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7AC7A8AF"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89F3470"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Regent's Park College</w:t>
            </w:r>
          </w:p>
        </w:tc>
        <w:tc>
          <w:tcPr>
            <w:tcW w:w="4003" w:type="dxa"/>
          </w:tcPr>
          <w:p w14:paraId="6EAB980F"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1810</w:t>
            </w:r>
          </w:p>
          <w:p w14:paraId="47F55C74"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2458" w:type="dxa"/>
          </w:tcPr>
          <w:p w14:paraId="2AE8A24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1C5F76" w:rsidRPr="00485F85" w14:paraId="24455405"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48E25042" w14:textId="77777777" w:rsidR="001C5F76" w:rsidRPr="00485F85" w:rsidRDefault="001C5F76" w:rsidP="001C5F76">
            <w:pPr>
              <w:contextualSpacing/>
              <w:jc w:val="both"/>
              <w:rPr>
                <w:rFonts w:asciiTheme="majorHAnsi" w:hAnsiTheme="majorHAnsi" w:cstheme="majorHAnsi"/>
                <w:lang w:val="es-ES"/>
              </w:rPr>
            </w:pPr>
          </w:p>
        </w:tc>
        <w:tc>
          <w:tcPr>
            <w:tcW w:w="1951" w:type="dxa"/>
            <w:gridSpan w:val="2"/>
          </w:tcPr>
          <w:p w14:paraId="2D2DCC18"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Keble College</w:t>
            </w:r>
          </w:p>
        </w:tc>
        <w:tc>
          <w:tcPr>
            <w:tcW w:w="4003" w:type="dxa"/>
          </w:tcPr>
          <w:p w14:paraId="50FB7F92"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1870</w:t>
            </w:r>
          </w:p>
        </w:tc>
        <w:tc>
          <w:tcPr>
            <w:tcW w:w="2458" w:type="dxa"/>
          </w:tcPr>
          <w:p w14:paraId="5B59EF7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9D1E784"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12B513D8"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47C6F8A5"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Stephen's House</w:t>
            </w:r>
          </w:p>
        </w:tc>
        <w:tc>
          <w:tcPr>
            <w:tcW w:w="4003" w:type="dxa"/>
          </w:tcPr>
          <w:p w14:paraId="373DAE1B"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1876</w:t>
            </w:r>
          </w:p>
        </w:tc>
        <w:tc>
          <w:tcPr>
            <w:tcW w:w="2458" w:type="dxa"/>
          </w:tcPr>
          <w:p w14:paraId="544D0551"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4977A114"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74AB8CCA"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445196A"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Wycliffe Hall</w:t>
            </w:r>
          </w:p>
        </w:tc>
        <w:tc>
          <w:tcPr>
            <w:tcW w:w="4003" w:type="dxa"/>
          </w:tcPr>
          <w:p w14:paraId="19ECF76A"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1877</w:t>
            </w:r>
          </w:p>
        </w:tc>
        <w:tc>
          <w:tcPr>
            <w:tcW w:w="2458" w:type="dxa"/>
          </w:tcPr>
          <w:p w14:paraId="32DC536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6AAA95AA"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0D6B6B3D"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CFDB702"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Lady Margaret Hall</w:t>
            </w:r>
          </w:p>
        </w:tc>
        <w:tc>
          <w:tcPr>
            <w:tcW w:w="4003" w:type="dxa"/>
          </w:tcPr>
          <w:p w14:paraId="5C62BC3D"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1878</w:t>
            </w:r>
          </w:p>
        </w:tc>
        <w:tc>
          <w:tcPr>
            <w:tcW w:w="2458" w:type="dxa"/>
          </w:tcPr>
          <w:p w14:paraId="52DC5B6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C446615"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2D3C9D82"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09735CA5"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St Anne's College</w:t>
            </w:r>
          </w:p>
        </w:tc>
        <w:tc>
          <w:tcPr>
            <w:tcW w:w="4003" w:type="dxa"/>
          </w:tcPr>
          <w:p w14:paraId="29B5E64E"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1879</w:t>
            </w:r>
          </w:p>
        </w:tc>
        <w:tc>
          <w:tcPr>
            <w:tcW w:w="2458" w:type="dxa"/>
          </w:tcPr>
          <w:p w14:paraId="4251194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AFB36F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70CF591"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7358F85"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Somerville College</w:t>
            </w:r>
          </w:p>
        </w:tc>
        <w:tc>
          <w:tcPr>
            <w:tcW w:w="4003" w:type="dxa"/>
          </w:tcPr>
          <w:p w14:paraId="1CCFC4F9"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1879</w:t>
            </w:r>
          </w:p>
        </w:tc>
        <w:tc>
          <w:tcPr>
            <w:tcW w:w="2458" w:type="dxa"/>
          </w:tcPr>
          <w:p w14:paraId="69C44E4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A33D4EA"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02782DF3"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78767B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St Hugh's College</w:t>
            </w:r>
          </w:p>
        </w:tc>
        <w:tc>
          <w:tcPr>
            <w:tcW w:w="4003" w:type="dxa"/>
          </w:tcPr>
          <w:p w14:paraId="00A1D5C9"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1886</w:t>
            </w:r>
          </w:p>
        </w:tc>
        <w:tc>
          <w:tcPr>
            <w:tcW w:w="2458" w:type="dxa"/>
          </w:tcPr>
          <w:p w14:paraId="5B933A63"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BE16F34"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717BD7F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71A13F3"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Mansfield College</w:t>
            </w:r>
          </w:p>
        </w:tc>
        <w:tc>
          <w:tcPr>
            <w:tcW w:w="4003" w:type="dxa"/>
          </w:tcPr>
          <w:p w14:paraId="7E7C21AC"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1886</w:t>
            </w:r>
          </w:p>
        </w:tc>
        <w:tc>
          <w:tcPr>
            <w:tcW w:w="2458" w:type="dxa"/>
          </w:tcPr>
          <w:p w14:paraId="7B24BFDD"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D57B3EC"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227409B7"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8A57391"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St Hilda's College</w:t>
            </w:r>
          </w:p>
        </w:tc>
        <w:tc>
          <w:tcPr>
            <w:tcW w:w="4003" w:type="dxa"/>
          </w:tcPr>
          <w:p w14:paraId="5E4F6375"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1893</w:t>
            </w:r>
          </w:p>
        </w:tc>
        <w:tc>
          <w:tcPr>
            <w:tcW w:w="2458" w:type="dxa"/>
          </w:tcPr>
          <w:p w14:paraId="26A75AE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14C6A57E"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289E5AAC"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E094EBA"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Campion Hall</w:t>
            </w:r>
          </w:p>
        </w:tc>
        <w:tc>
          <w:tcPr>
            <w:tcW w:w="4003" w:type="dxa"/>
          </w:tcPr>
          <w:p w14:paraId="261E1209"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1896</w:t>
            </w:r>
          </w:p>
        </w:tc>
        <w:tc>
          <w:tcPr>
            <w:tcW w:w="2458" w:type="dxa"/>
          </w:tcPr>
          <w:p w14:paraId="6AA69C4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09CD7C55"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23C787C0"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8AF945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Benet's Hall</w:t>
            </w:r>
          </w:p>
        </w:tc>
        <w:tc>
          <w:tcPr>
            <w:tcW w:w="4003" w:type="dxa"/>
          </w:tcPr>
          <w:p w14:paraId="42DA7AF0"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lang w:val="es-ES"/>
              </w:rPr>
              <w:t>1897</w:t>
            </w:r>
          </w:p>
        </w:tc>
        <w:tc>
          <w:tcPr>
            <w:tcW w:w="2458" w:type="dxa"/>
          </w:tcPr>
          <w:p w14:paraId="52AB1EE8"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02CDB70"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2B277863"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24422796"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St Peter's College</w:t>
            </w:r>
          </w:p>
        </w:tc>
        <w:tc>
          <w:tcPr>
            <w:tcW w:w="4003" w:type="dxa"/>
          </w:tcPr>
          <w:p w14:paraId="18F5731F"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1929</w:t>
            </w:r>
          </w:p>
        </w:tc>
        <w:tc>
          <w:tcPr>
            <w:tcW w:w="2458" w:type="dxa"/>
          </w:tcPr>
          <w:p w14:paraId="1B4E26A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24E3BFEA"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73EB0F35"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BB354F3"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Nuffield College</w:t>
            </w:r>
          </w:p>
        </w:tc>
        <w:tc>
          <w:tcPr>
            <w:tcW w:w="4003" w:type="dxa"/>
          </w:tcPr>
          <w:p w14:paraId="49CEA8F2"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1937</w:t>
            </w:r>
          </w:p>
        </w:tc>
        <w:tc>
          <w:tcPr>
            <w:tcW w:w="2458" w:type="dxa"/>
          </w:tcPr>
          <w:p w14:paraId="18342E5F"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1B2ED9DC"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50463FD6"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20BC7B0"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Antony's College</w:t>
            </w:r>
          </w:p>
        </w:tc>
        <w:tc>
          <w:tcPr>
            <w:tcW w:w="4003" w:type="dxa"/>
          </w:tcPr>
          <w:p w14:paraId="08F887B4"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1950</w:t>
            </w:r>
          </w:p>
        </w:tc>
        <w:tc>
          <w:tcPr>
            <w:tcW w:w="2458" w:type="dxa"/>
          </w:tcPr>
          <w:p w14:paraId="417AB2E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55BCA6A9"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6F688364"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785958E"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Catherine's College</w:t>
            </w:r>
          </w:p>
        </w:tc>
        <w:tc>
          <w:tcPr>
            <w:tcW w:w="4003" w:type="dxa"/>
          </w:tcPr>
          <w:p w14:paraId="7AC736BC"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1962</w:t>
            </w:r>
          </w:p>
        </w:tc>
        <w:tc>
          <w:tcPr>
            <w:tcW w:w="2458" w:type="dxa"/>
          </w:tcPr>
          <w:p w14:paraId="478BB572"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6887692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41528FD7"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764FAE8"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Linacre College</w:t>
            </w:r>
          </w:p>
        </w:tc>
        <w:tc>
          <w:tcPr>
            <w:tcW w:w="4003" w:type="dxa"/>
          </w:tcPr>
          <w:p w14:paraId="17FA5AEB"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1962</w:t>
            </w:r>
          </w:p>
        </w:tc>
        <w:tc>
          <w:tcPr>
            <w:tcW w:w="2458" w:type="dxa"/>
          </w:tcPr>
          <w:p w14:paraId="7A7EAB88"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33827673"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2DD9FAF9"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E7DFB53"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St Cross College</w:t>
            </w:r>
          </w:p>
        </w:tc>
        <w:tc>
          <w:tcPr>
            <w:tcW w:w="4003" w:type="dxa"/>
          </w:tcPr>
          <w:p w14:paraId="621F62F6"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1965</w:t>
            </w:r>
          </w:p>
        </w:tc>
        <w:tc>
          <w:tcPr>
            <w:tcW w:w="2458" w:type="dxa"/>
          </w:tcPr>
          <w:p w14:paraId="69245FF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15DAE4DA"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2F06ECF3"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37BCF195"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Wolfson College</w:t>
            </w:r>
          </w:p>
        </w:tc>
        <w:tc>
          <w:tcPr>
            <w:tcW w:w="4003" w:type="dxa"/>
          </w:tcPr>
          <w:p w14:paraId="668CA9A8"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1966</w:t>
            </w:r>
          </w:p>
        </w:tc>
        <w:tc>
          <w:tcPr>
            <w:tcW w:w="2458" w:type="dxa"/>
          </w:tcPr>
          <w:p w14:paraId="3D558BA4"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2A090284"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098A439C"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185064EE" w14:textId="77777777" w:rsidR="001C5F76" w:rsidRPr="00485F85" w:rsidRDefault="001C5F76" w:rsidP="001C5F7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Kellogg College</w:t>
            </w:r>
          </w:p>
        </w:tc>
        <w:tc>
          <w:tcPr>
            <w:tcW w:w="4003" w:type="dxa"/>
          </w:tcPr>
          <w:p w14:paraId="5F3CCD36" w14:textId="77777777" w:rsidR="001C5F76" w:rsidRPr="00485F85" w:rsidRDefault="001C5F76" w:rsidP="001C5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1990</w:t>
            </w:r>
          </w:p>
        </w:tc>
        <w:tc>
          <w:tcPr>
            <w:tcW w:w="2458" w:type="dxa"/>
          </w:tcPr>
          <w:p w14:paraId="3A9966C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766F9E7F"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36B23F18"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6F2B5DF2"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Green Templeton College</w:t>
            </w:r>
          </w:p>
        </w:tc>
        <w:tc>
          <w:tcPr>
            <w:tcW w:w="4003" w:type="dxa"/>
          </w:tcPr>
          <w:p w14:paraId="6DC01222" w14:textId="77777777" w:rsidR="001C5F76" w:rsidRPr="00485F85" w:rsidRDefault="001C5F76" w:rsidP="001C5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2008</w:t>
            </w:r>
          </w:p>
          <w:p w14:paraId="7C84A10D"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58" w:type="dxa"/>
          </w:tcPr>
          <w:p w14:paraId="072375EC"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0DB35DF"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tcPr>
          <w:p w14:paraId="33205E15"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7BC60D7D"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Reuben College</w:t>
            </w:r>
          </w:p>
        </w:tc>
        <w:tc>
          <w:tcPr>
            <w:tcW w:w="4003" w:type="dxa"/>
          </w:tcPr>
          <w:p w14:paraId="780067A6"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Admissão a partir de setembro de 2021</w:t>
            </w:r>
          </w:p>
        </w:tc>
        <w:tc>
          <w:tcPr>
            <w:tcW w:w="2458" w:type="dxa"/>
          </w:tcPr>
          <w:p w14:paraId="4295333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Aceita apenas alunos de pós-graduação</w:t>
            </w:r>
          </w:p>
        </w:tc>
      </w:tr>
      <w:tr w:rsidR="001C5F76" w:rsidRPr="00485F85" w14:paraId="576350BA"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4AEAB3E" w14:textId="77777777" w:rsidR="001C5F76" w:rsidRPr="00485F85" w:rsidRDefault="001C5F76" w:rsidP="001C5F76">
            <w:pPr>
              <w:contextualSpacing/>
              <w:jc w:val="both"/>
              <w:rPr>
                <w:rFonts w:asciiTheme="majorHAnsi" w:hAnsiTheme="majorHAnsi" w:cstheme="majorHAnsi"/>
              </w:rPr>
            </w:pPr>
          </w:p>
        </w:tc>
        <w:tc>
          <w:tcPr>
            <w:tcW w:w="1951" w:type="dxa"/>
            <w:gridSpan w:val="2"/>
          </w:tcPr>
          <w:p w14:paraId="5BEC2D7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r w:rsidRPr="00485F85">
              <w:rPr>
                <w:rFonts w:asciiTheme="majorHAnsi" w:hAnsiTheme="majorHAnsi" w:cstheme="majorHAnsi"/>
                <w:lang w:val="es-ES"/>
              </w:rPr>
              <w:t>OBSERVAÇÃO:</w:t>
            </w:r>
          </w:p>
        </w:tc>
        <w:tc>
          <w:tcPr>
            <w:tcW w:w="6461" w:type="dxa"/>
            <w:gridSpan w:val="2"/>
          </w:tcPr>
          <w:p w14:paraId="0E99BE39"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2351D2"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Diferentemente do Brasil OXFORD possui 39 Colleges e Halls (PPHs).</w:t>
            </w:r>
          </w:p>
          <w:p w14:paraId="5506B935"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Colleges são pequenas comunidades acadêmicas onde estudantes de graduação encontram acadêmicos e colegas estudantes em uma variedade de assuntos de todo o mundo. Diversos deles são dedicados apenas a alunos de pós-graduação e fornecem apoio universitário sob medida para mais de um terço de nossa população de pós-graduados.</w:t>
            </w:r>
          </w:p>
          <w:p w14:paraId="7DFC10E0"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bookmarkStart w:id="50" w:name="_Hlk79946374"/>
            <w:r w:rsidRPr="00485F85">
              <w:rPr>
                <w:rFonts w:asciiTheme="majorHAnsi" w:hAnsiTheme="majorHAnsi" w:cstheme="majorHAnsi"/>
              </w:rPr>
              <w:t xml:space="preserve">Os  Halls Privados Permanentes, são muito semelhantes aos Colleges, exceto que tendem a ser menores. </w:t>
            </w:r>
            <w:r w:rsidRPr="00485F85">
              <w:rPr>
                <w:rFonts w:asciiTheme="majorHAnsi" w:hAnsiTheme="majorHAnsi" w:cstheme="majorHAnsi"/>
                <w:lang w:val="en-US"/>
              </w:rPr>
              <w:t>Eles são fundados por denominações cristãs específicas. São eles: Blackfriars Hall, Campion Hall, Regent's Park College, St Benet's Hall, St Stephen's House, Wycliffe Hall.</w:t>
            </w:r>
            <w:bookmarkEnd w:id="50"/>
            <w:r w:rsidRPr="00485F85">
              <w:rPr>
                <w:rFonts w:asciiTheme="majorHAnsi" w:hAnsiTheme="majorHAnsi" w:cstheme="majorHAnsi"/>
                <w:lang w:val="en-US"/>
              </w:rPr>
              <w:t xml:space="preserve"> </w:t>
            </w:r>
            <w:r w:rsidRPr="00485F85">
              <w:rPr>
                <w:rFonts w:asciiTheme="majorHAnsi" w:hAnsiTheme="majorHAnsi" w:cstheme="majorHAnsi"/>
              </w:rPr>
              <w:t>Existem três PPHs em Oxford admitindo alunos de graduação. Eles oferecem menos cursos do que a maioria das faculdades. Os alunos do PPHs são membros da universidade, assim como os alunos dos Colleges, e têm acesso exatamente às mesmas instalações e atividades da universidade.</w:t>
            </w:r>
          </w:p>
          <w:p w14:paraId="4A204D6C"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Desse modo, por seus pilares de ensino, pesquisa e extensão essas unidades foram comparadas às Unidades Acadêmicas brasileiras. Contudo é importante dizer que a liberdade administrativa e financeira dos Colleges e PPHs existe e eles podem deliberar suas questões de forma independente. </w:t>
            </w:r>
          </w:p>
          <w:p w14:paraId="5446FF60" w14:textId="77777777" w:rsidR="001C5F76" w:rsidRPr="00485F85" w:rsidRDefault="001C5F76" w:rsidP="001C5F7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2BFE93B"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08AF879B" w14:textId="77777777" w:rsidTr="00A206D5">
        <w:tc>
          <w:tcPr>
            <w:cnfStyle w:val="001000000000" w:firstRow="0" w:lastRow="0" w:firstColumn="1" w:lastColumn="0" w:oddVBand="0" w:evenVBand="0" w:oddHBand="0" w:evenHBand="0" w:firstRowFirstColumn="0" w:firstRowLastColumn="0" w:lastRowFirstColumn="0" w:lastRowLastColumn="0"/>
            <w:tcW w:w="1418" w:type="dxa"/>
            <w:vMerge w:val="restart"/>
          </w:tcPr>
          <w:p w14:paraId="181CD6AD" w14:textId="77777777" w:rsidR="001C5F76" w:rsidRPr="00485F85" w:rsidRDefault="001C5F76" w:rsidP="001C5F76">
            <w:pPr>
              <w:contextualSpacing/>
              <w:jc w:val="both"/>
              <w:rPr>
                <w:rFonts w:asciiTheme="majorHAnsi" w:hAnsiTheme="majorHAnsi" w:cstheme="majorHAnsi"/>
              </w:rPr>
            </w:pPr>
            <w:r w:rsidRPr="00485F85">
              <w:rPr>
                <w:rFonts w:asciiTheme="majorHAnsi" w:hAnsiTheme="majorHAnsi" w:cstheme="majorHAnsi"/>
              </w:rPr>
              <w:t>Apresenta características de gestão democrática?</w:t>
            </w:r>
          </w:p>
        </w:tc>
        <w:tc>
          <w:tcPr>
            <w:tcW w:w="1134" w:type="dxa"/>
          </w:tcPr>
          <w:p w14:paraId="25645BED"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817" w:type="dxa"/>
          </w:tcPr>
          <w:p w14:paraId="16276BF7" w14:textId="77777777" w:rsidR="001C5F76" w:rsidRPr="00485F85" w:rsidRDefault="001C5F76" w:rsidP="001C5F76">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w:t>
            </w:r>
          </w:p>
        </w:tc>
        <w:tc>
          <w:tcPr>
            <w:tcW w:w="6461" w:type="dxa"/>
            <w:gridSpan w:val="2"/>
            <w:vMerge w:val="restart"/>
          </w:tcPr>
          <w:p w14:paraId="0165A68B"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Justificativa</w:t>
            </w:r>
          </w:p>
          <w:p w14:paraId="33B2E4B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0FDC9A6"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Por meio de estrutura de governança da universidade é possível observar que Divisões Acadêmicas, Colleges, Institutos e, também, outras esferas da universidade como Museus e Bibliotecas possuem seus próprios gestores e suas verbas para administrarem, ampliando as visões de gestão e tomadas de decisão.</w:t>
            </w:r>
          </w:p>
          <w:p w14:paraId="532DEA57"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383E59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Além disso, Oxford possui diversos Comitês formados por diferentes tipos de funcionários e estudantes, o que abre a perspectiva de participação da comunidade acadêmica nos processos de construção de políticas e gestão.</w:t>
            </w:r>
          </w:p>
          <w:p w14:paraId="160BD7D5" w14:textId="77777777" w:rsidR="001C5F76" w:rsidRPr="00485F85" w:rsidRDefault="00A515B3"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30" w:anchor="/" w:history="1">
              <w:r w:rsidR="001C5F76" w:rsidRPr="00485F85">
                <w:rPr>
                  <w:rFonts w:asciiTheme="majorHAnsi" w:hAnsiTheme="majorHAnsi" w:cstheme="majorHAnsi"/>
                  <w:color w:val="4875BD" w:themeColor="accent1"/>
                  <w:u w:val="single"/>
                </w:rPr>
                <w:t>https://governance.admin.ox.ac.uk/the-universitys-governance-structure#/</w:t>
              </w:r>
            </w:hyperlink>
            <w:r w:rsidR="001C5F76" w:rsidRPr="00485F85">
              <w:rPr>
                <w:rFonts w:asciiTheme="majorHAnsi" w:hAnsiTheme="majorHAnsi" w:cstheme="majorHAnsi"/>
              </w:rPr>
              <w:t xml:space="preserve"> </w:t>
            </w:r>
          </w:p>
          <w:p w14:paraId="5F63B129"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E90673C" w14:textId="77777777" w:rsidR="001C5F76" w:rsidRPr="00485F85" w:rsidRDefault="00A515B3"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31" w:history="1">
              <w:r w:rsidR="001C5F76" w:rsidRPr="00485F85">
                <w:rPr>
                  <w:rFonts w:asciiTheme="majorHAnsi" w:hAnsiTheme="majorHAnsi" w:cstheme="majorHAnsi"/>
                  <w:color w:val="4875BD" w:themeColor="accent1"/>
                  <w:u w:val="single"/>
                </w:rPr>
                <w:t>https://governance.admin.ox.ac.uk/committees</w:t>
              </w:r>
            </w:hyperlink>
            <w:r w:rsidR="001C5F76" w:rsidRPr="00485F85">
              <w:rPr>
                <w:rFonts w:asciiTheme="majorHAnsi" w:hAnsiTheme="majorHAnsi" w:cstheme="majorHAnsi"/>
              </w:rPr>
              <w:t xml:space="preserve"> </w:t>
            </w:r>
          </w:p>
          <w:p w14:paraId="54D52D81"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13F9D5C"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08490B0" w14:textId="77777777" w:rsidR="001C5F76" w:rsidRPr="00485F85" w:rsidRDefault="001C5F76" w:rsidP="001C5F76">
            <w:pPr>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w:t>
            </w:r>
          </w:p>
        </w:tc>
      </w:tr>
      <w:tr w:rsidR="001C5F76" w:rsidRPr="00485F85" w14:paraId="4A38D21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Pr>
          <w:p w14:paraId="50F20CB7" w14:textId="77777777" w:rsidR="001C5F76" w:rsidRPr="00485F85" w:rsidRDefault="001C5F76" w:rsidP="001C5F76">
            <w:pPr>
              <w:contextualSpacing/>
              <w:jc w:val="both"/>
              <w:rPr>
                <w:rFonts w:asciiTheme="majorHAnsi" w:hAnsiTheme="majorHAnsi" w:cstheme="majorHAnsi"/>
              </w:rPr>
            </w:pPr>
          </w:p>
        </w:tc>
        <w:tc>
          <w:tcPr>
            <w:tcW w:w="1134" w:type="dxa"/>
          </w:tcPr>
          <w:p w14:paraId="70DEA64A"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89E4E9C" w14:textId="77777777" w:rsidR="001C5F76" w:rsidRPr="00485F85" w:rsidRDefault="001C5F76" w:rsidP="001C5F76">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X</w:t>
            </w:r>
          </w:p>
        </w:tc>
        <w:tc>
          <w:tcPr>
            <w:tcW w:w="817" w:type="dxa"/>
          </w:tcPr>
          <w:p w14:paraId="5C3A7589"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6461" w:type="dxa"/>
            <w:gridSpan w:val="2"/>
            <w:vMerge/>
          </w:tcPr>
          <w:p w14:paraId="49BBF1D2" w14:textId="77777777" w:rsidR="001C5F76" w:rsidRPr="00485F85" w:rsidRDefault="001C5F76" w:rsidP="001C5F76">
            <w:pPr>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0E09D2B" w14:textId="77777777" w:rsidR="001C5F76" w:rsidRPr="00485F85" w:rsidRDefault="001C5F76" w:rsidP="001C5F76">
      <w:pPr>
        <w:jc w:val="both"/>
        <w:rPr>
          <w:rFonts w:asciiTheme="majorHAnsi" w:hAnsiTheme="majorHAnsi" w:cstheme="majorHAnsi"/>
          <w:b/>
        </w:rPr>
      </w:pPr>
    </w:p>
    <w:p w14:paraId="441B3B7B" w14:textId="77777777" w:rsidR="00A206D5" w:rsidRDefault="00A206D5">
      <w:r>
        <w:br w:type="page"/>
      </w:r>
    </w:p>
    <w:tbl>
      <w:tblPr>
        <w:tblStyle w:val="TabeladeLista6Colorida-nfase3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15"/>
        <w:gridCol w:w="709"/>
        <w:gridCol w:w="851"/>
        <w:gridCol w:w="386"/>
        <w:gridCol w:w="2161"/>
        <w:gridCol w:w="3548"/>
      </w:tblGrid>
      <w:tr w:rsidR="00A206D5" w:rsidRPr="00A206D5" w14:paraId="446804FC" w14:textId="77777777" w:rsidTr="00A20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7"/>
            <w:shd w:val="clear" w:color="auto" w:fill="4875BD" w:themeFill="accent1"/>
          </w:tcPr>
          <w:p w14:paraId="5A3F2B2B" w14:textId="34E8052C" w:rsidR="001C5F76" w:rsidRPr="00A206D5" w:rsidRDefault="001C5F76" w:rsidP="00A206D5">
            <w:pPr>
              <w:spacing w:line="360" w:lineRule="auto"/>
              <w:jc w:val="both"/>
              <w:rPr>
                <w:rFonts w:asciiTheme="majorHAnsi" w:hAnsiTheme="majorHAnsi" w:cstheme="majorHAnsi"/>
                <w:b w:val="0"/>
                <w:color w:val="FFFFFF" w:themeColor="background1"/>
              </w:rPr>
            </w:pPr>
            <w:r w:rsidRPr="00A206D5">
              <w:rPr>
                <w:rFonts w:asciiTheme="majorHAnsi" w:hAnsiTheme="majorHAnsi" w:cstheme="majorHAnsi"/>
                <w:color w:val="FFFFFF" w:themeColor="background1"/>
              </w:rPr>
              <w:lastRenderedPageBreak/>
              <w:t>Dimensão 2. Infraestrutura Física</w:t>
            </w:r>
          </w:p>
        </w:tc>
      </w:tr>
      <w:tr w:rsidR="001C5F76" w:rsidRPr="00485F85" w14:paraId="7CED2ED0"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7"/>
          </w:tcPr>
          <w:p w14:paraId="659414C1"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Indicadores</w:t>
            </w:r>
          </w:p>
        </w:tc>
      </w:tr>
      <w:tr w:rsidR="001C5F76" w:rsidRPr="00485F85" w14:paraId="7CC86440"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7"/>
          </w:tcPr>
          <w:p w14:paraId="3229E7AF"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2.1. Campus Sede: (Breve descrição)</w:t>
            </w:r>
          </w:p>
          <w:p w14:paraId="0CAA03D0" w14:textId="77777777" w:rsidR="001C5F76" w:rsidRPr="00485F85" w:rsidRDefault="001C5F76" w:rsidP="00A206D5">
            <w:pPr>
              <w:spacing w:line="360" w:lineRule="auto"/>
              <w:jc w:val="both"/>
              <w:rPr>
                <w:rFonts w:asciiTheme="majorHAnsi" w:hAnsiTheme="majorHAnsi" w:cstheme="majorHAnsi"/>
                <w:b w:val="0"/>
              </w:rPr>
            </w:pPr>
          </w:p>
          <w:p w14:paraId="7160F0DE"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A universidade não possui um campus principal. Em vez disso, OXFORD é a reunião de Colleges, Edifícios, Bibliotecas, Teatros, Museus, Acomodações e Parques espalhados em toda cidade de Oxford. Suas principais instalações são:</w:t>
            </w:r>
          </w:p>
          <w:p w14:paraId="2F05583B" w14:textId="77777777" w:rsidR="001C5F76" w:rsidRPr="00485F85" w:rsidRDefault="001C5F76" w:rsidP="00A206D5">
            <w:pPr>
              <w:spacing w:line="360" w:lineRule="auto"/>
              <w:jc w:val="both"/>
              <w:rPr>
                <w:rFonts w:asciiTheme="majorHAnsi" w:hAnsiTheme="majorHAnsi" w:cstheme="majorHAnsi"/>
              </w:rPr>
            </w:pPr>
          </w:p>
          <w:p w14:paraId="7B169257"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The Oxford Medical School</w:t>
            </w:r>
          </w:p>
          <w:p w14:paraId="2BF91BAD"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Oxford é um centro médico moderno, mas, como uma das escolas médicas mais antigas da Europa, carrega traços de influências que remontam à Idade Média. A Universidade está envolvida no ensino da medicina e na atribuição de diplomas médicos desde o século XIII. A parte principal da Oxford Medical School está sediada na unidade John Radcliffe do Oxford Radcliffe Hospital NHS Trust (ORH), com ensino e pesquisa também sendo realizados em outros hospitais da cidade. O curso clínico segue o curso pré-clínico que, se feito em Oxford, é baseado nos departamentos pré-clínicos da Área de Ciências da Universidade.</w:t>
            </w:r>
          </w:p>
          <w:p w14:paraId="0EA7904C" w14:textId="77777777" w:rsidR="001C5F76" w:rsidRPr="00485F85" w:rsidRDefault="001C5F76" w:rsidP="00A206D5">
            <w:pPr>
              <w:spacing w:line="360" w:lineRule="auto"/>
              <w:jc w:val="both"/>
              <w:rPr>
                <w:rFonts w:asciiTheme="majorHAnsi" w:hAnsiTheme="majorHAnsi" w:cstheme="majorHAnsi"/>
              </w:rPr>
            </w:pPr>
          </w:p>
          <w:p w14:paraId="4D575BEC"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Ashmolean Museum</w:t>
            </w:r>
          </w:p>
          <w:p w14:paraId="2B6E3BE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É o museu de arte e arqueologia da Universidade de Oxford. Fundado em 1683, é o primeiro museu público da Grã-Bretanha e lar de meio milhão de anos de história e criatividade humanas, de antigas múmias egípcias à arte moderna e muito mais.</w:t>
            </w:r>
          </w:p>
          <w:p w14:paraId="3EFE1970" w14:textId="77777777" w:rsidR="001C5F76" w:rsidRPr="00485F85" w:rsidRDefault="001C5F76" w:rsidP="00A206D5">
            <w:pPr>
              <w:spacing w:line="360" w:lineRule="auto"/>
              <w:jc w:val="both"/>
              <w:rPr>
                <w:rFonts w:asciiTheme="majorHAnsi" w:hAnsiTheme="majorHAnsi" w:cstheme="majorHAnsi"/>
              </w:rPr>
            </w:pPr>
          </w:p>
          <w:p w14:paraId="3522C0D2" w14:textId="77777777" w:rsidR="001C5F76" w:rsidRPr="00485F85" w:rsidRDefault="001C5F76" w:rsidP="00A206D5">
            <w:pPr>
              <w:spacing w:line="360" w:lineRule="auto"/>
              <w:jc w:val="both"/>
              <w:rPr>
                <w:rFonts w:asciiTheme="majorHAnsi" w:hAnsiTheme="majorHAnsi" w:cstheme="majorHAnsi"/>
                <w:b w:val="0"/>
                <w:bCs w:val="0"/>
                <w:lang w:val="en-US"/>
              </w:rPr>
            </w:pPr>
            <w:r w:rsidRPr="00485F85">
              <w:rPr>
                <w:rFonts w:asciiTheme="majorHAnsi" w:hAnsiTheme="majorHAnsi" w:cstheme="majorHAnsi"/>
                <w:lang w:val="en-US"/>
              </w:rPr>
              <w:t>Oxford University Museum of Natural History</w:t>
            </w:r>
          </w:p>
          <w:p w14:paraId="114BF7AE"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Detém uma coleção internacionalmente significativa de espécimes e arquivos de história natural em um exemplo impressionante de arquitetura neogótica. É o lar de um animado programa de pesquisa, ensino e eventos focados nas ciências do meio ambiente.</w:t>
            </w:r>
          </w:p>
          <w:p w14:paraId="2A699B50" w14:textId="77777777" w:rsidR="001C5F76" w:rsidRPr="00485F85" w:rsidRDefault="001C5F76" w:rsidP="00A206D5">
            <w:pPr>
              <w:spacing w:line="360" w:lineRule="auto"/>
              <w:jc w:val="both"/>
              <w:rPr>
                <w:rFonts w:asciiTheme="majorHAnsi" w:hAnsiTheme="majorHAnsi" w:cstheme="majorHAnsi"/>
              </w:rPr>
            </w:pPr>
          </w:p>
          <w:p w14:paraId="30782262"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History of Science Museum</w:t>
            </w:r>
          </w:p>
          <w:p w14:paraId="0BCBC6AC"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Edifício de museu público construído propositadamente mais antigo do mundo. Descubra histórias da ciência para despertar sua curiosidade, desde o quadro-negro de Einstein e as primeiras culturas de penicilina que salvaram vidas até a melhor coleção de astrolábios engenhosos do mundo.</w:t>
            </w:r>
          </w:p>
          <w:p w14:paraId="23916963" w14:textId="77777777" w:rsidR="001C5F76" w:rsidRPr="00485F85" w:rsidRDefault="001C5F76" w:rsidP="00A206D5">
            <w:pPr>
              <w:spacing w:line="360" w:lineRule="auto"/>
              <w:jc w:val="both"/>
              <w:rPr>
                <w:rFonts w:asciiTheme="majorHAnsi" w:hAnsiTheme="majorHAnsi" w:cstheme="majorHAnsi"/>
              </w:rPr>
            </w:pPr>
          </w:p>
          <w:p w14:paraId="1C84B796"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Pitt Rivers Museum</w:t>
            </w:r>
          </w:p>
          <w:p w14:paraId="2A83A6F2"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Possui uma das melhores coleções mundiais de antropologia e arqueologia, com objetos de todos os continentes e de toda a história da humanidade.</w:t>
            </w:r>
          </w:p>
          <w:p w14:paraId="17A86743" w14:textId="77777777" w:rsidR="001C5F76" w:rsidRPr="00485F85" w:rsidRDefault="001C5F76" w:rsidP="00A206D5">
            <w:pPr>
              <w:spacing w:line="360" w:lineRule="auto"/>
              <w:jc w:val="both"/>
              <w:rPr>
                <w:rFonts w:asciiTheme="majorHAnsi" w:hAnsiTheme="majorHAnsi" w:cstheme="majorHAnsi"/>
              </w:rPr>
            </w:pPr>
          </w:p>
          <w:p w14:paraId="328E248C"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Bate Collection of Musical Instruments</w:t>
            </w:r>
          </w:p>
          <w:p w14:paraId="121CD2F9"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Celebra a história e o desenvolvimento dos instrumentos musicais da tradição clássica ocidental, desde o período medieval até os dias atuais.</w:t>
            </w:r>
          </w:p>
          <w:p w14:paraId="76D65233" w14:textId="77777777" w:rsidR="001C5F76" w:rsidRPr="00485F85" w:rsidRDefault="001C5F76" w:rsidP="00A206D5">
            <w:pPr>
              <w:spacing w:line="360" w:lineRule="auto"/>
              <w:jc w:val="both"/>
              <w:rPr>
                <w:rFonts w:asciiTheme="majorHAnsi" w:hAnsiTheme="majorHAnsi" w:cstheme="majorHAnsi"/>
              </w:rPr>
            </w:pPr>
          </w:p>
          <w:p w14:paraId="171C7421"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Bodleian Library &amp; Weston Library</w:t>
            </w:r>
          </w:p>
          <w:p w14:paraId="399FC45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Foi fundada por Sir Thomas Bodley e inaugurada oficialmente em 1602. Desde então, as bibliotecas Bodleian se tornaram o maior sistema de bibliotecas acadêmicas do Reino Unido.</w:t>
            </w:r>
          </w:p>
          <w:p w14:paraId="413D34B2" w14:textId="77777777" w:rsidR="001C5F76" w:rsidRPr="00485F85" w:rsidRDefault="001C5F76" w:rsidP="00A206D5">
            <w:pPr>
              <w:spacing w:line="360" w:lineRule="auto"/>
              <w:jc w:val="both"/>
              <w:rPr>
                <w:rFonts w:asciiTheme="majorHAnsi" w:hAnsiTheme="majorHAnsi" w:cstheme="majorHAnsi"/>
              </w:rPr>
            </w:pPr>
          </w:p>
          <w:p w14:paraId="641B75BE"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Christ Church Picture Gallery</w:t>
            </w:r>
          </w:p>
          <w:p w14:paraId="0C80D524"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Abriga uma importante coleção de 300 pinturas dos Antigos Mestres e quase 2.000 desenhos em uma galeria construída para esse fim de considerável interesse arquitetônico.</w:t>
            </w:r>
          </w:p>
          <w:p w14:paraId="457D74C2" w14:textId="77777777" w:rsidR="001C5F76" w:rsidRPr="00485F85" w:rsidRDefault="001C5F76" w:rsidP="00A206D5">
            <w:pPr>
              <w:spacing w:line="360" w:lineRule="auto"/>
              <w:jc w:val="both"/>
              <w:rPr>
                <w:rFonts w:asciiTheme="majorHAnsi" w:hAnsiTheme="majorHAnsi" w:cstheme="majorHAnsi"/>
              </w:rPr>
            </w:pPr>
          </w:p>
          <w:p w14:paraId="78F51688"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Christ Church Meadow</w:t>
            </w:r>
          </w:p>
          <w:p w14:paraId="6D6E5A5C"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É uma grande área de pastagem tranquila no coração da movimentada cidade de Oxford, de propriedade e mantida por Christ Church e que faz fronteira com os rios Cherwell e Isis.</w:t>
            </w:r>
          </w:p>
          <w:p w14:paraId="3D8D7E79"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 xml:space="preserve"> </w:t>
            </w:r>
          </w:p>
          <w:p w14:paraId="7839B5F4" w14:textId="77777777" w:rsidR="001C5F76" w:rsidRPr="00485F85" w:rsidRDefault="001C5F76" w:rsidP="00A206D5">
            <w:pPr>
              <w:spacing w:line="360" w:lineRule="auto"/>
              <w:jc w:val="both"/>
              <w:rPr>
                <w:rFonts w:asciiTheme="majorHAnsi" w:hAnsiTheme="majorHAnsi" w:cstheme="majorHAnsi"/>
              </w:rPr>
            </w:pPr>
          </w:p>
          <w:p w14:paraId="59065537" w14:textId="77777777" w:rsidR="001C5F76" w:rsidRPr="00485F85" w:rsidRDefault="001C5F76" w:rsidP="00A206D5">
            <w:pPr>
              <w:spacing w:line="360" w:lineRule="auto"/>
              <w:jc w:val="both"/>
              <w:rPr>
                <w:rFonts w:asciiTheme="majorHAnsi" w:hAnsiTheme="majorHAnsi" w:cstheme="majorHAnsi"/>
              </w:rPr>
            </w:pPr>
          </w:p>
          <w:p w14:paraId="62FFF752"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Botanic Garden</w:t>
            </w:r>
          </w:p>
          <w:p w14:paraId="10BFE48D"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É o jardim botânico mais antigo da Grã-Bretanha e forma a coleção de plantas mais compacta e diversa do mundo.</w:t>
            </w:r>
          </w:p>
          <w:p w14:paraId="2CAFADF2" w14:textId="77777777" w:rsidR="001C5F76" w:rsidRPr="00485F85" w:rsidRDefault="001C5F76" w:rsidP="00A206D5">
            <w:pPr>
              <w:spacing w:line="360" w:lineRule="auto"/>
              <w:jc w:val="both"/>
              <w:rPr>
                <w:rFonts w:asciiTheme="majorHAnsi" w:hAnsiTheme="majorHAnsi" w:cstheme="majorHAnsi"/>
              </w:rPr>
            </w:pPr>
          </w:p>
          <w:p w14:paraId="6AB0E3A5"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Harcourt Arboretum</w:t>
            </w:r>
          </w:p>
          <w:p w14:paraId="1F1A1CC4"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É o lar de muitas belas árvores de todo o mundo, um dos melhores bosques de bluebell neste condado e prados recém-restaurados. O local compreende 130 acres contendo a melhor coleção de árvores em Oxfordshire com algumas das sequoias mais antigas do Reino Unido.</w:t>
            </w:r>
          </w:p>
          <w:p w14:paraId="47CE4D4A" w14:textId="77777777" w:rsidR="001C5F76" w:rsidRPr="00485F85" w:rsidRDefault="001C5F76" w:rsidP="00A206D5">
            <w:pPr>
              <w:spacing w:line="360" w:lineRule="auto"/>
              <w:jc w:val="both"/>
              <w:rPr>
                <w:rFonts w:asciiTheme="majorHAnsi" w:hAnsiTheme="majorHAnsi" w:cstheme="majorHAnsi"/>
              </w:rPr>
            </w:pPr>
          </w:p>
          <w:p w14:paraId="5077F1AA"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University Parks</w:t>
            </w:r>
          </w:p>
          <w:p w14:paraId="247EE22C"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Consistem em cerca de 70 acres (30 hectares) de belos parques, às margens do Rio Cherwell, incluindo áreas esportivas, um lago com patos e uma grande coleção de plantas e árvores em um ambiente paisagístico.</w:t>
            </w:r>
          </w:p>
          <w:p w14:paraId="32B77C8A" w14:textId="77777777" w:rsidR="001C5F76" w:rsidRPr="00485F85" w:rsidRDefault="001C5F76" w:rsidP="00A206D5">
            <w:pPr>
              <w:spacing w:line="360" w:lineRule="auto"/>
              <w:jc w:val="both"/>
              <w:rPr>
                <w:rFonts w:asciiTheme="majorHAnsi" w:hAnsiTheme="majorHAnsi" w:cstheme="majorHAnsi"/>
              </w:rPr>
            </w:pPr>
          </w:p>
          <w:p w14:paraId="443189B5"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Sheldonian Theatre</w:t>
            </w:r>
          </w:p>
          <w:p w14:paraId="3B7CBAD9" w14:textId="77777777" w:rsidR="001C5F76" w:rsidRPr="00485F85" w:rsidRDefault="001C5F76" w:rsidP="00A206D5">
            <w:pPr>
              <w:spacing w:line="360" w:lineRule="auto"/>
              <w:jc w:val="both"/>
              <w:rPr>
                <w:rFonts w:asciiTheme="majorHAnsi" w:hAnsiTheme="majorHAnsi" w:cstheme="majorHAnsi"/>
                <w:lang w:val="en-US"/>
              </w:rPr>
            </w:pPr>
            <w:r w:rsidRPr="00485F85">
              <w:rPr>
                <w:rFonts w:asciiTheme="majorHAnsi" w:hAnsiTheme="majorHAnsi" w:cstheme="majorHAnsi"/>
              </w:rPr>
              <w:t xml:space="preserve">Projetado por Christopher Wren, o Sheldonian Theatre é a principal reunião e local cerimonial da </w:t>
            </w:r>
            <w:r w:rsidRPr="00485F85">
              <w:rPr>
                <w:rFonts w:asciiTheme="majorHAnsi" w:hAnsiTheme="majorHAnsi" w:cstheme="majorHAnsi"/>
              </w:rPr>
              <w:lastRenderedPageBreak/>
              <w:t xml:space="preserve">Universidade. </w:t>
            </w:r>
            <w:r w:rsidRPr="00485F85">
              <w:rPr>
                <w:rFonts w:asciiTheme="majorHAnsi" w:hAnsiTheme="majorHAnsi" w:cstheme="majorHAnsi"/>
                <w:lang w:val="en-US"/>
              </w:rPr>
              <w:t>Oferece excelentes vistas panorâmicas sobre Oxford.</w:t>
            </w:r>
          </w:p>
          <w:p w14:paraId="3B18E55C" w14:textId="77777777" w:rsidR="001C5F76" w:rsidRPr="00485F85" w:rsidRDefault="001C5F76" w:rsidP="00A206D5">
            <w:pPr>
              <w:spacing w:line="360" w:lineRule="auto"/>
              <w:jc w:val="both"/>
              <w:rPr>
                <w:rFonts w:asciiTheme="majorHAnsi" w:hAnsiTheme="majorHAnsi" w:cstheme="majorHAnsi"/>
                <w:lang w:val="en-US"/>
              </w:rPr>
            </w:pPr>
          </w:p>
          <w:p w14:paraId="4523BBAF" w14:textId="77777777" w:rsidR="001C5F76" w:rsidRPr="00485F85" w:rsidRDefault="001C5F76" w:rsidP="00A206D5">
            <w:pPr>
              <w:spacing w:line="360" w:lineRule="auto"/>
              <w:jc w:val="both"/>
              <w:rPr>
                <w:rFonts w:asciiTheme="majorHAnsi" w:hAnsiTheme="majorHAnsi" w:cstheme="majorHAnsi"/>
                <w:b w:val="0"/>
                <w:bCs w:val="0"/>
                <w:lang w:val="en-US"/>
              </w:rPr>
            </w:pPr>
            <w:r w:rsidRPr="00485F85">
              <w:rPr>
                <w:rFonts w:asciiTheme="majorHAnsi" w:hAnsiTheme="majorHAnsi" w:cstheme="majorHAnsi"/>
                <w:lang w:val="en-US"/>
              </w:rPr>
              <w:t>University Church of St Mary the Virgin</w:t>
            </w:r>
          </w:p>
          <w:p w14:paraId="06E40A6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A própria igreja da Universidade tem uma história longa e variada e oferece excelentes vistas panorâmicas da cidade. Possui também um excelente  café com jardim,</w:t>
            </w:r>
          </w:p>
          <w:p w14:paraId="75710057" w14:textId="77777777" w:rsidR="001C5F76" w:rsidRPr="00485F85" w:rsidRDefault="001C5F76" w:rsidP="00A206D5">
            <w:pPr>
              <w:spacing w:line="360" w:lineRule="auto"/>
              <w:jc w:val="both"/>
              <w:rPr>
                <w:rFonts w:asciiTheme="majorHAnsi" w:hAnsiTheme="majorHAnsi" w:cstheme="majorHAnsi"/>
              </w:rPr>
            </w:pPr>
          </w:p>
          <w:p w14:paraId="0B26F668"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Oxford University Press</w:t>
            </w:r>
          </w:p>
          <w:p w14:paraId="70C79D5D"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Oxford University Press (OUP) é um departamento da Universidade de Oxford. Ele promove o objetivo da universidade de excelência em pesquisa, bolsa de estudos e educação publicando em todo o mundo.</w:t>
            </w:r>
          </w:p>
          <w:p w14:paraId="34ECF1B8"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Oxford University Press é a maior editora universitária do mundo, publicando para três mercados principais: pesquisa, educação e ensino da língua inglesa. A missão da OUP é criar recursos acadêmicos e educacionais de classe mundial e disponibilizá-los da forma mais ampla possível.</w:t>
            </w:r>
          </w:p>
          <w:p w14:paraId="01020048" w14:textId="77777777" w:rsidR="001C5F76" w:rsidRPr="00485F85" w:rsidRDefault="001C5F76" w:rsidP="00A206D5">
            <w:pPr>
              <w:spacing w:line="360" w:lineRule="auto"/>
              <w:jc w:val="both"/>
              <w:rPr>
                <w:rFonts w:asciiTheme="majorHAnsi" w:hAnsiTheme="majorHAnsi" w:cstheme="majorHAnsi"/>
              </w:rPr>
            </w:pPr>
          </w:p>
          <w:p w14:paraId="44D174DE"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Examination Schools</w:t>
            </w:r>
          </w:p>
          <w:p w14:paraId="327D30A8"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Com arquitetura deslumbrante, instalações modernas e serviço de bufê que impressiona, este local incomum é ideal para grandes conferências, reuniões, festivais, palestras, jantares e muito mais. Localizada no centro da cidade de Oxford, sua maior sala pode acomodar até 440 com mais 13 salas de reuniões que são verdadeiramente flexíveis para 10 a 330. As salas de reuniões estão distribuídas em dois andares acessíveis e fáceis de navegar. Um lindo quádruplo externo oferece sala de conferências extra ou espaço para refeições para 300 quando uma tenda é usada</w:t>
            </w:r>
          </w:p>
          <w:p w14:paraId="07C07154" w14:textId="77777777" w:rsidR="001C5F76" w:rsidRPr="00485F85" w:rsidRDefault="001C5F76" w:rsidP="00A206D5">
            <w:pPr>
              <w:spacing w:line="360" w:lineRule="auto"/>
              <w:jc w:val="both"/>
              <w:rPr>
                <w:rFonts w:asciiTheme="majorHAnsi" w:hAnsiTheme="majorHAnsi" w:cstheme="majorHAnsi"/>
              </w:rPr>
            </w:pPr>
          </w:p>
        </w:tc>
      </w:tr>
      <w:tr w:rsidR="001C5F76" w:rsidRPr="00485F85" w14:paraId="210F82E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14:paraId="2EBAE90E"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lastRenderedPageBreak/>
              <w:t>2.1.1 Área construída</w:t>
            </w:r>
          </w:p>
          <w:p w14:paraId="538B9706" w14:textId="77777777" w:rsidR="001C5F76" w:rsidRPr="00485F85" w:rsidRDefault="001C5F76" w:rsidP="00A206D5">
            <w:pPr>
              <w:spacing w:line="360" w:lineRule="auto"/>
              <w:jc w:val="both"/>
              <w:rPr>
                <w:rFonts w:asciiTheme="majorHAnsi" w:hAnsiTheme="majorHAnsi" w:cstheme="majorHAnsi"/>
                <w:b w:val="0"/>
              </w:rPr>
            </w:pPr>
          </w:p>
        </w:tc>
        <w:tc>
          <w:tcPr>
            <w:tcW w:w="4322" w:type="dxa"/>
            <w:gridSpan w:val="5"/>
          </w:tcPr>
          <w:p w14:paraId="2D2DB25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4D1ED844"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p w14:paraId="335B98C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5C0199C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3548" w:type="dxa"/>
          </w:tcPr>
          <w:p w14:paraId="4474848A"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450D6C89"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Como seus edifícios, Colleges, e demais estruturas estão espalhadas pela cidade, não é possível estimar uma área global construída.</w:t>
            </w:r>
          </w:p>
          <w:p w14:paraId="2F09ABC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4417BCC9" w14:textId="77777777" w:rsidTr="00A206D5">
        <w:trPr>
          <w:trHeight w:val="204"/>
        </w:trPr>
        <w:tc>
          <w:tcPr>
            <w:cnfStyle w:val="001000000000" w:firstRow="0" w:lastRow="0" w:firstColumn="1" w:lastColumn="0" w:oddVBand="0" w:evenVBand="0" w:oddHBand="0" w:evenHBand="0" w:firstRowFirstColumn="0" w:firstRowLastColumn="0" w:lastRowFirstColumn="0" w:lastRowLastColumn="0"/>
            <w:tcW w:w="2479" w:type="dxa"/>
            <w:vMerge w:val="restart"/>
          </w:tcPr>
          <w:p w14:paraId="6B1DA5B1"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2.1.2 Número de cursos oferecidos</w:t>
            </w:r>
          </w:p>
          <w:p w14:paraId="6B6A65F8" w14:textId="77777777" w:rsidR="001C5F76" w:rsidRPr="00485F85" w:rsidRDefault="001C5F76" w:rsidP="00A206D5">
            <w:pPr>
              <w:spacing w:line="360" w:lineRule="auto"/>
              <w:jc w:val="both"/>
              <w:rPr>
                <w:rFonts w:asciiTheme="majorHAnsi" w:hAnsiTheme="majorHAnsi" w:cstheme="majorHAnsi"/>
                <w:b w:val="0"/>
              </w:rPr>
            </w:pPr>
          </w:p>
        </w:tc>
        <w:tc>
          <w:tcPr>
            <w:tcW w:w="2161" w:type="dxa"/>
            <w:gridSpan w:val="4"/>
          </w:tcPr>
          <w:p w14:paraId="6BD6BFD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Áreas</w:t>
            </w:r>
          </w:p>
        </w:tc>
        <w:tc>
          <w:tcPr>
            <w:tcW w:w="2161" w:type="dxa"/>
          </w:tcPr>
          <w:p w14:paraId="288BB3B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Total de Cursos</w:t>
            </w:r>
          </w:p>
        </w:tc>
        <w:tc>
          <w:tcPr>
            <w:tcW w:w="3548" w:type="dxa"/>
            <w:vMerge w:val="restart"/>
          </w:tcPr>
          <w:p w14:paraId="12795383"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538583A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Os cursos foram apresentados a partir de suas Divisões Acadêmicas e da menor para a maior quantidade de cursos ofertados. Dados retirados do site da instituição coleta realizada em 31 de julho 2021</w:t>
            </w:r>
          </w:p>
        </w:tc>
      </w:tr>
      <w:tr w:rsidR="001C5F76" w:rsidRPr="00485F85" w14:paraId="58AEC581" w14:textId="77777777" w:rsidTr="00A206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479" w:type="dxa"/>
            <w:vMerge/>
          </w:tcPr>
          <w:p w14:paraId="5DB24A2D" w14:textId="77777777" w:rsidR="001C5F76" w:rsidRPr="00485F85" w:rsidRDefault="001C5F76" w:rsidP="00A206D5">
            <w:pPr>
              <w:spacing w:line="360" w:lineRule="auto"/>
              <w:jc w:val="both"/>
              <w:rPr>
                <w:rFonts w:asciiTheme="majorHAnsi" w:hAnsiTheme="majorHAnsi" w:cstheme="majorHAnsi"/>
              </w:rPr>
            </w:pPr>
          </w:p>
        </w:tc>
        <w:tc>
          <w:tcPr>
            <w:tcW w:w="2161" w:type="dxa"/>
            <w:gridSpan w:val="4"/>
          </w:tcPr>
          <w:p w14:paraId="1BD4946A"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Continuing Education</w:t>
            </w:r>
          </w:p>
        </w:tc>
        <w:tc>
          <w:tcPr>
            <w:tcW w:w="2161" w:type="dxa"/>
          </w:tcPr>
          <w:p w14:paraId="454E67D8"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344</w:t>
            </w:r>
          </w:p>
        </w:tc>
        <w:tc>
          <w:tcPr>
            <w:tcW w:w="3548" w:type="dxa"/>
            <w:vMerge/>
          </w:tcPr>
          <w:p w14:paraId="6BF2B24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5CB7F897" w14:textId="77777777" w:rsidTr="00A206D5">
        <w:trPr>
          <w:trHeight w:val="202"/>
        </w:trPr>
        <w:tc>
          <w:tcPr>
            <w:cnfStyle w:val="001000000000" w:firstRow="0" w:lastRow="0" w:firstColumn="1" w:lastColumn="0" w:oddVBand="0" w:evenVBand="0" w:oddHBand="0" w:evenHBand="0" w:firstRowFirstColumn="0" w:firstRowLastColumn="0" w:lastRowFirstColumn="0" w:lastRowLastColumn="0"/>
            <w:tcW w:w="2479" w:type="dxa"/>
            <w:vMerge/>
          </w:tcPr>
          <w:p w14:paraId="43DBD32F" w14:textId="77777777" w:rsidR="001C5F76" w:rsidRPr="00485F85" w:rsidRDefault="001C5F76" w:rsidP="00A206D5">
            <w:pPr>
              <w:spacing w:line="360" w:lineRule="auto"/>
              <w:jc w:val="both"/>
              <w:rPr>
                <w:rFonts w:asciiTheme="majorHAnsi" w:hAnsiTheme="majorHAnsi" w:cstheme="majorHAnsi"/>
              </w:rPr>
            </w:pPr>
          </w:p>
        </w:tc>
        <w:tc>
          <w:tcPr>
            <w:tcW w:w="2161" w:type="dxa"/>
            <w:gridSpan w:val="4"/>
          </w:tcPr>
          <w:p w14:paraId="63418C70"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Medical Sciences -</w:t>
            </w:r>
          </w:p>
        </w:tc>
        <w:tc>
          <w:tcPr>
            <w:tcW w:w="2161" w:type="dxa"/>
          </w:tcPr>
          <w:p w14:paraId="64B580C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524</w:t>
            </w:r>
          </w:p>
        </w:tc>
        <w:tc>
          <w:tcPr>
            <w:tcW w:w="3548" w:type="dxa"/>
            <w:vMerge/>
          </w:tcPr>
          <w:p w14:paraId="221A0ED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4D357B2C" w14:textId="77777777" w:rsidTr="00A206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479" w:type="dxa"/>
            <w:vMerge/>
          </w:tcPr>
          <w:p w14:paraId="18C89253" w14:textId="77777777" w:rsidR="001C5F76" w:rsidRPr="00485F85" w:rsidRDefault="001C5F76" w:rsidP="00A206D5">
            <w:pPr>
              <w:spacing w:line="360" w:lineRule="auto"/>
              <w:jc w:val="both"/>
              <w:rPr>
                <w:rFonts w:asciiTheme="majorHAnsi" w:hAnsiTheme="majorHAnsi" w:cstheme="majorHAnsi"/>
              </w:rPr>
            </w:pPr>
          </w:p>
        </w:tc>
        <w:tc>
          <w:tcPr>
            <w:tcW w:w="2161" w:type="dxa"/>
            <w:gridSpan w:val="4"/>
          </w:tcPr>
          <w:p w14:paraId="61A228F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MPLS</w:t>
            </w:r>
          </w:p>
        </w:tc>
        <w:tc>
          <w:tcPr>
            <w:tcW w:w="2161" w:type="dxa"/>
          </w:tcPr>
          <w:p w14:paraId="250B132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545</w:t>
            </w:r>
          </w:p>
        </w:tc>
        <w:tc>
          <w:tcPr>
            <w:tcW w:w="3548" w:type="dxa"/>
            <w:vMerge/>
          </w:tcPr>
          <w:p w14:paraId="34EB9810"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2102A737" w14:textId="77777777" w:rsidTr="00A206D5">
        <w:trPr>
          <w:trHeight w:val="202"/>
        </w:trPr>
        <w:tc>
          <w:tcPr>
            <w:cnfStyle w:val="001000000000" w:firstRow="0" w:lastRow="0" w:firstColumn="1" w:lastColumn="0" w:oddVBand="0" w:evenVBand="0" w:oddHBand="0" w:evenHBand="0" w:firstRowFirstColumn="0" w:firstRowLastColumn="0" w:lastRowFirstColumn="0" w:lastRowLastColumn="0"/>
            <w:tcW w:w="2479" w:type="dxa"/>
            <w:vMerge/>
          </w:tcPr>
          <w:p w14:paraId="17C32D44" w14:textId="77777777" w:rsidR="001C5F76" w:rsidRPr="00485F85" w:rsidRDefault="001C5F76" w:rsidP="00A206D5">
            <w:pPr>
              <w:spacing w:line="360" w:lineRule="auto"/>
              <w:jc w:val="both"/>
              <w:rPr>
                <w:rFonts w:asciiTheme="majorHAnsi" w:hAnsiTheme="majorHAnsi" w:cstheme="majorHAnsi"/>
              </w:rPr>
            </w:pPr>
          </w:p>
        </w:tc>
        <w:tc>
          <w:tcPr>
            <w:tcW w:w="2161" w:type="dxa"/>
            <w:gridSpan w:val="4"/>
          </w:tcPr>
          <w:p w14:paraId="35AC3ADB"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Humanities</w:t>
            </w:r>
          </w:p>
        </w:tc>
        <w:tc>
          <w:tcPr>
            <w:tcW w:w="2161" w:type="dxa"/>
          </w:tcPr>
          <w:p w14:paraId="2B5AC365"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580</w:t>
            </w:r>
          </w:p>
        </w:tc>
        <w:tc>
          <w:tcPr>
            <w:tcW w:w="3548" w:type="dxa"/>
            <w:vMerge/>
          </w:tcPr>
          <w:p w14:paraId="5406B96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5500A483" w14:textId="77777777" w:rsidTr="00A206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479" w:type="dxa"/>
            <w:vMerge/>
          </w:tcPr>
          <w:p w14:paraId="7DD5AECF" w14:textId="77777777" w:rsidR="001C5F76" w:rsidRPr="00485F85" w:rsidRDefault="001C5F76" w:rsidP="00A206D5">
            <w:pPr>
              <w:spacing w:line="360" w:lineRule="auto"/>
              <w:jc w:val="both"/>
              <w:rPr>
                <w:rFonts w:asciiTheme="majorHAnsi" w:hAnsiTheme="majorHAnsi" w:cstheme="majorHAnsi"/>
              </w:rPr>
            </w:pPr>
          </w:p>
        </w:tc>
        <w:tc>
          <w:tcPr>
            <w:tcW w:w="2161" w:type="dxa"/>
            <w:gridSpan w:val="4"/>
          </w:tcPr>
          <w:p w14:paraId="09A0467F"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Social Sciences</w:t>
            </w:r>
          </w:p>
        </w:tc>
        <w:tc>
          <w:tcPr>
            <w:tcW w:w="2161" w:type="dxa"/>
          </w:tcPr>
          <w:p w14:paraId="64BD1D06"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792</w:t>
            </w:r>
          </w:p>
        </w:tc>
        <w:tc>
          <w:tcPr>
            <w:tcW w:w="3548" w:type="dxa"/>
            <w:vMerge/>
          </w:tcPr>
          <w:p w14:paraId="460F536F"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01441E23" w14:textId="77777777" w:rsidTr="00A206D5">
        <w:trPr>
          <w:trHeight w:val="204"/>
        </w:trPr>
        <w:tc>
          <w:tcPr>
            <w:cnfStyle w:val="001000000000" w:firstRow="0" w:lastRow="0" w:firstColumn="1" w:lastColumn="0" w:oddVBand="0" w:evenVBand="0" w:oddHBand="0" w:evenHBand="0" w:firstRowFirstColumn="0" w:firstRowLastColumn="0" w:lastRowFirstColumn="0" w:lastRowLastColumn="0"/>
            <w:tcW w:w="2479" w:type="dxa"/>
            <w:vMerge w:val="restart"/>
          </w:tcPr>
          <w:p w14:paraId="14B4119B"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lastRenderedPageBreak/>
              <w:t>2.1.3 Planejamento e estruturas de laboratórios</w:t>
            </w:r>
          </w:p>
          <w:p w14:paraId="5B141CE2" w14:textId="77777777" w:rsidR="001C5F76" w:rsidRPr="00485F85" w:rsidRDefault="001C5F76" w:rsidP="00A206D5">
            <w:pPr>
              <w:spacing w:line="360" w:lineRule="auto"/>
              <w:jc w:val="both"/>
              <w:rPr>
                <w:rFonts w:asciiTheme="majorHAnsi" w:hAnsiTheme="majorHAnsi" w:cstheme="majorHAnsi"/>
                <w:b w:val="0"/>
              </w:rPr>
            </w:pPr>
          </w:p>
        </w:tc>
        <w:tc>
          <w:tcPr>
            <w:tcW w:w="4322" w:type="dxa"/>
            <w:gridSpan w:val="5"/>
          </w:tcPr>
          <w:p w14:paraId="2DA4DF1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Áreas atendidas e </w:t>
            </w:r>
          </w:p>
          <w:p w14:paraId="290E8EA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Presença de Laboratórios Didáticos </w:t>
            </w:r>
          </w:p>
          <w:p w14:paraId="2E828F34"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(específicos para o ensino)</w:t>
            </w:r>
          </w:p>
        </w:tc>
        <w:tc>
          <w:tcPr>
            <w:tcW w:w="3548" w:type="dxa"/>
            <w:vMerge w:val="restart"/>
          </w:tcPr>
          <w:p w14:paraId="61BC9A20"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1B71AE78"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Por ser uma instituição dividida em Colleges, Divisões Acadêmicas e Departamentos, o site central da Instituição não consegue elencar todos os laboratórios de prática acadêmica da Instituição. Cada Divisão Acadêmica, 4 ao total e a educação continuada, (Humanities, Mathematical, Physical and Life Sciences,  Medical Sciences,</w:t>
            </w:r>
          </w:p>
          <w:p w14:paraId="733EFA3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Social Sciences and Continuing Education) possui em média 13 subdivisões com suas próprias infraestruturas.</w:t>
            </w:r>
          </w:p>
          <w:p w14:paraId="521150B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Desse modo, não é possível mapear a quantidade de laboratórios.</w:t>
            </w:r>
          </w:p>
          <w:p w14:paraId="7D53572C"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DF2C49F" w14:textId="77777777" w:rsidTr="00A206D5">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479" w:type="dxa"/>
            <w:vMerge/>
          </w:tcPr>
          <w:p w14:paraId="2D44CE9A" w14:textId="77777777" w:rsidR="001C5F76" w:rsidRPr="00485F85" w:rsidRDefault="001C5F76" w:rsidP="00A206D5">
            <w:pPr>
              <w:spacing w:line="360" w:lineRule="auto"/>
              <w:jc w:val="both"/>
              <w:rPr>
                <w:rFonts w:asciiTheme="majorHAnsi" w:hAnsiTheme="majorHAnsi" w:cstheme="majorHAnsi"/>
              </w:rPr>
            </w:pPr>
          </w:p>
        </w:tc>
        <w:tc>
          <w:tcPr>
            <w:tcW w:w="4322" w:type="dxa"/>
            <w:gridSpan w:val="5"/>
          </w:tcPr>
          <w:p w14:paraId="43B6B207"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14:paraId="52D891D8"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3548" w:type="dxa"/>
            <w:vMerge/>
          </w:tcPr>
          <w:p w14:paraId="595FDECA"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15602C81"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7"/>
          </w:tcPr>
          <w:p w14:paraId="756DEE69"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 xml:space="preserve">2.2 Campi fora da sede (externos) - </w:t>
            </w:r>
          </w:p>
        </w:tc>
      </w:tr>
      <w:tr w:rsidR="001C5F76" w:rsidRPr="00485F85" w14:paraId="55E51202"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14:paraId="25981C2B"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2.2.1 Ano de criação e exposição de motivos para a instalação</w:t>
            </w:r>
          </w:p>
          <w:p w14:paraId="577D6627" w14:textId="77777777" w:rsidR="001C5F76" w:rsidRPr="00485F85" w:rsidRDefault="001C5F76" w:rsidP="00A206D5">
            <w:pPr>
              <w:spacing w:line="360" w:lineRule="auto"/>
              <w:jc w:val="both"/>
              <w:rPr>
                <w:rFonts w:asciiTheme="majorHAnsi" w:hAnsiTheme="majorHAnsi" w:cstheme="majorHAnsi"/>
                <w:b w:val="0"/>
              </w:rPr>
            </w:pPr>
          </w:p>
        </w:tc>
        <w:tc>
          <w:tcPr>
            <w:tcW w:w="4107" w:type="dxa"/>
            <w:gridSpan w:val="4"/>
          </w:tcPr>
          <w:p w14:paraId="00C4B96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3548" w:type="dxa"/>
          </w:tcPr>
          <w:p w14:paraId="1609E9C8"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155A621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771054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5837DB7" w14:textId="77777777" w:rsidTr="00A206D5">
        <w:tc>
          <w:tcPr>
            <w:cnfStyle w:val="001000000000" w:firstRow="0" w:lastRow="0" w:firstColumn="1" w:lastColumn="0" w:oddVBand="0" w:evenVBand="0" w:oddHBand="0" w:evenHBand="0" w:firstRowFirstColumn="0" w:firstRowLastColumn="0" w:lastRowFirstColumn="0" w:lastRowLastColumn="0"/>
            <w:tcW w:w="2694" w:type="dxa"/>
            <w:gridSpan w:val="2"/>
          </w:tcPr>
          <w:p w14:paraId="4FF0AD58"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2.2.2 Área construída</w:t>
            </w:r>
          </w:p>
        </w:tc>
        <w:tc>
          <w:tcPr>
            <w:tcW w:w="4107" w:type="dxa"/>
            <w:gridSpan w:val="4"/>
          </w:tcPr>
          <w:p w14:paraId="5F36E1E8"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3548" w:type="dxa"/>
          </w:tcPr>
          <w:p w14:paraId="5785726C"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658A4B08" w14:textId="77777777" w:rsidTr="00A206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4" w:type="dxa"/>
            <w:gridSpan w:val="2"/>
            <w:vMerge w:val="restart"/>
          </w:tcPr>
          <w:p w14:paraId="107A9F37"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2.2.3 Número de cursos oferecidos</w:t>
            </w:r>
          </w:p>
          <w:p w14:paraId="4B3AAA44" w14:textId="77777777" w:rsidR="001C5F76" w:rsidRPr="00485F85" w:rsidRDefault="001C5F76" w:rsidP="00A206D5">
            <w:pPr>
              <w:spacing w:line="360" w:lineRule="auto"/>
              <w:jc w:val="both"/>
              <w:rPr>
                <w:rFonts w:asciiTheme="majorHAnsi" w:hAnsiTheme="majorHAnsi" w:cstheme="majorHAnsi"/>
                <w:b w:val="0"/>
              </w:rPr>
            </w:pPr>
          </w:p>
        </w:tc>
        <w:tc>
          <w:tcPr>
            <w:tcW w:w="1946" w:type="dxa"/>
            <w:gridSpan w:val="3"/>
          </w:tcPr>
          <w:p w14:paraId="24A2CFC4"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Áreas</w:t>
            </w:r>
          </w:p>
        </w:tc>
        <w:tc>
          <w:tcPr>
            <w:tcW w:w="2161" w:type="dxa"/>
          </w:tcPr>
          <w:p w14:paraId="15095C9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Total de Cursos</w:t>
            </w:r>
          </w:p>
        </w:tc>
        <w:tc>
          <w:tcPr>
            <w:tcW w:w="3548" w:type="dxa"/>
            <w:vMerge w:val="restart"/>
          </w:tcPr>
          <w:p w14:paraId="23328E50"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Observações</w:t>
            </w:r>
          </w:p>
        </w:tc>
      </w:tr>
      <w:tr w:rsidR="001C5F76" w:rsidRPr="00485F85" w14:paraId="5DF04926" w14:textId="77777777" w:rsidTr="00A206D5">
        <w:trPr>
          <w:trHeight w:val="270"/>
        </w:trPr>
        <w:tc>
          <w:tcPr>
            <w:cnfStyle w:val="001000000000" w:firstRow="0" w:lastRow="0" w:firstColumn="1" w:lastColumn="0" w:oddVBand="0" w:evenVBand="0" w:oddHBand="0" w:evenHBand="0" w:firstRowFirstColumn="0" w:firstRowLastColumn="0" w:lastRowFirstColumn="0" w:lastRowLastColumn="0"/>
            <w:tcW w:w="2694" w:type="dxa"/>
            <w:gridSpan w:val="2"/>
            <w:vMerge/>
          </w:tcPr>
          <w:p w14:paraId="056D660D" w14:textId="77777777" w:rsidR="001C5F76" w:rsidRPr="00485F85" w:rsidRDefault="001C5F76" w:rsidP="00A206D5">
            <w:pPr>
              <w:spacing w:line="360" w:lineRule="auto"/>
              <w:jc w:val="both"/>
              <w:rPr>
                <w:rFonts w:asciiTheme="majorHAnsi" w:hAnsiTheme="majorHAnsi" w:cstheme="majorHAnsi"/>
              </w:rPr>
            </w:pPr>
          </w:p>
        </w:tc>
        <w:tc>
          <w:tcPr>
            <w:tcW w:w="1946" w:type="dxa"/>
            <w:gridSpan w:val="3"/>
          </w:tcPr>
          <w:p w14:paraId="50F0A2A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2161" w:type="dxa"/>
          </w:tcPr>
          <w:p w14:paraId="3A9D387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3548" w:type="dxa"/>
            <w:vMerge/>
          </w:tcPr>
          <w:p w14:paraId="3C8BE58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7B4813CE" w14:textId="77777777" w:rsidTr="00A206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4" w:type="dxa"/>
            <w:gridSpan w:val="2"/>
            <w:vMerge/>
          </w:tcPr>
          <w:p w14:paraId="663314FD" w14:textId="77777777" w:rsidR="001C5F76" w:rsidRPr="00485F85" w:rsidRDefault="001C5F76" w:rsidP="00A206D5">
            <w:pPr>
              <w:spacing w:line="360" w:lineRule="auto"/>
              <w:jc w:val="both"/>
              <w:rPr>
                <w:rFonts w:asciiTheme="majorHAnsi" w:hAnsiTheme="majorHAnsi" w:cstheme="majorHAnsi"/>
              </w:rPr>
            </w:pPr>
          </w:p>
        </w:tc>
        <w:tc>
          <w:tcPr>
            <w:tcW w:w="1946" w:type="dxa"/>
            <w:gridSpan w:val="3"/>
          </w:tcPr>
          <w:p w14:paraId="50B9141D"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2161" w:type="dxa"/>
          </w:tcPr>
          <w:p w14:paraId="67456D1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3548" w:type="dxa"/>
            <w:vMerge/>
          </w:tcPr>
          <w:p w14:paraId="6D76A29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46030225" w14:textId="77777777" w:rsidTr="00A206D5">
        <w:tc>
          <w:tcPr>
            <w:cnfStyle w:val="001000000000" w:firstRow="0" w:lastRow="0" w:firstColumn="1" w:lastColumn="0" w:oddVBand="0" w:evenVBand="0" w:oddHBand="0" w:evenHBand="0" w:firstRowFirstColumn="0" w:firstRowLastColumn="0" w:lastRowFirstColumn="0" w:lastRowLastColumn="0"/>
            <w:tcW w:w="2694" w:type="dxa"/>
            <w:gridSpan w:val="2"/>
          </w:tcPr>
          <w:p w14:paraId="172CB269"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2.2.4 Laboratórios</w:t>
            </w:r>
          </w:p>
          <w:p w14:paraId="28C52144"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Planejamento e estruturas de laboratórios</w:t>
            </w:r>
          </w:p>
          <w:p w14:paraId="2D99ED3E" w14:textId="77777777" w:rsidR="001C5F76" w:rsidRPr="00485F85" w:rsidRDefault="001C5F76" w:rsidP="00A206D5">
            <w:pPr>
              <w:spacing w:line="360" w:lineRule="auto"/>
              <w:jc w:val="both"/>
              <w:rPr>
                <w:rFonts w:asciiTheme="majorHAnsi" w:hAnsiTheme="majorHAnsi" w:cstheme="majorHAnsi"/>
              </w:rPr>
            </w:pPr>
          </w:p>
        </w:tc>
        <w:tc>
          <w:tcPr>
            <w:tcW w:w="4107" w:type="dxa"/>
            <w:gridSpan w:val="4"/>
          </w:tcPr>
          <w:p w14:paraId="052F3E9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Áreas atendidas Presença de Laboratórios Didáticos (específicos para o ensino)</w:t>
            </w:r>
          </w:p>
        </w:tc>
        <w:tc>
          <w:tcPr>
            <w:tcW w:w="3548" w:type="dxa"/>
          </w:tcPr>
          <w:p w14:paraId="007FE864"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Observações</w:t>
            </w:r>
          </w:p>
        </w:tc>
      </w:tr>
      <w:tr w:rsidR="001C5F76" w:rsidRPr="00485F85" w14:paraId="411724B6" w14:textId="77777777" w:rsidTr="00A206D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694" w:type="dxa"/>
            <w:gridSpan w:val="2"/>
            <w:vMerge w:val="restart"/>
          </w:tcPr>
          <w:p w14:paraId="7C7619A9"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 xml:space="preserve">2.5. Existem mecanismos </w:t>
            </w:r>
            <w:r w:rsidRPr="00485F85">
              <w:rPr>
                <w:rFonts w:asciiTheme="majorHAnsi" w:hAnsiTheme="majorHAnsi" w:cstheme="majorHAnsi"/>
              </w:rPr>
              <w:lastRenderedPageBreak/>
              <w:t xml:space="preserve">prevendo a </w:t>
            </w:r>
            <w:r w:rsidRPr="00485F85">
              <w:rPr>
                <w:rFonts w:asciiTheme="majorHAnsi" w:hAnsiTheme="majorHAnsi" w:cstheme="majorHAnsi"/>
                <w:bdr w:val="none" w:sz="0" w:space="0" w:color="auto" w:frame="1"/>
              </w:rPr>
              <w:t xml:space="preserve">de integração entre os </w:t>
            </w:r>
            <w:r w:rsidRPr="00485F85">
              <w:rPr>
                <w:rFonts w:asciiTheme="majorHAnsi" w:hAnsiTheme="majorHAnsi" w:cstheme="majorHAnsi"/>
                <w:i/>
                <w:bdr w:val="none" w:sz="0" w:space="0" w:color="auto" w:frame="1"/>
              </w:rPr>
              <w:t xml:space="preserve">campi? </w:t>
            </w:r>
          </w:p>
          <w:p w14:paraId="59C353FE" w14:textId="77777777" w:rsidR="001C5F76" w:rsidRPr="00485F85" w:rsidRDefault="001C5F76" w:rsidP="00A206D5">
            <w:pPr>
              <w:spacing w:line="360" w:lineRule="auto"/>
              <w:jc w:val="both"/>
              <w:rPr>
                <w:rFonts w:asciiTheme="majorHAnsi" w:hAnsiTheme="majorHAnsi" w:cstheme="majorHAnsi"/>
              </w:rPr>
            </w:pPr>
          </w:p>
        </w:tc>
        <w:tc>
          <w:tcPr>
            <w:tcW w:w="709" w:type="dxa"/>
          </w:tcPr>
          <w:p w14:paraId="357A0AD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Sim</w:t>
            </w:r>
          </w:p>
        </w:tc>
        <w:tc>
          <w:tcPr>
            <w:tcW w:w="851" w:type="dxa"/>
          </w:tcPr>
          <w:p w14:paraId="25FDE21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w:t>
            </w:r>
          </w:p>
        </w:tc>
        <w:tc>
          <w:tcPr>
            <w:tcW w:w="6095" w:type="dxa"/>
            <w:gridSpan w:val="3"/>
            <w:vMerge w:val="restart"/>
          </w:tcPr>
          <w:p w14:paraId="17D6A6D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Justificativa </w:t>
            </w:r>
          </w:p>
          <w:p w14:paraId="20CAE82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3384761"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r>
      <w:tr w:rsidR="001C5F76" w:rsidRPr="00485F85" w14:paraId="31548216" w14:textId="77777777" w:rsidTr="00A206D5">
        <w:trPr>
          <w:trHeight w:val="990"/>
        </w:trPr>
        <w:tc>
          <w:tcPr>
            <w:cnfStyle w:val="001000000000" w:firstRow="0" w:lastRow="0" w:firstColumn="1" w:lastColumn="0" w:oddVBand="0" w:evenVBand="0" w:oddHBand="0" w:evenHBand="0" w:firstRowFirstColumn="0" w:firstRowLastColumn="0" w:lastRowFirstColumn="0" w:lastRowLastColumn="0"/>
            <w:tcW w:w="2694" w:type="dxa"/>
            <w:gridSpan w:val="2"/>
            <w:vMerge/>
          </w:tcPr>
          <w:p w14:paraId="2FE8371B" w14:textId="77777777" w:rsidR="001C5F76" w:rsidRPr="00485F85" w:rsidRDefault="001C5F76" w:rsidP="00A206D5">
            <w:pPr>
              <w:spacing w:line="360" w:lineRule="auto"/>
              <w:jc w:val="both"/>
              <w:rPr>
                <w:rFonts w:asciiTheme="majorHAnsi" w:hAnsiTheme="majorHAnsi" w:cstheme="majorHAnsi"/>
                <w:b w:val="0"/>
              </w:rPr>
            </w:pPr>
          </w:p>
        </w:tc>
        <w:tc>
          <w:tcPr>
            <w:tcW w:w="709" w:type="dxa"/>
          </w:tcPr>
          <w:p w14:paraId="7A96CA3E"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1" w:type="dxa"/>
          </w:tcPr>
          <w:p w14:paraId="05D998A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095" w:type="dxa"/>
            <w:gridSpan w:val="3"/>
            <w:vMerge/>
          </w:tcPr>
          <w:p w14:paraId="07C1CFFB"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DBB1FFE"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14:paraId="120F5EC9"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2.6. Consistência das construções com o projeto acadêmico</w:t>
            </w:r>
          </w:p>
        </w:tc>
        <w:tc>
          <w:tcPr>
            <w:tcW w:w="4107" w:type="dxa"/>
            <w:gridSpan w:val="4"/>
          </w:tcPr>
          <w:p w14:paraId="72B401D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rPr>
              <w:t>Não se aplica</w:t>
            </w:r>
          </w:p>
        </w:tc>
        <w:tc>
          <w:tcPr>
            <w:tcW w:w="3548" w:type="dxa"/>
          </w:tcPr>
          <w:p w14:paraId="7EB841A4"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5BDD9AB0" w14:textId="77777777" w:rsidTr="00A206D5">
        <w:tc>
          <w:tcPr>
            <w:cnfStyle w:val="001000000000" w:firstRow="0" w:lastRow="0" w:firstColumn="1" w:lastColumn="0" w:oddVBand="0" w:evenVBand="0" w:oddHBand="0" w:evenHBand="0" w:firstRowFirstColumn="0" w:firstRowLastColumn="0" w:lastRowFirstColumn="0" w:lastRowLastColumn="0"/>
            <w:tcW w:w="2694" w:type="dxa"/>
            <w:gridSpan w:val="2"/>
          </w:tcPr>
          <w:p w14:paraId="0EC75760"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2.7.Consistência de edifícios com bem-estar.</w:t>
            </w:r>
          </w:p>
          <w:p w14:paraId="106FBA58" w14:textId="77777777" w:rsidR="001C5F76" w:rsidRPr="00485F85" w:rsidRDefault="001C5F76" w:rsidP="00A206D5">
            <w:pPr>
              <w:spacing w:line="360" w:lineRule="auto"/>
              <w:jc w:val="both"/>
              <w:rPr>
                <w:rFonts w:asciiTheme="majorHAnsi" w:hAnsiTheme="majorHAnsi" w:cstheme="majorHAnsi"/>
              </w:rPr>
            </w:pPr>
          </w:p>
        </w:tc>
        <w:tc>
          <w:tcPr>
            <w:tcW w:w="4107" w:type="dxa"/>
            <w:gridSpan w:val="4"/>
          </w:tcPr>
          <w:p w14:paraId="294C8BD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rPr>
              <w:t>Não se aplica</w:t>
            </w:r>
          </w:p>
        </w:tc>
        <w:tc>
          <w:tcPr>
            <w:tcW w:w="3548" w:type="dxa"/>
          </w:tcPr>
          <w:p w14:paraId="789DE16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016ABD53"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14:paraId="5F844374"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 xml:space="preserve">Observações: </w:t>
            </w:r>
          </w:p>
        </w:tc>
        <w:tc>
          <w:tcPr>
            <w:tcW w:w="7655" w:type="dxa"/>
            <w:gridSpan w:val="5"/>
          </w:tcPr>
          <w:p w14:paraId="701C9A18"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14508C9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A gestão patrimonial de Oxford é realizada a partir da área de “Estates Services” responsável pela manutenção predial e oferta de serviços compartilhados. É ela que administra a propriedade da University of Oxford em Oxfordshire. São mais de 260 prédios para ensino, pesquisa, administração, esporte, bibliotecas, museus e eventos cerimoniais - chamados de propriedade funcional - e outras 180 propriedades que a área administra comercialmente, incluindo escritórios, armazéns e terras e propriedades agrícolas. Sua visão é ser reconhecida por fornecer instalações de classe mundial que apoiam pesquisa, ensino e aprendizagem de classe mundial.</w:t>
            </w:r>
          </w:p>
          <w:p w14:paraId="712D8EA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7BC5D5A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Sua gama de serviços vai desde a oferta de cafés e refeições até a gestão de jardins, instalações prediais, segurança, iluminação, locação de espaço até gerenciamento de crises.</w:t>
            </w:r>
          </w:p>
          <w:p w14:paraId="6FA1A08F"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 </w:t>
            </w:r>
            <w:hyperlink r:id="rId132" w:anchor="/" w:history="1">
              <w:r w:rsidRPr="00485F85">
                <w:rPr>
                  <w:rFonts w:asciiTheme="majorHAnsi" w:hAnsiTheme="majorHAnsi" w:cstheme="majorHAnsi"/>
                  <w:bCs/>
                  <w:color w:val="4875BD" w:themeColor="accent1"/>
                  <w:u w:val="single"/>
                </w:rPr>
                <w:t>https://estates.admin.ox.ac.uk/#/</w:t>
              </w:r>
            </w:hyperlink>
            <w:r w:rsidRPr="00485F85">
              <w:rPr>
                <w:rFonts w:asciiTheme="majorHAnsi" w:hAnsiTheme="majorHAnsi" w:cstheme="majorHAnsi"/>
                <w:bCs/>
              </w:rPr>
              <w:t xml:space="preserve"> </w:t>
            </w:r>
          </w:p>
          <w:p w14:paraId="26997FC4"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69C758B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1FA4695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bl>
    <w:p w14:paraId="76EDD6E4" w14:textId="77777777" w:rsidR="001C5F76" w:rsidRPr="00485F85" w:rsidRDefault="001C5F76" w:rsidP="001C5F76">
      <w:pPr>
        <w:shd w:val="clear" w:color="auto" w:fill="FFFFFF"/>
        <w:spacing w:after="0"/>
        <w:rPr>
          <w:rFonts w:asciiTheme="majorHAnsi" w:eastAsia="Times New Roman" w:hAnsiTheme="majorHAnsi" w:cstheme="majorHAnsi"/>
          <w:color w:val="222222"/>
          <w:sz w:val="24"/>
          <w:szCs w:val="24"/>
          <w:lang w:eastAsia="pt-BR"/>
        </w:rPr>
      </w:pPr>
    </w:p>
    <w:p w14:paraId="7F3DA107" w14:textId="002EBA0C" w:rsidR="00A206D5" w:rsidRDefault="00A206D5">
      <w:pPr>
        <w:tabs>
          <w:tab w:val="clear" w:pos="1615"/>
        </w:tabs>
        <w:spacing w:line="259" w:lineRule="auto"/>
        <w:rPr>
          <w:rFonts w:asciiTheme="majorHAnsi" w:eastAsia="Times New Roman" w:hAnsiTheme="majorHAnsi" w:cstheme="majorHAnsi"/>
          <w:color w:val="222222"/>
          <w:sz w:val="24"/>
          <w:szCs w:val="24"/>
          <w:lang w:eastAsia="pt-BR"/>
        </w:rPr>
      </w:pPr>
      <w:r>
        <w:rPr>
          <w:rFonts w:asciiTheme="majorHAnsi" w:eastAsia="Times New Roman" w:hAnsiTheme="majorHAnsi" w:cstheme="majorHAnsi"/>
          <w:color w:val="222222"/>
          <w:sz w:val="24"/>
          <w:szCs w:val="24"/>
          <w:lang w:eastAsia="pt-BR"/>
        </w:rPr>
        <w:br w:type="page"/>
      </w:r>
    </w:p>
    <w:tbl>
      <w:tblPr>
        <w:tblStyle w:val="TabeladeLista6Colorida-nfase3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415"/>
        <w:gridCol w:w="546"/>
        <w:gridCol w:w="871"/>
        <w:gridCol w:w="37"/>
        <w:gridCol w:w="705"/>
        <w:gridCol w:w="961"/>
        <w:gridCol w:w="217"/>
        <w:gridCol w:w="65"/>
        <w:gridCol w:w="1417"/>
        <w:gridCol w:w="66"/>
        <w:gridCol w:w="7"/>
        <w:gridCol w:w="815"/>
        <w:gridCol w:w="416"/>
        <w:gridCol w:w="6"/>
        <w:gridCol w:w="791"/>
        <w:gridCol w:w="1443"/>
      </w:tblGrid>
      <w:tr w:rsidR="00A206D5" w:rsidRPr="00A206D5" w14:paraId="0C6BA934" w14:textId="77777777" w:rsidTr="00A20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shd w:val="clear" w:color="auto" w:fill="4875BD" w:themeFill="accent1"/>
          </w:tcPr>
          <w:p w14:paraId="7A57913C" w14:textId="77777777" w:rsidR="001C5F76" w:rsidRPr="00A206D5" w:rsidRDefault="001C5F76" w:rsidP="00A206D5">
            <w:pPr>
              <w:spacing w:line="360" w:lineRule="auto"/>
              <w:jc w:val="both"/>
              <w:rPr>
                <w:rFonts w:asciiTheme="majorHAnsi" w:hAnsiTheme="majorHAnsi" w:cstheme="majorHAnsi"/>
                <w:color w:val="FFFFFF" w:themeColor="background1"/>
              </w:rPr>
            </w:pPr>
            <w:r w:rsidRPr="00A206D5">
              <w:rPr>
                <w:rFonts w:asciiTheme="majorHAnsi" w:hAnsiTheme="majorHAnsi" w:cstheme="majorHAnsi"/>
                <w:color w:val="FFFFFF" w:themeColor="background1"/>
              </w:rPr>
              <w:lastRenderedPageBreak/>
              <w:t xml:space="preserve">Dimensão 3. Comunidade Universitária/ Acadêmica </w:t>
            </w:r>
          </w:p>
        </w:tc>
      </w:tr>
      <w:tr w:rsidR="001C5F76" w:rsidRPr="00485F85" w14:paraId="5205C25E"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1946F3DA"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Indicadores</w:t>
            </w:r>
          </w:p>
        </w:tc>
      </w:tr>
      <w:tr w:rsidR="001C5F76" w:rsidRPr="00485F85" w14:paraId="5E70B0D1"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41FE77A0" w14:textId="77777777" w:rsidR="001C5F76" w:rsidRPr="00485F85" w:rsidRDefault="001C5F76" w:rsidP="00A206D5">
            <w:pPr>
              <w:spacing w:line="360" w:lineRule="auto"/>
              <w:jc w:val="both"/>
              <w:rPr>
                <w:rFonts w:asciiTheme="majorHAnsi" w:hAnsiTheme="majorHAnsi" w:cstheme="majorHAnsi"/>
                <w:color w:val="222222"/>
                <w:shd w:val="clear" w:color="auto" w:fill="FFFFFF"/>
              </w:rPr>
            </w:pPr>
            <w:r w:rsidRPr="00485F85">
              <w:rPr>
                <w:rFonts w:asciiTheme="majorHAnsi" w:hAnsiTheme="majorHAnsi" w:cstheme="majorHAnsi"/>
              </w:rPr>
              <w:t xml:space="preserve">3.1. Corpo Docente – a fonte utilizada para esses dados foi a HESA, a Higher Education Statistics Agency, que é a especialista em dados de ensino superior do Reino Unido e o órgão de dados designado para a Inglaterra. Ela coleta e dissemina dados sobre ensino superior (ES) no Reino Unido em nome de clientes estatutários . É fonte confiável de dados e análises de ES, desempenhando um papel fundamental no apoio e no aprimoramento da força competitiva do setor. </w:t>
            </w:r>
            <w:hyperlink r:id="rId133" w:tgtFrame="_blank" w:history="1">
              <w:r w:rsidRPr="00485F85">
                <w:rPr>
                  <w:rFonts w:asciiTheme="majorHAnsi" w:hAnsiTheme="majorHAnsi" w:cstheme="majorHAnsi"/>
                  <w:color w:val="4875BD" w:themeColor="accent1"/>
                  <w:u w:val="single"/>
                  <w:shd w:val="clear" w:color="auto" w:fill="FFFFFF"/>
                </w:rPr>
                <w:t>https://www.hesa.ac.uk</w:t>
              </w:r>
            </w:hyperlink>
            <w:r w:rsidRPr="00485F85">
              <w:rPr>
                <w:rFonts w:asciiTheme="majorHAnsi" w:hAnsiTheme="majorHAnsi" w:cstheme="majorHAnsi"/>
                <w:color w:val="222222"/>
                <w:shd w:val="clear" w:color="auto" w:fill="FFFFFF"/>
              </w:rPr>
              <w:t xml:space="preserve">  </w:t>
            </w:r>
          </w:p>
          <w:p w14:paraId="5A40090B" w14:textId="77777777" w:rsidR="001C5F76" w:rsidRPr="00485F85" w:rsidRDefault="001C5F76" w:rsidP="00A206D5">
            <w:pPr>
              <w:spacing w:line="360" w:lineRule="auto"/>
              <w:jc w:val="both"/>
              <w:rPr>
                <w:rFonts w:asciiTheme="majorHAnsi" w:hAnsiTheme="majorHAnsi" w:cstheme="majorHAnsi"/>
                <w:b w:val="0"/>
              </w:rPr>
            </w:pPr>
          </w:p>
          <w:p w14:paraId="65A7D59E"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O próprio site da Universidade de Oxford reporta o HESA como referência para a compilação desses dados:</w:t>
            </w:r>
          </w:p>
          <w:p w14:paraId="72BAFA71"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 xml:space="preserve">FONTE:  </w:t>
            </w:r>
            <w:hyperlink r:id="rId134" w:anchor="collapse1488516" w:history="1">
              <w:r w:rsidRPr="00485F85">
                <w:rPr>
                  <w:rFonts w:asciiTheme="majorHAnsi" w:hAnsiTheme="majorHAnsi" w:cstheme="majorHAnsi"/>
                  <w:color w:val="4875BD" w:themeColor="accent1"/>
                  <w:u w:val="single"/>
                </w:rPr>
                <w:t>https://hrsystems.admin.ox.ac.uk/highest-qualification-held#collapse1488516</w:t>
              </w:r>
            </w:hyperlink>
            <w:r w:rsidRPr="00485F85">
              <w:rPr>
                <w:rFonts w:asciiTheme="majorHAnsi" w:hAnsiTheme="majorHAnsi" w:cstheme="majorHAnsi"/>
              </w:rPr>
              <w:t xml:space="preserve"> </w:t>
            </w:r>
          </w:p>
          <w:p w14:paraId="0A26BE69" w14:textId="77777777" w:rsidR="001C5F76" w:rsidRPr="00485F85" w:rsidRDefault="00A515B3" w:rsidP="00A206D5">
            <w:pPr>
              <w:spacing w:line="360" w:lineRule="auto"/>
              <w:jc w:val="both"/>
              <w:rPr>
                <w:rFonts w:asciiTheme="majorHAnsi" w:hAnsiTheme="majorHAnsi" w:cstheme="majorHAnsi"/>
                <w:b w:val="0"/>
              </w:rPr>
            </w:pPr>
            <w:hyperlink r:id="rId135" w:history="1">
              <w:r w:rsidR="001C5F76" w:rsidRPr="00485F85">
                <w:rPr>
                  <w:rFonts w:asciiTheme="majorHAnsi" w:hAnsiTheme="majorHAnsi" w:cstheme="majorHAnsi"/>
                  <w:color w:val="4875BD" w:themeColor="accent1"/>
                  <w:u w:val="single"/>
                </w:rPr>
                <w:t>https://hrsystems.admin.ox.ac.uk/academic-teaching-qualifications-1</w:t>
              </w:r>
            </w:hyperlink>
            <w:r w:rsidR="001C5F76" w:rsidRPr="00485F85">
              <w:rPr>
                <w:rFonts w:asciiTheme="majorHAnsi" w:hAnsiTheme="majorHAnsi" w:cstheme="majorHAnsi"/>
              </w:rPr>
              <w:t xml:space="preserve"> </w:t>
            </w:r>
          </w:p>
          <w:p w14:paraId="0B637147" w14:textId="77777777" w:rsidR="001C5F76" w:rsidRPr="00485F85" w:rsidRDefault="001C5F76" w:rsidP="00A206D5">
            <w:pPr>
              <w:spacing w:line="360" w:lineRule="auto"/>
              <w:jc w:val="both"/>
              <w:rPr>
                <w:rFonts w:asciiTheme="majorHAnsi" w:hAnsiTheme="majorHAnsi" w:cstheme="majorHAnsi"/>
                <w:b w:val="0"/>
              </w:rPr>
            </w:pPr>
          </w:p>
          <w:p w14:paraId="00FD6DF0"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Outra observação importante é que o site da Universidade oferece alguns dados agregados de seus colaboradores (técnicos e acadêmicos) e o número total é de 14.667 (</w:t>
            </w:r>
            <w:hyperlink r:id="rId136" w:history="1">
              <w:r w:rsidRPr="00485F85">
                <w:rPr>
                  <w:rFonts w:asciiTheme="majorHAnsi" w:hAnsiTheme="majorHAnsi" w:cstheme="majorHAnsi"/>
                  <w:color w:val="4875BD" w:themeColor="accent1"/>
                  <w:u w:val="single"/>
                </w:rPr>
                <w:t>https://hrsystems.admin.ox.ac.uk/staffing-figures</w:t>
              </w:r>
            </w:hyperlink>
            <w:r w:rsidRPr="00485F85">
              <w:rPr>
                <w:rFonts w:asciiTheme="majorHAnsi" w:hAnsiTheme="majorHAnsi" w:cstheme="majorHAnsi"/>
              </w:rPr>
              <w:t>) enquanto no agregado da HESA essa número é de 14.385.</w:t>
            </w:r>
          </w:p>
          <w:p w14:paraId="156F4C0F" w14:textId="77777777" w:rsidR="001C5F76" w:rsidRPr="00485F85" w:rsidRDefault="001C5F76" w:rsidP="00A206D5">
            <w:pPr>
              <w:spacing w:line="360" w:lineRule="auto"/>
              <w:jc w:val="both"/>
              <w:rPr>
                <w:rFonts w:asciiTheme="majorHAnsi" w:hAnsiTheme="majorHAnsi" w:cstheme="majorHAnsi"/>
                <w:b w:val="0"/>
              </w:rPr>
            </w:pPr>
          </w:p>
          <w:p w14:paraId="69C593F2"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 xml:space="preserve">Outro relatório importante sobre o quadro de professores e funcionários juntos; </w:t>
            </w:r>
            <w:hyperlink r:id="rId137" w:history="1">
              <w:r w:rsidRPr="00485F85">
                <w:rPr>
                  <w:rFonts w:asciiTheme="majorHAnsi" w:hAnsiTheme="majorHAnsi" w:cstheme="majorHAnsi"/>
                  <w:color w:val="4875BD" w:themeColor="accent1"/>
                  <w:u w:val="single"/>
                </w:rPr>
                <w:t>https://hrsystems.admin.ox.ac.uk/files/staffingfigures201920pdf</w:t>
              </w:r>
            </w:hyperlink>
            <w:r w:rsidRPr="00485F85">
              <w:rPr>
                <w:rFonts w:asciiTheme="majorHAnsi" w:hAnsiTheme="majorHAnsi" w:cstheme="majorHAnsi"/>
              </w:rPr>
              <w:t xml:space="preserve"> </w:t>
            </w:r>
          </w:p>
          <w:p w14:paraId="5BC98E9B" w14:textId="77777777" w:rsidR="001C5F76" w:rsidRPr="00485F85" w:rsidRDefault="001C5F76" w:rsidP="00A206D5">
            <w:pPr>
              <w:spacing w:line="360" w:lineRule="auto"/>
              <w:jc w:val="both"/>
              <w:rPr>
                <w:rFonts w:asciiTheme="majorHAnsi" w:hAnsiTheme="majorHAnsi" w:cstheme="majorHAnsi"/>
                <w:b w:val="0"/>
              </w:rPr>
            </w:pPr>
          </w:p>
        </w:tc>
      </w:tr>
      <w:tr w:rsidR="001C5F76" w:rsidRPr="00485F85" w14:paraId="1F22FAD5"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vMerge w:val="restart"/>
          </w:tcPr>
          <w:p w14:paraId="243C19F8"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3.1.1 Número por Titulação</w:t>
            </w:r>
          </w:p>
        </w:tc>
        <w:tc>
          <w:tcPr>
            <w:tcW w:w="1454" w:type="dxa"/>
            <w:gridSpan w:val="3"/>
          </w:tcPr>
          <w:p w14:paraId="30BD02F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Doutorado</w:t>
            </w:r>
          </w:p>
        </w:tc>
        <w:tc>
          <w:tcPr>
            <w:tcW w:w="1883" w:type="dxa"/>
            <w:gridSpan w:val="3"/>
          </w:tcPr>
          <w:p w14:paraId="5E28206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Mestrado</w:t>
            </w:r>
          </w:p>
        </w:tc>
        <w:tc>
          <w:tcPr>
            <w:tcW w:w="1482" w:type="dxa"/>
            <w:gridSpan w:val="2"/>
          </w:tcPr>
          <w:p w14:paraId="446F6190"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Especialização</w:t>
            </w:r>
          </w:p>
        </w:tc>
        <w:tc>
          <w:tcPr>
            <w:tcW w:w="1310" w:type="dxa"/>
            <w:gridSpan w:val="5"/>
          </w:tcPr>
          <w:p w14:paraId="7FFEA4D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234" w:type="dxa"/>
            <w:gridSpan w:val="2"/>
          </w:tcPr>
          <w:p w14:paraId="670753B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Total</w:t>
            </w:r>
          </w:p>
        </w:tc>
      </w:tr>
      <w:tr w:rsidR="001C5F76" w:rsidRPr="00485F85" w14:paraId="1C0450A2" w14:textId="77777777" w:rsidTr="00A206D5">
        <w:trPr>
          <w:trHeight w:val="233"/>
        </w:trPr>
        <w:tc>
          <w:tcPr>
            <w:cnfStyle w:val="001000000000" w:firstRow="0" w:lastRow="0" w:firstColumn="1" w:lastColumn="0" w:oddVBand="0" w:evenVBand="0" w:oddHBand="0" w:evenHBand="0" w:firstRowFirstColumn="0" w:firstRowLastColumn="0" w:lastRowFirstColumn="0" w:lastRowLastColumn="0"/>
            <w:tcW w:w="1986" w:type="dxa"/>
            <w:gridSpan w:val="2"/>
            <w:vMerge/>
          </w:tcPr>
          <w:p w14:paraId="1BFD7A13" w14:textId="77777777" w:rsidR="001C5F76" w:rsidRPr="00485F85" w:rsidRDefault="001C5F76" w:rsidP="00A206D5">
            <w:pPr>
              <w:spacing w:line="360" w:lineRule="auto"/>
              <w:jc w:val="both"/>
              <w:rPr>
                <w:rFonts w:asciiTheme="majorHAnsi" w:hAnsiTheme="majorHAnsi" w:cstheme="majorHAnsi"/>
              </w:rPr>
            </w:pPr>
          </w:p>
        </w:tc>
        <w:tc>
          <w:tcPr>
            <w:tcW w:w="1454" w:type="dxa"/>
            <w:gridSpan w:val="3"/>
          </w:tcPr>
          <w:p w14:paraId="6640E35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883" w:type="dxa"/>
            <w:gridSpan w:val="3"/>
          </w:tcPr>
          <w:p w14:paraId="625DB85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482" w:type="dxa"/>
            <w:gridSpan w:val="2"/>
          </w:tcPr>
          <w:p w14:paraId="407710D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310" w:type="dxa"/>
            <w:gridSpan w:val="5"/>
          </w:tcPr>
          <w:p w14:paraId="32CD08E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2234" w:type="dxa"/>
            <w:gridSpan w:val="2"/>
          </w:tcPr>
          <w:p w14:paraId="7EDA693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015DDE1D" w14:textId="77777777" w:rsidTr="00A206D5">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571" w:type="dxa"/>
          </w:tcPr>
          <w:p w14:paraId="6C9619E9" w14:textId="77777777" w:rsidR="001C5F76" w:rsidRPr="00485F85" w:rsidRDefault="001C5F76" w:rsidP="00A206D5">
            <w:pPr>
              <w:shd w:val="clear" w:color="auto" w:fill="FFFFFF"/>
              <w:spacing w:line="360" w:lineRule="auto"/>
              <w:rPr>
                <w:rFonts w:asciiTheme="majorHAnsi" w:eastAsia="Times New Roman" w:hAnsiTheme="majorHAnsi" w:cstheme="majorHAnsi"/>
                <w:b w:val="0"/>
                <w:bCs w:val="0"/>
                <w:color w:val="222222"/>
                <w:sz w:val="20"/>
                <w:szCs w:val="20"/>
                <w:lang w:eastAsia="pt-BR"/>
              </w:rPr>
            </w:pPr>
            <w:r w:rsidRPr="00485F85">
              <w:rPr>
                <w:rFonts w:asciiTheme="majorHAnsi" w:eastAsia="Times New Roman" w:hAnsiTheme="majorHAnsi" w:cstheme="majorHAnsi"/>
                <w:color w:val="222222"/>
                <w:sz w:val="20"/>
                <w:szCs w:val="20"/>
                <w:lang w:eastAsia="pt-BR"/>
              </w:rPr>
              <w:t>Doctorate</w:t>
            </w:r>
          </w:p>
          <w:p w14:paraId="556CEF49" w14:textId="77777777" w:rsidR="001C5F76" w:rsidRPr="00485F85" w:rsidRDefault="001C5F76" w:rsidP="00A206D5">
            <w:pPr>
              <w:spacing w:line="360" w:lineRule="auto"/>
              <w:rPr>
                <w:rFonts w:asciiTheme="majorHAnsi" w:eastAsia="Times New Roman" w:hAnsiTheme="majorHAnsi" w:cstheme="majorHAnsi"/>
                <w:b w:val="0"/>
                <w:bCs w:val="0"/>
                <w:color w:val="222222"/>
                <w:sz w:val="20"/>
                <w:szCs w:val="20"/>
                <w:lang w:eastAsia="pt-BR"/>
              </w:rPr>
            </w:pPr>
          </w:p>
        </w:tc>
        <w:tc>
          <w:tcPr>
            <w:tcW w:w="961" w:type="dxa"/>
            <w:gridSpan w:val="2"/>
          </w:tcPr>
          <w:p w14:paraId="4F24B63C"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r w:rsidRPr="00485F85">
              <w:rPr>
                <w:rFonts w:asciiTheme="majorHAnsi" w:eastAsia="Times New Roman" w:hAnsiTheme="majorHAnsi" w:cstheme="majorHAnsi"/>
                <w:b/>
                <w:bCs/>
                <w:color w:val="222222"/>
                <w:sz w:val="20"/>
                <w:szCs w:val="20"/>
                <w:lang w:eastAsia="pt-BR"/>
              </w:rPr>
              <w:t>Other higther degree</w:t>
            </w:r>
          </w:p>
          <w:p w14:paraId="4E6FF928"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1613" w:type="dxa"/>
            <w:gridSpan w:val="3"/>
          </w:tcPr>
          <w:p w14:paraId="38B659CF"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r w:rsidRPr="00485F85">
              <w:rPr>
                <w:rFonts w:asciiTheme="majorHAnsi" w:eastAsia="Times New Roman" w:hAnsiTheme="majorHAnsi" w:cstheme="majorHAnsi"/>
                <w:b/>
                <w:bCs/>
                <w:color w:val="222222"/>
                <w:sz w:val="20"/>
                <w:szCs w:val="20"/>
                <w:lang w:eastAsia="pt-BR"/>
              </w:rPr>
              <w:t>Other postgraduate qualification</w:t>
            </w:r>
          </w:p>
          <w:p w14:paraId="46A031B7"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961" w:type="dxa"/>
          </w:tcPr>
          <w:p w14:paraId="0AA01951"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r w:rsidRPr="00485F85">
              <w:rPr>
                <w:rFonts w:asciiTheme="majorHAnsi" w:eastAsia="Times New Roman" w:hAnsiTheme="majorHAnsi" w:cstheme="majorHAnsi"/>
                <w:b/>
                <w:bCs/>
                <w:color w:val="222222"/>
                <w:sz w:val="20"/>
                <w:szCs w:val="20"/>
                <w:lang w:eastAsia="pt-BR"/>
              </w:rPr>
              <w:t>First degree</w:t>
            </w:r>
          </w:p>
          <w:p w14:paraId="3AF7F81E"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1772" w:type="dxa"/>
            <w:gridSpan w:val="5"/>
          </w:tcPr>
          <w:p w14:paraId="55F65982"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r w:rsidRPr="00485F85">
              <w:rPr>
                <w:rFonts w:asciiTheme="majorHAnsi" w:eastAsia="Times New Roman" w:hAnsiTheme="majorHAnsi" w:cstheme="majorHAnsi"/>
                <w:b/>
                <w:bCs/>
                <w:color w:val="222222"/>
                <w:sz w:val="20"/>
                <w:szCs w:val="20"/>
                <w:lang w:eastAsia="pt-BR"/>
              </w:rPr>
              <w:t>Other undergraduate qualification</w:t>
            </w:r>
          </w:p>
          <w:p w14:paraId="66D4BC6C"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815" w:type="dxa"/>
          </w:tcPr>
          <w:p w14:paraId="0A4D602B"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val="es-ES" w:eastAsia="pt-BR"/>
              </w:rPr>
            </w:pPr>
            <w:r w:rsidRPr="00485F85">
              <w:rPr>
                <w:rFonts w:asciiTheme="majorHAnsi" w:eastAsia="Times New Roman" w:hAnsiTheme="majorHAnsi" w:cstheme="majorHAnsi"/>
                <w:b/>
                <w:bCs/>
                <w:color w:val="222222"/>
                <w:sz w:val="20"/>
                <w:szCs w:val="20"/>
                <w:lang w:val="es-ES" w:eastAsia="pt-BR"/>
              </w:rPr>
              <w:t>Other</w:t>
            </w:r>
          </w:p>
          <w:p w14:paraId="556EF86F"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1213" w:type="dxa"/>
            <w:gridSpan w:val="3"/>
          </w:tcPr>
          <w:p w14:paraId="1D3D979D"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val="es-ES" w:eastAsia="pt-BR"/>
              </w:rPr>
            </w:pPr>
            <w:r w:rsidRPr="00485F85">
              <w:rPr>
                <w:rFonts w:asciiTheme="majorHAnsi" w:eastAsia="Times New Roman" w:hAnsiTheme="majorHAnsi" w:cstheme="majorHAnsi"/>
                <w:b/>
                <w:bCs/>
                <w:color w:val="222222"/>
                <w:sz w:val="20"/>
                <w:szCs w:val="20"/>
                <w:lang w:val="es-ES" w:eastAsia="pt-BR"/>
              </w:rPr>
              <w:t>Unknown</w:t>
            </w:r>
          </w:p>
          <w:p w14:paraId="5EEE1AFB"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c>
          <w:tcPr>
            <w:tcW w:w="1443" w:type="dxa"/>
          </w:tcPr>
          <w:p w14:paraId="6F8DEAD1"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val="es-ES" w:eastAsia="pt-BR"/>
              </w:rPr>
            </w:pPr>
            <w:r w:rsidRPr="00485F85">
              <w:rPr>
                <w:rFonts w:asciiTheme="majorHAnsi" w:eastAsia="Times New Roman" w:hAnsiTheme="majorHAnsi" w:cstheme="majorHAnsi"/>
                <w:b/>
                <w:bCs/>
                <w:color w:val="222222"/>
                <w:sz w:val="20"/>
                <w:szCs w:val="20"/>
                <w:lang w:val="es-ES" w:eastAsia="pt-BR"/>
              </w:rPr>
              <w:t>Total Academic Staff</w:t>
            </w:r>
          </w:p>
          <w:p w14:paraId="327659C0" w14:textId="77777777" w:rsidR="001C5F76" w:rsidRPr="00485F85" w:rsidRDefault="001C5F76" w:rsidP="00A206D5">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222222"/>
                <w:sz w:val="20"/>
                <w:szCs w:val="20"/>
                <w:lang w:eastAsia="pt-BR"/>
              </w:rPr>
            </w:pPr>
          </w:p>
        </w:tc>
      </w:tr>
      <w:tr w:rsidR="001C5F76" w:rsidRPr="00485F85" w14:paraId="1367A866" w14:textId="77777777" w:rsidTr="00A206D5">
        <w:tc>
          <w:tcPr>
            <w:cnfStyle w:val="001000000000" w:firstRow="0" w:lastRow="0" w:firstColumn="1" w:lastColumn="0" w:oddVBand="0" w:evenVBand="0" w:oddHBand="0" w:evenHBand="0" w:firstRowFirstColumn="0" w:firstRowLastColumn="0" w:lastRowFirstColumn="0" w:lastRowLastColumn="0"/>
            <w:tcW w:w="1571" w:type="dxa"/>
          </w:tcPr>
          <w:p w14:paraId="091EBD54" w14:textId="77777777" w:rsidR="001C5F76" w:rsidRPr="00485F85" w:rsidRDefault="001C5F76" w:rsidP="00A206D5">
            <w:pPr>
              <w:shd w:val="clear" w:color="auto" w:fill="FFFFFF"/>
              <w:spacing w:line="360" w:lineRule="auto"/>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5.465</w:t>
            </w:r>
          </w:p>
          <w:p w14:paraId="7B51FB3B" w14:textId="77777777" w:rsidR="001C5F76" w:rsidRPr="00485F85" w:rsidRDefault="001C5F76" w:rsidP="00A206D5">
            <w:pPr>
              <w:spacing w:line="360" w:lineRule="auto"/>
              <w:rPr>
                <w:rFonts w:asciiTheme="majorHAnsi" w:eastAsia="Times New Roman" w:hAnsiTheme="majorHAnsi" w:cstheme="majorHAnsi"/>
                <w:color w:val="222222"/>
                <w:sz w:val="20"/>
                <w:szCs w:val="20"/>
                <w:lang w:eastAsia="pt-BR"/>
              </w:rPr>
            </w:pPr>
          </w:p>
        </w:tc>
        <w:tc>
          <w:tcPr>
            <w:tcW w:w="961" w:type="dxa"/>
            <w:gridSpan w:val="2"/>
          </w:tcPr>
          <w:p w14:paraId="13200939"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940</w:t>
            </w:r>
          </w:p>
          <w:p w14:paraId="4F0E9876"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1613" w:type="dxa"/>
            <w:gridSpan w:val="3"/>
          </w:tcPr>
          <w:p w14:paraId="7DFBCF04"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100</w:t>
            </w:r>
          </w:p>
          <w:p w14:paraId="4041B8BA"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961" w:type="dxa"/>
          </w:tcPr>
          <w:p w14:paraId="34587D2E"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410</w:t>
            </w:r>
          </w:p>
          <w:p w14:paraId="41C71DBC"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1772" w:type="dxa"/>
            <w:gridSpan w:val="5"/>
          </w:tcPr>
          <w:p w14:paraId="0ECC8ED7"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val="es-ES" w:eastAsia="pt-BR"/>
              </w:rPr>
            </w:pPr>
            <w:r w:rsidRPr="00485F85">
              <w:rPr>
                <w:rFonts w:asciiTheme="majorHAnsi" w:eastAsia="Times New Roman" w:hAnsiTheme="majorHAnsi" w:cstheme="majorHAnsi"/>
                <w:color w:val="222222"/>
                <w:sz w:val="20"/>
                <w:szCs w:val="20"/>
                <w:lang w:val="es-ES" w:eastAsia="pt-BR"/>
              </w:rPr>
              <w:t>25</w:t>
            </w:r>
          </w:p>
          <w:p w14:paraId="589083E7"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815" w:type="dxa"/>
          </w:tcPr>
          <w:p w14:paraId="3B211ECB"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val="es-ES" w:eastAsia="pt-BR"/>
              </w:rPr>
            </w:pPr>
            <w:r w:rsidRPr="00485F85">
              <w:rPr>
                <w:rFonts w:asciiTheme="majorHAnsi" w:eastAsia="Times New Roman" w:hAnsiTheme="majorHAnsi" w:cstheme="majorHAnsi"/>
                <w:color w:val="222222"/>
                <w:sz w:val="20"/>
                <w:szCs w:val="20"/>
                <w:lang w:val="es-ES" w:eastAsia="pt-BR"/>
              </w:rPr>
              <w:t>20</w:t>
            </w:r>
          </w:p>
          <w:p w14:paraId="00A71E7A"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1213" w:type="dxa"/>
            <w:gridSpan w:val="3"/>
          </w:tcPr>
          <w:p w14:paraId="2648E1CC"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val="es-ES" w:eastAsia="pt-BR"/>
              </w:rPr>
            </w:pPr>
            <w:r w:rsidRPr="00485F85">
              <w:rPr>
                <w:rFonts w:asciiTheme="majorHAnsi" w:eastAsia="Times New Roman" w:hAnsiTheme="majorHAnsi" w:cstheme="majorHAnsi"/>
                <w:color w:val="222222"/>
                <w:sz w:val="20"/>
                <w:szCs w:val="20"/>
                <w:lang w:val="es-ES" w:eastAsia="pt-BR"/>
              </w:rPr>
              <w:t>30</w:t>
            </w:r>
          </w:p>
          <w:p w14:paraId="550B20C8"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c>
          <w:tcPr>
            <w:tcW w:w="1443" w:type="dxa"/>
          </w:tcPr>
          <w:p w14:paraId="26F57D8D" w14:textId="77777777" w:rsidR="001C5F76" w:rsidRPr="00485F85" w:rsidRDefault="001C5F76" w:rsidP="00A206D5">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val="es-ES" w:eastAsia="pt-BR"/>
              </w:rPr>
            </w:pPr>
            <w:r w:rsidRPr="00485F85">
              <w:rPr>
                <w:rFonts w:asciiTheme="majorHAnsi" w:eastAsia="Times New Roman" w:hAnsiTheme="majorHAnsi" w:cstheme="majorHAnsi"/>
                <w:color w:val="222222"/>
                <w:sz w:val="20"/>
                <w:szCs w:val="20"/>
                <w:lang w:val="es-ES" w:eastAsia="pt-BR"/>
              </w:rPr>
              <w:t>6.995</w:t>
            </w:r>
          </w:p>
          <w:p w14:paraId="32DE40C6" w14:textId="77777777" w:rsidR="001C5F76" w:rsidRPr="00485F85" w:rsidRDefault="001C5F76" w:rsidP="00A206D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p>
        </w:tc>
      </w:tr>
      <w:tr w:rsidR="001C5F76" w:rsidRPr="00485F85" w14:paraId="1DFA4523" w14:textId="77777777" w:rsidTr="00A206D5">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71" w:type="dxa"/>
          </w:tcPr>
          <w:p w14:paraId="0AB41AF0" w14:textId="77777777" w:rsidR="001C5F76" w:rsidRPr="00485F85" w:rsidRDefault="001C5F76" w:rsidP="00A206D5">
            <w:pPr>
              <w:shd w:val="clear" w:color="auto" w:fill="FFFFFF"/>
              <w:spacing w:line="360" w:lineRule="auto"/>
              <w:rPr>
                <w:rFonts w:asciiTheme="majorHAnsi" w:eastAsia="Times New Roman" w:hAnsiTheme="majorHAnsi" w:cstheme="majorHAnsi"/>
                <w:color w:val="222222"/>
                <w:sz w:val="20"/>
                <w:szCs w:val="20"/>
                <w:lang w:eastAsia="pt-BR"/>
              </w:rPr>
            </w:pPr>
            <w:r w:rsidRPr="00485F85">
              <w:rPr>
                <w:rFonts w:asciiTheme="majorHAnsi" w:hAnsiTheme="majorHAnsi" w:cstheme="majorHAnsi"/>
              </w:rPr>
              <w:t>Observações</w:t>
            </w:r>
          </w:p>
        </w:tc>
        <w:tc>
          <w:tcPr>
            <w:tcW w:w="8778" w:type="dxa"/>
            <w:gridSpan w:val="16"/>
          </w:tcPr>
          <w:p w14:paraId="3A7A2069"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222222"/>
                <w:sz w:val="20"/>
                <w:szCs w:val="20"/>
                <w:lang w:eastAsia="pt-BR"/>
              </w:rPr>
            </w:pPr>
          </w:p>
          <w:p w14:paraId="7A3A30F6"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Tabela Adaptada com os dados da HESA. Dados do ano acadêmico 2019/2020</w:t>
            </w:r>
          </w:p>
          <w:p w14:paraId="25753EE3" w14:textId="77777777" w:rsidR="001C5F76" w:rsidRPr="00485F85" w:rsidRDefault="001C5F76" w:rsidP="00A206D5">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222222"/>
                <w:sz w:val="20"/>
                <w:szCs w:val="20"/>
                <w:lang w:eastAsia="pt-BR"/>
              </w:rPr>
            </w:pPr>
          </w:p>
        </w:tc>
      </w:tr>
      <w:tr w:rsidR="001C5F76" w:rsidRPr="00485F85" w14:paraId="05BF3A05" w14:textId="77777777" w:rsidTr="00A206D5">
        <w:tc>
          <w:tcPr>
            <w:cnfStyle w:val="001000000000" w:firstRow="0" w:lastRow="0" w:firstColumn="1" w:lastColumn="0" w:oddVBand="0" w:evenVBand="0" w:oddHBand="0" w:evenHBand="0" w:firstRowFirstColumn="0" w:firstRowLastColumn="0" w:lastRowFirstColumn="0" w:lastRowLastColumn="0"/>
            <w:tcW w:w="1986" w:type="dxa"/>
            <w:gridSpan w:val="2"/>
            <w:vMerge w:val="restart"/>
          </w:tcPr>
          <w:p w14:paraId="253B0BCF"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3.1.2. Número de Docentes por Regime de Trabalho</w:t>
            </w:r>
          </w:p>
        </w:tc>
        <w:tc>
          <w:tcPr>
            <w:tcW w:w="1454" w:type="dxa"/>
            <w:gridSpan w:val="3"/>
          </w:tcPr>
          <w:p w14:paraId="6540D19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Dedicação Exclusiva</w:t>
            </w:r>
          </w:p>
        </w:tc>
        <w:tc>
          <w:tcPr>
            <w:tcW w:w="1883" w:type="dxa"/>
            <w:gridSpan w:val="3"/>
          </w:tcPr>
          <w:p w14:paraId="02B5CCC7"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Tempo Integral</w:t>
            </w:r>
          </w:p>
        </w:tc>
        <w:tc>
          <w:tcPr>
            <w:tcW w:w="1482" w:type="dxa"/>
            <w:gridSpan w:val="2"/>
          </w:tcPr>
          <w:p w14:paraId="137D9AE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Tempo Parcial</w:t>
            </w:r>
          </w:p>
        </w:tc>
        <w:tc>
          <w:tcPr>
            <w:tcW w:w="1310" w:type="dxa"/>
            <w:gridSpan w:val="5"/>
          </w:tcPr>
          <w:p w14:paraId="54AB6023"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Horista</w:t>
            </w:r>
          </w:p>
        </w:tc>
        <w:tc>
          <w:tcPr>
            <w:tcW w:w="2234" w:type="dxa"/>
            <w:gridSpan w:val="2"/>
            <w:vMerge w:val="restart"/>
          </w:tcPr>
          <w:p w14:paraId="4D940A9C"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Total </w:t>
            </w:r>
          </w:p>
          <w:p w14:paraId="4367F217"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Cs/>
              </w:rPr>
              <w:t>6.995</w:t>
            </w:r>
          </w:p>
        </w:tc>
      </w:tr>
      <w:tr w:rsidR="001C5F76" w:rsidRPr="00485F85" w14:paraId="6531BCBB"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vMerge/>
          </w:tcPr>
          <w:p w14:paraId="1421873E" w14:textId="77777777" w:rsidR="001C5F76" w:rsidRPr="00485F85" w:rsidRDefault="001C5F76" w:rsidP="00A206D5">
            <w:pPr>
              <w:spacing w:line="360" w:lineRule="auto"/>
              <w:jc w:val="both"/>
              <w:rPr>
                <w:rFonts w:asciiTheme="majorHAnsi" w:hAnsiTheme="majorHAnsi" w:cstheme="majorHAnsi"/>
              </w:rPr>
            </w:pPr>
          </w:p>
        </w:tc>
        <w:tc>
          <w:tcPr>
            <w:tcW w:w="1454" w:type="dxa"/>
            <w:gridSpan w:val="3"/>
          </w:tcPr>
          <w:p w14:paraId="654E1C8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1883" w:type="dxa"/>
            <w:gridSpan w:val="3"/>
          </w:tcPr>
          <w:p w14:paraId="00AA54E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6020</w:t>
            </w:r>
          </w:p>
        </w:tc>
        <w:tc>
          <w:tcPr>
            <w:tcW w:w="1482" w:type="dxa"/>
            <w:gridSpan w:val="2"/>
          </w:tcPr>
          <w:p w14:paraId="21889357"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975</w:t>
            </w:r>
          </w:p>
        </w:tc>
        <w:tc>
          <w:tcPr>
            <w:tcW w:w="1310" w:type="dxa"/>
            <w:gridSpan w:val="5"/>
          </w:tcPr>
          <w:p w14:paraId="0F892D87"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c>
          <w:tcPr>
            <w:tcW w:w="2234" w:type="dxa"/>
            <w:gridSpan w:val="2"/>
            <w:vMerge/>
          </w:tcPr>
          <w:p w14:paraId="1CA44682"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4117720A" w14:textId="77777777" w:rsidTr="00A206D5">
        <w:trPr>
          <w:trHeight w:val="648"/>
        </w:trPr>
        <w:tc>
          <w:tcPr>
            <w:cnfStyle w:val="001000000000" w:firstRow="0" w:lastRow="0" w:firstColumn="1" w:lastColumn="0" w:oddVBand="0" w:evenVBand="0" w:oddHBand="0" w:evenHBand="0" w:firstRowFirstColumn="0" w:firstRowLastColumn="0" w:lastRowFirstColumn="0" w:lastRowLastColumn="0"/>
            <w:tcW w:w="1986" w:type="dxa"/>
            <w:gridSpan w:val="2"/>
          </w:tcPr>
          <w:p w14:paraId="40224FC7"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lastRenderedPageBreak/>
              <w:t>3.1.3. Produção Acadêmica</w:t>
            </w:r>
          </w:p>
          <w:p w14:paraId="7F5B4E6B" w14:textId="77777777" w:rsidR="001C5F76" w:rsidRPr="00485F85" w:rsidRDefault="001C5F76" w:rsidP="00A206D5">
            <w:pPr>
              <w:spacing w:line="360" w:lineRule="auto"/>
              <w:jc w:val="both"/>
              <w:rPr>
                <w:rFonts w:asciiTheme="majorHAnsi" w:hAnsiTheme="majorHAnsi" w:cstheme="majorHAnsi"/>
                <w:b w:val="0"/>
              </w:rPr>
            </w:pPr>
          </w:p>
        </w:tc>
        <w:tc>
          <w:tcPr>
            <w:tcW w:w="4819" w:type="dxa"/>
            <w:gridSpan w:val="8"/>
          </w:tcPr>
          <w:p w14:paraId="6CDC69DC"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Número de produções por área de conhecimento</w:t>
            </w:r>
          </w:p>
          <w:p w14:paraId="5ED61B0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6D7A9FE"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 1% superior - Numero de publicações pertencentes ao 1% mais importantes da sua área - 2,6% das publicações de OXford</w:t>
            </w:r>
          </w:p>
          <w:p w14:paraId="2AA155E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 5% superior - Numero de publicações pertencentes ao 5% mais importantes da sua área - 10,5% das publicações de OXford</w:t>
            </w:r>
          </w:p>
          <w:p w14:paraId="0A6A717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 10% superior - Numero de publicações pertencentes ao 10% mais importantes da sua área - 18,6% das publicações de OXford</w:t>
            </w:r>
          </w:p>
          <w:p w14:paraId="308EB7B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 50% superior - Numero de publicações pertencentes ao 50% mais importantes da sua área - 64,2% das publicações de OXford</w:t>
            </w:r>
          </w:p>
          <w:p w14:paraId="6E29F19E"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A271EF3" w14:textId="77777777" w:rsidR="001C5F76" w:rsidRPr="00485F85" w:rsidRDefault="00A515B3"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38" w:history="1">
              <w:r w:rsidR="001C5F76" w:rsidRPr="00485F85">
                <w:rPr>
                  <w:rFonts w:asciiTheme="majorHAnsi" w:hAnsiTheme="majorHAnsi" w:cstheme="majorHAnsi"/>
                  <w:color w:val="4875BD" w:themeColor="accent1"/>
                  <w:u w:val="single"/>
                </w:rPr>
                <w:t>https://www.leidenranking.com/ranking/2021/list</w:t>
              </w:r>
            </w:hyperlink>
            <w:r w:rsidR="001C5F76" w:rsidRPr="00485F85">
              <w:rPr>
                <w:rFonts w:asciiTheme="majorHAnsi" w:hAnsiTheme="majorHAnsi" w:cstheme="majorHAnsi"/>
              </w:rPr>
              <w:t xml:space="preserve"> </w:t>
            </w:r>
          </w:p>
          <w:p w14:paraId="29DB477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C525FE0"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34E99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BF14DA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44" w:type="dxa"/>
            <w:gridSpan w:val="7"/>
          </w:tcPr>
          <w:p w14:paraId="433D8BD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2B2A6E1B"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5CEC1B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 acordo com o site que calcula e compara o impacto científico das universidades, Oxford está em primeiro lugar do Reino Unido com os seguintes indicadores de produção acadêmica no período de publicações entre 2016-2019</w:t>
            </w:r>
          </w:p>
          <w:p w14:paraId="37EAADB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22687AB"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vMerge w:val="restart"/>
          </w:tcPr>
          <w:p w14:paraId="3B7ECFB0"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3.1.4. Vínculo com a Pós-Graduação</w:t>
            </w:r>
          </w:p>
          <w:p w14:paraId="0AF2558D" w14:textId="77777777" w:rsidR="001C5F76" w:rsidRPr="00485F85" w:rsidRDefault="001C5F76" w:rsidP="00A206D5">
            <w:pPr>
              <w:spacing w:line="360" w:lineRule="auto"/>
              <w:jc w:val="both"/>
              <w:rPr>
                <w:rFonts w:asciiTheme="majorHAnsi" w:hAnsiTheme="majorHAnsi" w:cstheme="majorHAnsi"/>
              </w:rPr>
            </w:pPr>
          </w:p>
        </w:tc>
        <w:tc>
          <w:tcPr>
            <w:tcW w:w="1417" w:type="dxa"/>
            <w:gridSpan w:val="2"/>
          </w:tcPr>
          <w:p w14:paraId="0DC8C80F"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Docentes atuando apenas na graduação</w:t>
            </w:r>
          </w:p>
        </w:tc>
        <w:tc>
          <w:tcPr>
            <w:tcW w:w="1985" w:type="dxa"/>
            <w:gridSpan w:val="5"/>
          </w:tcPr>
          <w:p w14:paraId="6AAFA603"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Docentes atuando apenas na pós-graduação</w:t>
            </w:r>
          </w:p>
        </w:tc>
        <w:tc>
          <w:tcPr>
            <w:tcW w:w="1417" w:type="dxa"/>
          </w:tcPr>
          <w:p w14:paraId="6F80B4A0"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Docentes atuando nas duas modalidades </w:t>
            </w:r>
          </w:p>
        </w:tc>
        <w:tc>
          <w:tcPr>
            <w:tcW w:w="3544" w:type="dxa"/>
            <w:gridSpan w:val="7"/>
          </w:tcPr>
          <w:p w14:paraId="379E61C6"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5219C850"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Não foram encontrados dados desagregados. </w:t>
            </w:r>
          </w:p>
        </w:tc>
      </w:tr>
      <w:tr w:rsidR="001C5F76" w:rsidRPr="00485F85" w14:paraId="2B2FEEE1" w14:textId="77777777" w:rsidTr="00A206D5">
        <w:tc>
          <w:tcPr>
            <w:cnfStyle w:val="001000000000" w:firstRow="0" w:lastRow="0" w:firstColumn="1" w:lastColumn="0" w:oddVBand="0" w:evenVBand="0" w:oddHBand="0" w:evenHBand="0" w:firstRowFirstColumn="0" w:firstRowLastColumn="0" w:lastRowFirstColumn="0" w:lastRowLastColumn="0"/>
            <w:tcW w:w="1986" w:type="dxa"/>
            <w:gridSpan w:val="2"/>
            <w:vMerge/>
          </w:tcPr>
          <w:p w14:paraId="5B2F8675" w14:textId="77777777" w:rsidR="001C5F76" w:rsidRPr="00485F85" w:rsidRDefault="001C5F76" w:rsidP="00A206D5">
            <w:pPr>
              <w:spacing w:line="360" w:lineRule="auto"/>
              <w:jc w:val="both"/>
              <w:rPr>
                <w:rFonts w:asciiTheme="majorHAnsi" w:hAnsiTheme="majorHAnsi" w:cstheme="majorHAnsi"/>
              </w:rPr>
            </w:pPr>
          </w:p>
        </w:tc>
        <w:tc>
          <w:tcPr>
            <w:tcW w:w="1417" w:type="dxa"/>
            <w:gridSpan w:val="2"/>
          </w:tcPr>
          <w:p w14:paraId="49462074"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985" w:type="dxa"/>
            <w:gridSpan w:val="5"/>
          </w:tcPr>
          <w:p w14:paraId="2257D5D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417" w:type="dxa"/>
          </w:tcPr>
          <w:p w14:paraId="1EB34876"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3544" w:type="dxa"/>
            <w:gridSpan w:val="7"/>
          </w:tcPr>
          <w:p w14:paraId="5EEFA8E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74434753"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vMerge/>
          </w:tcPr>
          <w:p w14:paraId="68EBE75B" w14:textId="77777777" w:rsidR="001C5F76" w:rsidRPr="00485F85" w:rsidRDefault="001C5F76" w:rsidP="00A206D5">
            <w:pPr>
              <w:spacing w:line="360" w:lineRule="auto"/>
              <w:jc w:val="both"/>
              <w:rPr>
                <w:rFonts w:asciiTheme="majorHAnsi" w:hAnsiTheme="majorHAnsi" w:cstheme="majorHAnsi"/>
              </w:rPr>
            </w:pPr>
          </w:p>
        </w:tc>
        <w:tc>
          <w:tcPr>
            <w:tcW w:w="1417" w:type="dxa"/>
            <w:gridSpan w:val="2"/>
          </w:tcPr>
          <w:p w14:paraId="3D17820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1985" w:type="dxa"/>
            <w:gridSpan w:val="5"/>
          </w:tcPr>
          <w:p w14:paraId="49E4E717"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1417" w:type="dxa"/>
          </w:tcPr>
          <w:p w14:paraId="6D824A4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3544" w:type="dxa"/>
            <w:gridSpan w:val="7"/>
          </w:tcPr>
          <w:p w14:paraId="3A6949DC"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29815179" w14:textId="77777777" w:rsidTr="00A206D5">
        <w:tc>
          <w:tcPr>
            <w:cnfStyle w:val="001000000000" w:firstRow="0" w:lastRow="0" w:firstColumn="1" w:lastColumn="0" w:oddVBand="0" w:evenVBand="0" w:oddHBand="0" w:evenHBand="0" w:firstRowFirstColumn="0" w:firstRowLastColumn="0" w:lastRowFirstColumn="0" w:lastRowLastColumn="0"/>
            <w:tcW w:w="1986" w:type="dxa"/>
            <w:gridSpan w:val="2"/>
          </w:tcPr>
          <w:p w14:paraId="54142327"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3.1.5 Docentes Estrangeiros</w:t>
            </w:r>
          </w:p>
        </w:tc>
        <w:tc>
          <w:tcPr>
            <w:tcW w:w="1417" w:type="dxa"/>
            <w:gridSpan w:val="2"/>
          </w:tcPr>
          <w:p w14:paraId="23956D81"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Docentes atuando apenas na graduação</w:t>
            </w:r>
          </w:p>
        </w:tc>
        <w:tc>
          <w:tcPr>
            <w:tcW w:w="1985" w:type="dxa"/>
            <w:gridSpan w:val="5"/>
          </w:tcPr>
          <w:p w14:paraId="3696BBA4"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Docentes atuando apenas na pós-graduação</w:t>
            </w:r>
          </w:p>
        </w:tc>
        <w:tc>
          <w:tcPr>
            <w:tcW w:w="1417" w:type="dxa"/>
          </w:tcPr>
          <w:p w14:paraId="4FA94AE2"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Docentes atuando nas duas modalidades</w:t>
            </w:r>
          </w:p>
        </w:tc>
        <w:tc>
          <w:tcPr>
            <w:tcW w:w="3544" w:type="dxa"/>
            <w:gridSpan w:val="7"/>
          </w:tcPr>
          <w:p w14:paraId="2CAAA4C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485F85" w14:paraId="3ED11F07"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tcPr>
          <w:p w14:paraId="611F523E" w14:textId="77777777" w:rsidR="001C5F76" w:rsidRPr="00485F85" w:rsidRDefault="001C5F76" w:rsidP="00A206D5">
            <w:pPr>
              <w:spacing w:line="360" w:lineRule="auto"/>
              <w:jc w:val="both"/>
              <w:rPr>
                <w:rFonts w:asciiTheme="majorHAnsi" w:hAnsiTheme="majorHAnsi" w:cstheme="majorHAnsi"/>
                <w:b w:val="0"/>
              </w:rPr>
            </w:pPr>
          </w:p>
        </w:tc>
        <w:tc>
          <w:tcPr>
            <w:tcW w:w="1417" w:type="dxa"/>
            <w:gridSpan w:val="2"/>
          </w:tcPr>
          <w:p w14:paraId="09A2F2B6"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foram encontrados dados</w:t>
            </w:r>
          </w:p>
        </w:tc>
        <w:tc>
          <w:tcPr>
            <w:tcW w:w="1985" w:type="dxa"/>
            <w:gridSpan w:val="5"/>
          </w:tcPr>
          <w:p w14:paraId="4B45EFF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foram encontrados dados</w:t>
            </w:r>
          </w:p>
        </w:tc>
        <w:tc>
          <w:tcPr>
            <w:tcW w:w="1417" w:type="dxa"/>
          </w:tcPr>
          <w:p w14:paraId="55135A8D"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foram encontrados dados</w:t>
            </w:r>
          </w:p>
        </w:tc>
        <w:tc>
          <w:tcPr>
            <w:tcW w:w="3544" w:type="dxa"/>
            <w:gridSpan w:val="7"/>
          </w:tcPr>
          <w:p w14:paraId="6285B72D"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2A095DAD" w14:textId="77777777" w:rsidTr="00A206D5">
        <w:tc>
          <w:tcPr>
            <w:cnfStyle w:val="001000000000" w:firstRow="0" w:lastRow="0" w:firstColumn="1" w:lastColumn="0" w:oddVBand="0" w:evenVBand="0" w:oddHBand="0" w:evenHBand="0" w:firstRowFirstColumn="0" w:firstRowLastColumn="0" w:lastRowFirstColumn="0" w:lastRowLastColumn="0"/>
            <w:tcW w:w="1986" w:type="dxa"/>
            <w:gridSpan w:val="2"/>
          </w:tcPr>
          <w:p w14:paraId="77A015AC" w14:textId="77777777" w:rsidR="001C5F76" w:rsidRPr="00485F85" w:rsidRDefault="001C5F76" w:rsidP="00A206D5">
            <w:pPr>
              <w:spacing w:line="360" w:lineRule="auto"/>
              <w:jc w:val="both"/>
              <w:rPr>
                <w:rFonts w:asciiTheme="majorHAnsi" w:hAnsiTheme="majorHAnsi" w:cstheme="majorHAnsi"/>
                <w:b w:val="0"/>
              </w:rPr>
            </w:pPr>
          </w:p>
          <w:p w14:paraId="536C6849" w14:textId="77777777" w:rsidR="001C5F76" w:rsidRPr="00485F85" w:rsidRDefault="001C5F76" w:rsidP="00A206D5">
            <w:pPr>
              <w:spacing w:line="360" w:lineRule="auto"/>
              <w:jc w:val="both"/>
              <w:rPr>
                <w:rFonts w:asciiTheme="majorHAnsi" w:hAnsiTheme="majorHAnsi" w:cstheme="majorHAnsi"/>
                <w:b w:val="0"/>
              </w:rPr>
            </w:pPr>
          </w:p>
        </w:tc>
        <w:tc>
          <w:tcPr>
            <w:tcW w:w="1417" w:type="dxa"/>
            <w:gridSpan w:val="2"/>
          </w:tcPr>
          <w:p w14:paraId="00E99BA7"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985" w:type="dxa"/>
            <w:gridSpan w:val="5"/>
          </w:tcPr>
          <w:p w14:paraId="1D05150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1417" w:type="dxa"/>
          </w:tcPr>
          <w:p w14:paraId="6705AD8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c>
          <w:tcPr>
            <w:tcW w:w="3544" w:type="dxa"/>
            <w:gridSpan w:val="7"/>
          </w:tcPr>
          <w:p w14:paraId="5FDFDC0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1C5F76" w:rsidRPr="00485F85" w14:paraId="04850891"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445B7ADB"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3.1.2 Mecanismos de seleção (Descritivo)</w:t>
            </w:r>
          </w:p>
        </w:tc>
      </w:tr>
      <w:tr w:rsidR="001C5F76" w:rsidRPr="00485F85" w14:paraId="4D6971AB"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7EA65074"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3.1.2.1. Concurso Público</w:t>
            </w:r>
          </w:p>
        </w:tc>
      </w:tr>
      <w:tr w:rsidR="001C5F76" w:rsidRPr="00485F85" w14:paraId="1E3E52B2"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613A8CF4"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Não se aplica</w:t>
            </w:r>
          </w:p>
        </w:tc>
      </w:tr>
      <w:tr w:rsidR="001C5F76" w:rsidRPr="00485F85" w14:paraId="425D1EA0"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57F73946"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3.1.2.2.  Processo Seletivo Público Sumário</w:t>
            </w:r>
          </w:p>
        </w:tc>
      </w:tr>
      <w:tr w:rsidR="001C5F76" w:rsidRPr="00485F85" w14:paraId="2CD07743"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096CC50F"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Não se aplica</w:t>
            </w:r>
          </w:p>
        </w:tc>
      </w:tr>
      <w:tr w:rsidR="001C5F76" w:rsidRPr="00485F85" w14:paraId="3949336F"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547C22A0"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t>3.1.2.3. Outras formas</w:t>
            </w:r>
          </w:p>
        </w:tc>
      </w:tr>
      <w:tr w:rsidR="001C5F76" w:rsidRPr="00485F85" w14:paraId="53C57A02"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484704F6" w14:textId="77777777" w:rsidR="001C5F76" w:rsidRPr="00485F85" w:rsidRDefault="001C5F76" w:rsidP="00A206D5">
            <w:pPr>
              <w:spacing w:line="360" w:lineRule="auto"/>
              <w:jc w:val="both"/>
              <w:rPr>
                <w:rFonts w:asciiTheme="majorHAnsi" w:hAnsiTheme="majorHAnsi" w:cstheme="majorHAnsi"/>
                <w:lang w:val="en-US"/>
              </w:rPr>
            </w:pPr>
          </w:p>
          <w:p w14:paraId="679630D3" w14:textId="77777777" w:rsidR="001C5F76" w:rsidRPr="00485F85" w:rsidRDefault="001C5F76" w:rsidP="00A206D5">
            <w:pPr>
              <w:spacing w:line="360" w:lineRule="auto"/>
              <w:jc w:val="both"/>
              <w:rPr>
                <w:rFonts w:asciiTheme="majorHAnsi" w:hAnsiTheme="majorHAnsi" w:cstheme="majorHAnsi"/>
                <w:lang w:val="en-US"/>
              </w:rPr>
            </w:pPr>
            <w:r w:rsidRPr="00485F85">
              <w:rPr>
                <w:rFonts w:asciiTheme="majorHAnsi" w:hAnsiTheme="majorHAnsi" w:cstheme="majorHAnsi"/>
                <w:lang w:val="en-US"/>
              </w:rPr>
              <w:t>Extraído do Statute XIV: Employment of Academic and Support Staff by the University</w:t>
            </w:r>
          </w:p>
          <w:p w14:paraId="07DBF83B" w14:textId="77777777" w:rsidR="001C5F76" w:rsidRPr="00485F85" w:rsidRDefault="001C5F76" w:rsidP="00A206D5">
            <w:pPr>
              <w:spacing w:line="360" w:lineRule="auto"/>
              <w:jc w:val="both"/>
              <w:rPr>
                <w:rFonts w:asciiTheme="majorHAnsi" w:hAnsiTheme="majorHAnsi" w:cstheme="majorHAnsi"/>
                <w:lang w:val="en-US"/>
              </w:rPr>
            </w:pPr>
          </w:p>
          <w:p w14:paraId="1CCEA04A"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Autoridade para empregar e demitir funcionários</w:t>
            </w:r>
          </w:p>
          <w:p w14:paraId="3DE7FAD8"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1. Nenhum funcionário da Universidade ou qualquer outra pessoa empregada pela Universidade ou trabalhando em ou em conexão com qualquer departamento ou sob o controle da Universidade terá autoridade, exceto com o consentimento expresso do Conselho e sujeito às seções 2-5 deste estatuto:</w:t>
            </w:r>
          </w:p>
          <w:p w14:paraId="078F00A5" w14:textId="77777777" w:rsidR="001C5F76" w:rsidRPr="00485F85" w:rsidRDefault="001C5F76" w:rsidP="00A206D5">
            <w:pPr>
              <w:spacing w:line="360" w:lineRule="auto"/>
              <w:jc w:val="both"/>
              <w:rPr>
                <w:rFonts w:asciiTheme="majorHAnsi" w:hAnsiTheme="majorHAnsi" w:cstheme="majorHAnsi"/>
              </w:rPr>
            </w:pPr>
          </w:p>
          <w:p w14:paraId="14187B0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(1) para oferecer a qualquer pessoa emprego como membro da equipe acadêmica ou de apoio da Universidade, ou para assinar cartas de nomeação para tal equipe acadêmica e de apoio;</w:t>
            </w:r>
          </w:p>
          <w:p w14:paraId="0A359C02" w14:textId="77777777" w:rsidR="001C5F76" w:rsidRPr="00485F85" w:rsidRDefault="001C5F76" w:rsidP="00A206D5">
            <w:pPr>
              <w:spacing w:line="360" w:lineRule="auto"/>
              <w:jc w:val="both"/>
              <w:rPr>
                <w:rFonts w:asciiTheme="majorHAnsi" w:hAnsiTheme="majorHAnsi" w:cstheme="majorHAnsi"/>
              </w:rPr>
            </w:pPr>
          </w:p>
          <w:p w14:paraId="45AEBCFC"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 demitir tal pessoal de apoio; ou</w:t>
            </w:r>
          </w:p>
          <w:p w14:paraId="5B94FB98" w14:textId="77777777" w:rsidR="001C5F76" w:rsidRPr="00485F85" w:rsidRDefault="001C5F76" w:rsidP="00A206D5">
            <w:pPr>
              <w:spacing w:line="360" w:lineRule="auto"/>
              <w:jc w:val="both"/>
              <w:rPr>
                <w:rFonts w:asciiTheme="majorHAnsi" w:hAnsiTheme="majorHAnsi" w:cstheme="majorHAnsi"/>
              </w:rPr>
            </w:pPr>
          </w:p>
          <w:p w14:paraId="7D84CD35"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 despedir tal pessoal docente em circunstâncias diferentes das que se enquadram nas disposições das Partes BE do Estatuto XII.</w:t>
            </w:r>
          </w:p>
          <w:p w14:paraId="6AC16608" w14:textId="77777777" w:rsidR="001C5F76" w:rsidRPr="00485F85" w:rsidRDefault="001C5F76" w:rsidP="00A206D5">
            <w:pPr>
              <w:spacing w:line="360" w:lineRule="auto"/>
              <w:jc w:val="both"/>
              <w:rPr>
                <w:rFonts w:asciiTheme="majorHAnsi" w:hAnsiTheme="majorHAnsi" w:cstheme="majorHAnsi"/>
              </w:rPr>
            </w:pPr>
          </w:p>
          <w:p w14:paraId="187443C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2. Qualquer oferta de emprego deve obedecer aos termos e condições de emprego adequados à categoria de pessoal em questão.</w:t>
            </w:r>
          </w:p>
          <w:p w14:paraId="3F5A1C30" w14:textId="77777777" w:rsidR="001C5F76" w:rsidRPr="00485F85" w:rsidRDefault="001C5F76" w:rsidP="00A206D5">
            <w:pPr>
              <w:spacing w:line="360" w:lineRule="auto"/>
              <w:jc w:val="both"/>
              <w:rPr>
                <w:rFonts w:asciiTheme="majorHAnsi" w:hAnsiTheme="majorHAnsi" w:cstheme="majorHAnsi"/>
              </w:rPr>
            </w:pPr>
          </w:p>
          <w:p w14:paraId="7EF83BEB"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 Qualquer despedimento deve obedecer aos procedimentos adequados para o despedimento do agente em causa.</w:t>
            </w:r>
          </w:p>
          <w:p w14:paraId="141FA873" w14:textId="77777777" w:rsidR="001C5F76" w:rsidRPr="00485F85" w:rsidRDefault="001C5F76" w:rsidP="00A206D5">
            <w:pPr>
              <w:spacing w:line="360" w:lineRule="auto"/>
              <w:jc w:val="both"/>
              <w:rPr>
                <w:rFonts w:asciiTheme="majorHAnsi" w:hAnsiTheme="majorHAnsi" w:cstheme="majorHAnsi"/>
              </w:rPr>
            </w:pPr>
          </w:p>
          <w:p w14:paraId="1D8E03D8" w14:textId="77777777" w:rsidR="001C5F76" w:rsidRPr="00485F85" w:rsidRDefault="001C5F76" w:rsidP="00A206D5">
            <w:pPr>
              <w:spacing w:line="360" w:lineRule="auto"/>
              <w:jc w:val="both"/>
              <w:rPr>
                <w:rFonts w:asciiTheme="majorHAnsi" w:hAnsiTheme="majorHAnsi" w:cstheme="majorHAnsi"/>
                <w:b w:val="0"/>
                <w:bCs w:val="0"/>
              </w:rPr>
            </w:pPr>
            <w:r w:rsidRPr="00485F85">
              <w:rPr>
                <w:rFonts w:asciiTheme="majorHAnsi" w:hAnsiTheme="majorHAnsi" w:cstheme="majorHAnsi"/>
              </w:rPr>
              <w:t>Condições gerais de serviço</w:t>
            </w:r>
          </w:p>
          <w:p w14:paraId="6C36348E"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 xml:space="preserve">O número de pessoas empregadas pela Universidade, suas condições de serviço e seu método de nomeação serão determinados de tempos em tempos pelo Conselho, sujeito às seções 7 a 14 do estatuto e às outras disposições dos estatutos e regulamentos. Link: </w:t>
            </w:r>
            <w:hyperlink r:id="rId139" w:anchor="section1" w:history="1">
              <w:r w:rsidRPr="00485F85">
                <w:rPr>
                  <w:rFonts w:asciiTheme="majorHAnsi" w:hAnsiTheme="majorHAnsi" w:cstheme="majorHAnsi"/>
                  <w:color w:val="4875BD" w:themeColor="accent1"/>
                  <w:u w:val="single"/>
                </w:rPr>
                <w:t>https://governance.admin.ox.ac.uk/legislation/statute-xiv-employment-of-academic-and-support-staff-by-the-university#section1</w:t>
              </w:r>
            </w:hyperlink>
            <w:r w:rsidRPr="00485F85">
              <w:rPr>
                <w:rFonts w:asciiTheme="majorHAnsi" w:hAnsiTheme="majorHAnsi" w:cstheme="majorHAnsi"/>
              </w:rPr>
              <w:t xml:space="preserve"> </w:t>
            </w:r>
          </w:p>
          <w:p w14:paraId="768B298A" w14:textId="77777777" w:rsidR="001C5F76" w:rsidRPr="00485F85" w:rsidRDefault="001C5F76" w:rsidP="00A206D5">
            <w:pPr>
              <w:spacing w:line="360" w:lineRule="auto"/>
              <w:jc w:val="both"/>
              <w:rPr>
                <w:rFonts w:asciiTheme="majorHAnsi" w:hAnsiTheme="majorHAnsi" w:cstheme="majorHAnsi"/>
              </w:rPr>
            </w:pPr>
          </w:p>
        </w:tc>
      </w:tr>
      <w:tr w:rsidR="001C5F76" w:rsidRPr="00485F85" w14:paraId="7BF0CA38"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59E687B3" w14:textId="77777777" w:rsidR="001C5F76" w:rsidRPr="00485F85" w:rsidRDefault="001C5F76" w:rsidP="00A206D5">
            <w:pPr>
              <w:spacing w:line="360" w:lineRule="auto"/>
              <w:jc w:val="both"/>
              <w:rPr>
                <w:rFonts w:asciiTheme="majorHAnsi" w:hAnsiTheme="majorHAnsi" w:cstheme="majorHAnsi"/>
                <w:b w:val="0"/>
              </w:rPr>
            </w:pPr>
            <w:r w:rsidRPr="00485F85">
              <w:rPr>
                <w:rFonts w:asciiTheme="majorHAnsi" w:hAnsiTheme="majorHAnsi" w:cstheme="majorHAnsi"/>
              </w:rPr>
              <w:lastRenderedPageBreak/>
              <w:t>3.1.3 Progressão na Carreira</w:t>
            </w:r>
          </w:p>
        </w:tc>
      </w:tr>
      <w:tr w:rsidR="001C5F76" w:rsidRPr="00485F85" w14:paraId="0ED28A04"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5F8AD1A2" w14:textId="77777777" w:rsidR="001C5F76" w:rsidRPr="00485F85" w:rsidRDefault="001C5F76" w:rsidP="00A206D5">
            <w:pPr>
              <w:spacing w:line="360" w:lineRule="auto"/>
              <w:jc w:val="both"/>
              <w:rPr>
                <w:rFonts w:asciiTheme="majorHAnsi" w:hAnsiTheme="majorHAnsi" w:cstheme="majorHAnsi"/>
                <w:bCs w:val="0"/>
              </w:rPr>
            </w:pPr>
            <w:r w:rsidRPr="00485F85">
              <w:rPr>
                <w:rFonts w:asciiTheme="majorHAnsi" w:hAnsiTheme="majorHAnsi" w:cstheme="majorHAnsi"/>
              </w:rPr>
              <w:t xml:space="preserve">O RH é um departamento muito atuante e desenvolvido em OXFORD. Ele propõe práticas e organiza documentos para realmente viabilizar o crescimento e o desenvolvimento de pessoas. </w:t>
            </w:r>
          </w:p>
          <w:p w14:paraId="6B992777" w14:textId="77777777" w:rsidR="001C5F76" w:rsidRPr="00485F85" w:rsidRDefault="001C5F76" w:rsidP="00A206D5">
            <w:pPr>
              <w:spacing w:line="360" w:lineRule="auto"/>
              <w:jc w:val="both"/>
              <w:rPr>
                <w:rFonts w:asciiTheme="majorHAnsi" w:hAnsiTheme="majorHAnsi" w:cstheme="majorHAnsi"/>
                <w:bCs w:val="0"/>
              </w:rPr>
            </w:pPr>
            <w:r w:rsidRPr="00485F85">
              <w:rPr>
                <w:rFonts w:asciiTheme="majorHAnsi" w:hAnsiTheme="majorHAnsi" w:cstheme="majorHAnsi"/>
                <w:lang w:val="en-US"/>
              </w:rPr>
              <w:t xml:space="preserve">O documento “The Code of Practice for the Employment and Career Development of Research Staff” prima por processos claros e etapas estabelecidas. </w:t>
            </w:r>
            <w:r w:rsidRPr="00485F85">
              <w:rPr>
                <w:rFonts w:asciiTheme="majorHAnsi" w:hAnsiTheme="majorHAnsi" w:cstheme="majorHAnsi"/>
              </w:rPr>
              <w:t>O documento possui seis princípios orientadores:</w:t>
            </w:r>
          </w:p>
          <w:p w14:paraId="6D8BE47B"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A Universidade tem como objetivo recrutar e selecionar pesquisadores com o maior potencial para alcançar a excelência em pesquisa.  </w:t>
            </w:r>
          </w:p>
          <w:p w14:paraId="2AC94463"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Os pesquisadores são participantes significativos e contribuintes para o sucesso da Universidade na pesquisa.  </w:t>
            </w:r>
          </w:p>
          <w:p w14:paraId="06514DA1"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Os pesquisadores devem ser equipados e apoiados para serem adaptáveis ​​e flexíveis em um ambiente de pesquisa global cada vez mais diversificado e móvel.  </w:t>
            </w:r>
          </w:p>
          <w:p w14:paraId="781BCDC9"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O desenvolvimento pessoal e profissional dos pesquisadores é reconhecido e promovido em todas as fases de suas carreiras, e os pesquisadores individuais compartilham a responsabilidade por seu próprio desenvolvimento pessoal e profissional. Os pesquisadores devem se envolver proativamente em seu próprio desenvolvimento pessoal e profissional.  </w:t>
            </w:r>
          </w:p>
          <w:p w14:paraId="5DB28FFA"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Igualdade e diversidade são promovidas em todos os aspectos do recrutamento e gestão de carreira de pesquisadores.  </w:t>
            </w:r>
          </w:p>
          <w:p w14:paraId="264A62AE" w14:textId="77777777" w:rsidR="001C5F76" w:rsidRPr="00485F85" w:rsidRDefault="001C5F76" w:rsidP="00A206D5">
            <w:pPr>
              <w:numPr>
                <w:ilvl w:val="0"/>
                <w:numId w:val="38"/>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A Universidade trabalhará com outras partes interessadas importantes no setor para realizar análises regulares e coletivas do progresso no fortalecimento da atratividade e sustentabilidade das carreiras de pesquisa no Reino Unido.  </w:t>
            </w:r>
          </w:p>
          <w:p w14:paraId="0EB88687" w14:textId="77777777" w:rsidR="001C5F76" w:rsidRPr="00485F85" w:rsidRDefault="001C5F76" w:rsidP="00A206D5">
            <w:pPr>
              <w:spacing w:line="360" w:lineRule="auto"/>
              <w:jc w:val="both"/>
              <w:rPr>
                <w:rFonts w:asciiTheme="majorHAnsi" w:hAnsiTheme="majorHAnsi" w:cstheme="majorHAnsi"/>
                <w:bCs w:val="0"/>
              </w:rPr>
            </w:pPr>
          </w:p>
          <w:p w14:paraId="580DB04C" w14:textId="77777777" w:rsidR="001C5F76" w:rsidRPr="00485F85" w:rsidRDefault="001C5F76" w:rsidP="00A206D5">
            <w:pPr>
              <w:spacing w:line="360" w:lineRule="auto"/>
              <w:jc w:val="both"/>
              <w:rPr>
                <w:rFonts w:asciiTheme="majorHAnsi" w:hAnsiTheme="majorHAnsi" w:cstheme="majorHAnsi"/>
                <w:bCs w:val="0"/>
              </w:rPr>
            </w:pPr>
            <w:r w:rsidRPr="00485F85">
              <w:rPr>
                <w:rFonts w:asciiTheme="majorHAnsi" w:hAnsiTheme="majorHAnsi" w:cstheme="majorHAnsi"/>
              </w:rPr>
              <w:t xml:space="preserve">E pode ser acessado pelo link:  </w:t>
            </w:r>
            <w:hyperlink r:id="rId140" w:anchor="collapse1629351" w:history="1">
              <w:r w:rsidRPr="00485F85">
                <w:rPr>
                  <w:rFonts w:asciiTheme="majorHAnsi" w:hAnsiTheme="majorHAnsi" w:cstheme="majorHAnsi"/>
                  <w:color w:val="4875BD" w:themeColor="accent1"/>
                  <w:u w:val="single"/>
                </w:rPr>
                <w:t>https://hr.admin.ox.ac.uk/code-of-practice-for-the-employment-and-career-development-of-research-staff#collapse1629351</w:t>
              </w:r>
            </w:hyperlink>
            <w:r w:rsidRPr="00485F85">
              <w:rPr>
                <w:rFonts w:asciiTheme="majorHAnsi" w:hAnsiTheme="majorHAnsi" w:cstheme="majorHAnsi"/>
              </w:rPr>
              <w:t xml:space="preserve"> </w:t>
            </w:r>
          </w:p>
          <w:p w14:paraId="203149D9" w14:textId="77777777" w:rsidR="001C5F76" w:rsidRPr="00485F85" w:rsidRDefault="001C5F76" w:rsidP="00A206D5">
            <w:pPr>
              <w:spacing w:line="360" w:lineRule="auto"/>
              <w:jc w:val="both"/>
              <w:rPr>
                <w:rFonts w:asciiTheme="majorHAnsi" w:hAnsiTheme="majorHAnsi" w:cstheme="majorHAnsi"/>
                <w:bCs w:val="0"/>
              </w:rPr>
            </w:pPr>
          </w:p>
          <w:p w14:paraId="1DEAD570" w14:textId="77777777" w:rsidR="001C5F76" w:rsidRPr="00485F85" w:rsidRDefault="001C5F76" w:rsidP="00A206D5">
            <w:pPr>
              <w:spacing w:line="360" w:lineRule="auto"/>
              <w:jc w:val="both"/>
              <w:rPr>
                <w:rFonts w:asciiTheme="majorHAnsi" w:hAnsiTheme="majorHAnsi" w:cstheme="majorHAnsi"/>
                <w:bCs w:val="0"/>
              </w:rPr>
            </w:pPr>
            <w:r w:rsidRPr="00485F85">
              <w:rPr>
                <w:rFonts w:asciiTheme="majorHAnsi" w:hAnsiTheme="majorHAnsi" w:cstheme="majorHAnsi"/>
              </w:rPr>
              <w:t>Um plano também foi criado e pode ser acesso aqui:</w:t>
            </w:r>
          </w:p>
          <w:p w14:paraId="550AE7BA" w14:textId="77777777" w:rsidR="001C5F76" w:rsidRPr="00485F85" w:rsidRDefault="00A515B3" w:rsidP="00A206D5">
            <w:pPr>
              <w:spacing w:line="360" w:lineRule="auto"/>
              <w:jc w:val="both"/>
              <w:rPr>
                <w:rFonts w:asciiTheme="majorHAnsi" w:hAnsiTheme="majorHAnsi" w:cstheme="majorHAnsi"/>
              </w:rPr>
            </w:pPr>
            <w:hyperlink r:id="rId141" w:history="1">
              <w:r w:rsidR="001C5F76" w:rsidRPr="00485F85">
                <w:rPr>
                  <w:rFonts w:asciiTheme="majorHAnsi" w:hAnsiTheme="majorHAnsi" w:cstheme="majorHAnsi"/>
                  <w:color w:val="4875BD" w:themeColor="accent1"/>
                  <w:u w:val="single"/>
                </w:rPr>
                <w:t>https://hr.admin.ox.ac.uk/files/hrexcellenceinresearchbadgeactionplanoct2011pdf</w:t>
              </w:r>
            </w:hyperlink>
            <w:r w:rsidR="001C5F76" w:rsidRPr="00485F85">
              <w:rPr>
                <w:rFonts w:asciiTheme="majorHAnsi" w:hAnsiTheme="majorHAnsi" w:cstheme="majorHAnsi"/>
              </w:rPr>
              <w:t xml:space="preserve"> </w:t>
            </w:r>
          </w:p>
          <w:p w14:paraId="1E68B3B2" w14:textId="77777777" w:rsidR="001C5F76" w:rsidRPr="00485F85" w:rsidRDefault="001C5F76" w:rsidP="00A206D5">
            <w:pPr>
              <w:spacing w:line="360" w:lineRule="auto"/>
              <w:jc w:val="both"/>
              <w:rPr>
                <w:rFonts w:asciiTheme="majorHAnsi" w:hAnsiTheme="majorHAnsi" w:cstheme="majorHAnsi"/>
                <w:bCs w:val="0"/>
              </w:rPr>
            </w:pPr>
            <w:r w:rsidRPr="00485F85">
              <w:rPr>
                <w:rFonts w:asciiTheme="majorHAnsi" w:hAnsiTheme="majorHAnsi" w:cstheme="majorHAnsi"/>
              </w:rPr>
              <w:t xml:space="preserve"> </w:t>
            </w:r>
          </w:p>
          <w:p w14:paraId="31C2876F" w14:textId="77777777" w:rsidR="001C5F76" w:rsidRPr="00485F85" w:rsidRDefault="001C5F76" w:rsidP="00A206D5">
            <w:pPr>
              <w:spacing w:line="360" w:lineRule="auto"/>
              <w:jc w:val="both"/>
              <w:rPr>
                <w:rFonts w:asciiTheme="majorHAnsi" w:hAnsiTheme="majorHAnsi" w:cstheme="majorHAnsi"/>
                <w:bCs w:val="0"/>
              </w:rPr>
            </w:pPr>
          </w:p>
        </w:tc>
      </w:tr>
      <w:tr w:rsidR="001C5F76" w:rsidRPr="00485F85" w14:paraId="6FB466B1" w14:textId="77777777" w:rsidTr="00A206D5">
        <w:tc>
          <w:tcPr>
            <w:cnfStyle w:val="001000000000" w:firstRow="0" w:lastRow="0" w:firstColumn="1" w:lastColumn="0" w:oddVBand="0" w:evenVBand="0" w:oddHBand="0" w:evenHBand="0" w:firstRowFirstColumn="0" w:firstRowLastColumn="0" w:lastRowFirstColumn="0" w:lastRowLastColumn="0"/>
            <w:tcW w:w="10349" w:type="dxa"/>
            <w:gridSpan w:val="17"/>
          </w:tcPr>
          <w:p w14:paraId="3E056304" w14:textId="77777777" w:rsidR="001C5F76" w:rsidRPr="00485F85" w:rsidRDefault="001C5F76" w:rsidP="00A206D5">
            <w:pPr>
              <w:spacing w:line="360" w:lineRule="auto"/>
              <w:jc w:val="both"/>
              <w:rPr>
                <w:rFonts w:asciiTheme="majorHAnsi" w:hAnsiTheme="majorHAnsi" w:cstheme="majorHAnsi"/>
                <w:b w:val="0"/>
              </w:rPr>
            </w:pPr>
          </w:p>
        </w:tc>
      </w:tr>
      <w:tr w:rsidR="001C5F76" w:rsidRPr="00485F85" w14:paraId="54B68628"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17"/>
          </w:tcPr>
          <w:p w14:paraId="76D4971F"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3.2. Corpo Técnico Administrativo</w:t>
            </w:r>
          </w:p>
        </w:tc>
      </w:tr>
      <w:tr w:rsidR="001C5F76" w:rsidRPr="00485F85" w14:paraId="2B9DEF50" w14:textId="77777777" w:rsidTr="00A206D5">
        <w:tc>
          <w:tcPr>
            <w:cnfStyle w:val="001000000000" w:firstRow="0" w:lastRow="0" w:firstColumn="1" w:lastColumn="0" w:oddVBand="0" w:evenVBand="0" w:oddHBand="0" w:evenHBand="0" w:firstRowFirstColumn="0" w:firstRowLastColumn="0" w:lastRowFirstColumn="0" w:lastRowLastColumn="0"/>
            <w:tcW w:w="1986" w:type="dxa"/>
            <w:gridSpan w:val="2"/>
            <w:vMerge w:val="restart"/>
          </w:tcPr>
          <w:p w14:paraId="79459D25" w14:textId="77777777" w:rsidR="001C5F76" w:rsidRPr="00485F85" w:rsidRDefault="001C5F76" w:rsidP="00A206D5">
            <w:pPr>
              <w:spacing w:line="360" w:lineRule="auto"/>
              <w:jc w:val="both"/>
              <w:rPr>
                <w:rFonts w:asciiTheme="majorHAnsi" w:hAnsiTheme="majorHAnsi" w:cstheme="majorHAnsi"/>
              </w:rPr>
            </w:pPr>
            <w:r w:rsidRPr="00485F85">
              <w:rPr>
                <w:rFonts w:asciiTheme="majorHAnsi" w:hAnsiTheme="majorHAnsi" w:cstheme="majorHAnsi"/>
              </w:rPr>
              <w:t>3.2.1 Número por Titulação</w:t>
            </w:r>
          </w:p>
        </w:tc>
        <w:tc>
          <w:tcPr>
            <w:tcW w:w="1454" w:type="dxa"/>
            <w:gridSpan w:val="3"/>
          </w:tcPr>
          <w:p w14:paraId="7EAA94DD"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Doutorado</w:t>
            </w:r>
          </w:p>
        </w:tc>
        <w:tc>
          <w:tcPr>
            <w:tcW w:w="1883" w:type="dxa"/>
            <w:gridSpan w:val="3"/>
          </w:tcPr>
          <w:p w14:paraId="711DEF5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Mestrado</w:t>
            </w:r>
          </w:p>
        </w:tc>
        <w:tc>
          <w:tcPr>
            <w:tcW w:w="1548" w:type="dxa"/>
            <w:gridSpan w:val="3"/>
          </w:tcPr>
          <w:p w14:paraId="247510EA"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Especialização</w:t>
            </w:r>
          </w:p>
        </w:tc>
        <w:tc>
          <w:tcPr>
            <w:tcW w:w="1238" w:type="dxa"/>
            <w:gridSpan w:val="3"/>
          </w:tcPr>
          <w:p w14:paraId="3A16AF29"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240" w:type="dxa"/>
            <w:gridSpan w:val="3"/>
          </w:tcPr>
          <w:p w14:paraId="134A7CAF" w14:textId="77777777" w:rsidR="001C5F76" w:rsidRPr="00485F85" w:rsidRDefault="001C5F76" w:rsidP="00A206D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Total</w:t>
            </w:r>
          </w:p>
        </w:tc>
      </w:tr>
      <w:tr w:rsidR="001C5F76" w:rsidRPr="00485F85" w14:paraId="07D25670" w14:textId="77777777" w:rsidTr="00A2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vMerge/>
          </w:tcPr>
          <w:p w14:paraId="64F28A34" w14:textId="77777777" w:rsidR="001C5F76" w:rsidRPr="00485F85" w:rsidRDefault="001C5F76" w:rsidP="00A206D5">
            <w:pPr>
              <w:spacing w:line="360" w:lineRule="auto"/>
              <w:jc w:val="both"/>
              <w:rPr>
                <w:rFonts w:asciiTheme="majorHAnsi" w:hAnsiTheme="majorHAnsi" w:cstheme="majorHAnsi"/>
              </w:rPr>
            </w:pPr>
          </w:p>
        </w:tc>
        <w:tc>
          <w:tcPr>
            <w:tcW w:w="1454" w:type="dxa"/>
            <w:gridSpan w:val="3"/>
          </w:tcPr>
          <w:p w14:paraId="47ACEB4B"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883" w:type="dxa"/>
            <w:gridSpan w:val="3"/>
          </w:tcPr>
          <w:p w14:paraId="4FCB867E"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548" w:type="dxa"/>
            <w:gridSpan w:val="3"/>
          </w:tcPr>
          <w:p w14:paraId="4DF37F57"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478" w:type="dxa"/>
            <w:gridSpan w:val="6"/>
          </w:tcPr>
          <w:p w14:paraId="11691835" w14:textId="77777777" w:rsidR="001C5F76" w:rsidRPr="00485F85" w:rsidRDefault="001C5F76" w:rsidP="00A206D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tbl>
      <w:tblPr>
        <w:tblW w:w="10349" w:type="dxa"/>
        <w:tblInd w:w="-289" w:type="dxa"/>
        <w:tblCellMar>
          <w:left w:w="70" w:type="dxa"/>
          <w:right w:w="70" w:type="dxa"/>
        </w:tblCellMar>
        <w:tblLook w:val="04A0" w:firstRow="1" w:lastRow="0" w:firstColumn="1" w:lastColumn="0" w:noHBand="0" w:noVBand="1"/>
      </w:tblPr>
      <w:tblGrid>
        <w:gridCol w:w="1277"/>
        <w:gridCol w:w="957"/>
        <w:gridCol w:w="1203"/>
        <w:gridCol w:w="1134"/>
        <w:gridCol w:w="992"/>
        <w:gridCol w:w="1134"/>
        <w:gridCol w:w="942"/>
        <w:gridCol w:w="925"/>
        <w:gridCol w:w="942"/>
        <w:gridCol w:w="925"/>
      </w:tblGrid>
      <w:tr w:rsidR="001C5F76" w:rsidRPr="00485F85" w14:paraId="5EC5BFC9" w14:textId="77777777" w:rsidTr="00BB72C8">
        <w:trPr>
          <w:trHeight w:val="900"/>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CE78"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val="en-US" w:eastAsia="pt-BR"/>
              </w:rPr>
            </w:pPr>
            <w:r w:rsidRPr="00485F85">
              <w:rPr>
                <w:rFonts w:asciiTheme="majorHAnsi" w:eastAsia="Times New Roman" w:hAnsiTheme="majorHAnsi" w:cstheme="majorHAnsi"/>
                <w:b/>
                <w:bCs/>
                <w:color w:val="000000"/>
                <w:sz w:val="16"/>
                <w:szCs w:val="16"/>
                <w:lang w:val="en-US" w:eastAsia="pt-BR"/>
              </w:rPr>
              <w:lastRenderedPageBreak/>
              <w:t xml:space="preserve">Managers, directors and senior officials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6FDFABE1"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eastAsia="pt-BR"/>
              </w:rPr>
            </w:pPr>
            <w:r w:rsidRPr="00485F85">
              <w:rPr>
                <w:rFonts w:asciiTheme="majorHAnsi" w:eastAsia="Times New Roman" w:hAnsiTheme="majorHAnsi" w:cstheme="majorHAnsi"/>
                <w:b/>
                <w:bCs/>
                <w:color w:val="000000"/>
                <w:sz w:val="16"/>
                <w:szCs w:val="16"/>
                <w:lang w:eastAsia="pt-BR"/>
              </w:rPr>
              <w:t xml:space="preserve">Professional occupations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72D1D238"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val="en-US" w:eastAsia="pt-BR"/>
              </w:rPr>
            </w:pPr>
            <w:r w:rsidRPr="00485F85">
              <w:rPr>
                <w:rFonts w:asciiTheme="majorHAnsi" w:eastAsia="Times New Roman" w:hAnsiTheme="majorHAnsi" w:cstheme="majorHAnsi"/>
                <w:b/>
                <w:bCs/>
                <w:color w:val="000000"/>
                <w:sz w:val="16"/>
                <w:szCs w:val="16"/>
                <w:lang w:val="en-US" w:eastAsia="pt-BR"/>
              </w:rPr>
              <w:t xml:space="preserve">Associate professional and technical occupations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7A955E"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eastAsia="pt-BR"/>
              </w:rPr>
            </w:pPr>
            <w:r w:rsidRPr="00485F85">
              <w:rPr>
                <w:rFonts w:asciiTheme="majorHAnsi" w:eastAsia="Times New Roman" w:hAnsiTheme="majorHAnsi" w:cstheme="majorHAnsi"/>
                <w:b/>
                <w:bCs/>
                <w:color w:val="000000"/>
                <w:sz w:val="16"/>
                <w:szCs w:val="16"/>
                <w:lang w:eastAsia="pt-BR"/>
              </w:rPr>
              <w:t>Administrative and secretarial occupations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C12E0F"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eastAsia="pt-BR"/>
              </w:rPr>
            </w:pPr>
            <w:r w:rsidRPr="00485F85">
              <w:rPr>
                <w:rFonts w:asciiTheme="majorHAnsi" w:eastAsia="Times New Roman" w:hAnsiTheme="majorHAnsi" w:cstheme="majorHAnsi"/>
                <w:b/>
                <w:bCs/>
                <w:color w:val="000000"/>
                <w:sz w:val="16"/>
                <w:szCs w:val="16"/>
                <w:lang w:eastAsia="pt-BR"/>
              </w:rPr>
              <w:t>Skilled trades occupations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10D97B"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val="en-US" w:eastAsia="pt-BR"/>
              </w:rPr>
            </w:pPr>
            <w:r w:rsidRPr="00485F85">
              <w:rPr>
                <w:rFonts w:asciiTheme="majorHAnsi" w:eastAsia="Times New Roman" w:hAnsiTheme="majorHAnsi" w:cstheme="majorHAnsi"/>
                <w:b/>
                <w:bCs/>
                <w:color w:val="000000"/>
                <w:sz w:val="16"/>
                <w:szCs w:val="16"/>
                <w:lang w:val="en-US" w:eastAsia="pt-BR"/>
              </w:rPr>
              <w:t>Caring, leisure and other service occupations</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067409F8"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val="en-US" w:eastAsia="pt-BR"/>
              </w:rPr>
            </w:pPr>
            <w:r w:rsidRPr="00485F85">
              <w:rPr>
                <w:rFonts w:asciiTheme="majorHAnsi" w:eastAsia="Times New Roman" w:hAnsiTheme="majorHAnsi" w:cstheme="majorHAnsi"/>
                <w:b/>
                <w:bCs/>
                <w:color w:val="000000"/>
                <w:sz w:val="16"/>
                <w:szCs w:val="16"/>
                <w:lang w:val="en-US" w:eastAsia="pt-BR"/>
              </w:rPr>
              <w:t>Sales and customer service occupations</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2CAF311B"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val="en-US" w:eastAsia="pt-BR"/>
              </w:rPr>
            </w:pPr>
            <w:r w:rsidRPr="00485F85">
              <w:rPr>
                <w:rFonts w:asciiTheme="majorHAnsi" w:eastAsia="Times New Roman" w:hAnsiTheme="majorHAnsi" w:cstheme="majorHAnsi"/>
                <w:b/>
                <w:bCs/>
                <w:color w:val="000000"/>
                <w:sz w:val="16"/>
                <w:szCs w:val="16"/>
                <w:lang w:val="en-US" w:eastAsia="pt-BR"/>
              </w:rPr>
              <w:t xml:space="preserve">Process, plant and machine operatives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7FBB39F"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eastAsia="pt-BR"/>
              </w:rPr>
            </w:pPr>
            <w:r w:rsidRPr="00485F85">
              <w:rPr>
                <w:rFonts w:asciiTheme="majorHAnsi" w:eastAsia="Times New Roman" w:hAnsiTheme="majorHAnsi" w:cstheme="majorHAnsi"/>
                <w:b/>
                <w:bCs/>
                <w:color w:val="000000"/>
                <w:sz w:val="16"/>
                <w:szCs w:val="16"/>
                <w:lang w:eastAsia="pt-BR"/>
              </w:rPr>
              <w:t>Elementary occupations</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E26BA4B" w14:textId="77777777" w:rsidR="001C5F76" w:rsidRPr="00485F85" w:rsidRDefault="001C5F76" w:rsidP="001C5F76">
            <w:pPr>
              <w:tabs>
                <w:tab w:val="clear" w:pos="1615"/>
              </w:tabs>
              <w:spacing w:after="0"/>
              <w:jc w:val="center"/>
              <w:rPr>
                <w:rFonts w:asciiTheme="majorHAnsi" w:eastAsia="Times New Roman" w:hAnsiTheme="majorHAnsi" w:cstheme="majorHAnsi"/>
                <w:b/>
                <w:bCs/>
                <w:color w:val="000000"/>
                <w:sz w:val="16"/>
                <w:szCs w:val="16"/>
                <w:lang w:eastAsia="pt-BR"/>
              </w:rPr>
            </w:pPr>
            <w:r w:rsidRPr="00485F85">
              <w:rPr>
                <w:rFonts w:asciiTheme="majorHAnsi" w:eastAsia="Times New Roman" w:hAnsiTheme="majorHAnsi" w:cstheme="majorHAnsi"/>
                <w:b/>
                <w:bCs/>
                <w:color w:val="000000"/>
                <w:sz w:val="16"/>
                <w:szCs w:val="16"/>
                <w:lang w:eastAsia="pt-BR"/>
              </w:rPr>
              <w:t>Total non-academic staff</w:t>
            </w:r>
          </w:p>
        </w:tc>
      </w:tr>
      <w:tr w:rsidR="001C5F76" w:rsidRPr="00485F85" w14:paraId="10F936D4" w14:textId="77777777" w:rsidTr="00BB72C8">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635B7BA0"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125</w:t>
            </w:r>
          </w:p>
        </w:tc>
        <w:tc>
          <w:tcPr>
            <w:tcW w:w="923" w:type="dxa"/>
            <w:tcBorders>
              <w:top w:val="nil"/>
              <w:left w:val="nil"/>
              <w:bottom w:val="single" w:sz="4" w:space="0" w:color="auto"/>
              <w:right w:val="single" w:sz="4" w:space="0" w:color="auto"/>
            </w:tcBorders>
            <w:shd w:val="clear" w:color="auto" w:fill="auto"/>
            <w:noWrap/>
            <w:vAlign w:val="center"/>
            <w:hideMark/>
          </w:tcPr>
          <w:p w14:paraId="47A2A1C2"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2.825</w:t>
            </w:r>
          </w:p>
        </w:tc>
        <w:tc>
          <w:tcPr>
            <w:tcW w:w="1203" w:type="dxa"/>
            <w:tcBorders>
              <w:top w:val="nil"/>
              <w:left w:val="nil"/>
              <w:bottom w:val="single" w:sz="4" w:space="0" w:color="auto"/>
              <w:right w:val="single" w:sz="4" w:space="0" w:color="auto"/>
            </w:tcBorders>
            <w:shd w:val="clear" w:color="auto" w:fill="auto"/>
            <w:noWrap/>
            <w:vAlign w:val="center"/>
            <w:hideMark/>
          </w:tcPr>
          <w:p w14:paraId="45247A40"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1.650</w:t>
            </w:r>
          </w:p>
        </w:tc>
        <w:tc>
          <w:tcPr>
            <w:tcW w:w="1134" w:type="dxa"/>
            <w:tcBorders>
              <w:top w:val="nil"/>
              <w:left w:val="nil"/>
              <w:bottom w:val="single" w:sz="4" w:space="0" w:color="auto"/>
              <w:right w:val="single" w:sz="4" w:space="0" w:color="auto"/>
            </w:tcBorders>
            <w:shd w:val="clear" w:color="auto" w:fill="auto"/>
            <w:noWrap/>
            <w:vAlign w:val="center"/>
            <w:hideMark/>
          </w:tcPr>
          <w:p w14:paraId="2372BCDF"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2.045</w:t>
            </w:r>
          </w:p>
        </w:tc>
        <w:tc>
          <w:tcPr>
            <w:tcW w:w="992" w:type="dxa"/>
            <w:tcBorders>
              <w:top w:val="nil"/>
              <w:left w:val="nil"/>
              <w:bottom w:val="single" w:sz="4" w:space="0" w:color="auto"/>
              <w:right w:val="single" w:sz="4" w:space="0" w:color="auto"/>
            </w:tcBorders>
            <w:shd w:val="clear" w:color="auto" w:fill="auto"/>
            <w:noWrap/>
            <w:vAlign w:val="center"/>
            <w:hideMark/>
          </w:tcPr>
          <w:p w14:paraId="03C485C4"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185</w:t>
            </w:r>
          </w:p>
        </w:tc>
        <w:tc>
          <w:tcPr>
            <w:tcW w:w="1134" w:type="dxa"/>
            <w:tcBorders>
              <w:top w:val="nil"/>
              <w:left w:val="nil"/>
              <w:bottom w:val="single" w:sz="4" w:space="0" w:color="auto"/>
              <w:right w:val="single" w:sz="4" w:space="0" w:color="auto"/>
            </w:tcBorders>
            <w:shd w:val="clear" w:color="auto" w:fill="auto"/>
            <w:noWrap/>
            <w:vAlign w:val="center"/>
            <w:hideMark/>
          </w:tcPr>
          <w:p w14:paraId="254C6002"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205</w:t>
            </w:r>
          </w:p>
        </w:tc>
        <w:tc>
          <w:tcPr>
            <w:tcW w:w="918" w:type="dxa"/>
            <w:tcBorders>
              <w:top w:val="nil"/>
              <w:left w:val="nil"/>
              <w:bottom w:val="single" w:sz="4" w:space="0" w:color="auto"/>
              <w:right w:val="single" w:sz="4" w:space="0" w:color="auto"/>
            </w:tcBorders>
            <w:shd w:val="clear" w:color="auto" w:fill="auto"/>
            <w:noWrap/>
            <w:vAlign w:val="center"/>
            <w:hideMark/>
          </w:tcPr>
          <w:p w14:paraId="7E0C0237"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35</w:t>
            </w:r>
          </w:p>
        </w:tc>
        <w:tc>
          <w:tcPr>
            <w:tcW w:w="925" w:type="dxa"/>
            <w:tcBorders>
              <w:top w:val="nil"/>
              <w:left w:val="nil"/>
              <w:bottom w:val="single" w:sz="4" w:space="0" w:color="auto"/>
              <w:right w:val="single" w:sz="4" w:space="0" w:color="auto"/>
            </w:tcBorders>
            <w:shd w:val="clear" w:color="auto" w:fill="auto"/>
            <w:noWrap/>
            <w:vAlign w:val="center"/>
            <w:hideMark/>
          </w:tcPr>
          <w:p w14:paraId="2DBE01DA"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20</w:t>
            </w:r>
          </w:p>
        </w:tc>
        <w:tc>
          <w:tcPr>
            <w:tcW w:w="918" w:type="dxa"/>
            <w:tcBorders>
              <w:top w:val="nil"/>
              <w:left w:val="nil"/>
              <w:bottom w:val="single" w:sz="4" w:space="0" w:color="auto"/>
              <w:right w:val="single" w:sz="4" w:space="0" w:color="auto"/>
            </w:tcBorders>
            <w:shd w:val="clear" w:color="auto" w:fill="auto"/>
            <w:noWrap/>
            <w:vAlign w:val="center"/>
            <w:hideMark/>
          </w:tcPr>
          <w:p w14:paraId="6D59C410"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300</w:t>
            </w:r>
          </w:p>
        </w:tc>
        <w:tc>
          <w:tcPr>
            <w:tcW w:w="925" w:type="dxa"/>
            <w:tcBorders>
              <w:top w:val="nil"/>
              <w:left w:val="nil"/>
              <w:bottom w:val="single" w:sz="4" w:space="0" w:color="auto"/>
              <w:right w:val="single" w:sz="4" w:space="0" w:color="auto"/>
            </w:tcBorders>
            <w:shd w:val="clear" w:color="auto" w:fill="auto"/>
            <w:noWrap/>
            <w:vAlign w:val="center"/>
            <w:hideMark/>
          </w:tcPr>
          <w:p w14:paraId="27C378AC" w14:textId="77777777" w:rsidR="001C5F76" w:rsidRPr="00485F85" w:rsidRDefault="001C5F76" w:rsidP="001C5F76">
            <w:pPr>
              <w:tabs>
                <w:tab w:val="clear" w:pos="1615"/>
              </w:tabs>
              <w:spacing w:after="0"/>
              <w:jc w:val="center"/>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7.390</w:t>
            </w:r>
          </w:p>
        </w:tc>
      </w:tr>
    </w:tbl>
    <w:p w14:paraId="1C6C1C8A" w14:textId="77777777" w:rsidR="00A206D5" w:rsidRPr="00485F85" w:rsidRDefault="00A206D5" w:rsidP="001C5F76">
      <w:pPr>
        <w:tabs>
          <w:tab w:val="clear" w:pos="1615"/>
          <w:tab w:val="left" w:pos="988"/>
          <w:tab w:val="left" w:pos="1945"/>
          <w:tab w:val="left" w:pos="3148"/>
          <w:tab w:val="left" w:pos="4282"/>
          <w:tab w:val="left" w:pos="5274"/>
          <w:tab w:val="left" w:pos="6408"/>
          <w:tab w:val="left" w:pos="7350"/>
          <w:tab w:val="left" w:pos="8275"/>
          <w:tab w:val="left" w:pos="9217"/>
        </w:tabs>
        <w:spacing w:after="0"/>
        <w:ind w:left="-289"/>
        <w:rPr>
          <w:rFonts w:asciiTheme="majorHAnsi" w:eastAsia="Times New Roman" w:hAnsiTheme="majorHAnsi" w:cstheme="majorHAnsi"/>
          <w:color w:val="000000"/>
          <w:sz w:val="16"/>
          <w:szCs w:val="16"/>
          <w:lang w:eastAsia="pt-BR"/>
        </w:rPr>
      </w:pP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r w:rsidRPr="00485F85">
        <w:rPr>
          <w:rFonts w:asciiTheme="majorHAnsi" w:eastAsia="Times New Roman" w:hAnsiTheme="majorHAnsi" w:cstheme="majorHAnsi"/>
          <w:color w:val="000000"/>
          <w:sz w:val="16"/>
          <w:szCs w:val="16"/>
          <w:lang w:eastAsia="pt-BR"/>
        </w:rPr>
        <w:tab/>
      </w:r>
    </w:p>
    <w:tbl>
      <w:tblPr>
        <w:tblStyle w:val="TabeladeLista6Colorida-nfase311"/>
        <w:tblW w:w="10349" w:type="dxa"/>
        <w:tblLayout w:type="fixed"/>
        <w:tblLook w:val="04A0" w:firstRow="1" w:lastRow="0" w:firstColumn="1" w:lastColumn="0" w:noHBand="0" w:noVBand="1"/>
      </w:tblPr>
      <w:tblGrid>
        <w:gridCol w:w="1986"/>
        <w:gridCol w:w="528"/>
        <w:gridCol w:w="889"/>
        <w:gridCol w:w="899"/>
        <w:gridCol w:w="235"/>
        <w:gridCol w:w="1327"/>
        <w:gridCol w:w="1007"/>
        <w:gridCol w:w="3478"/>
      </w:tblGrid>
      <w:tr w:rsidR="001C5F76" w:rsidRPr="00485F85" w14:paraId="4CDED3CA" w14:textId="77777777" w:rsidTr="009C0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43B91C6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Observações:</w:t>
            </w:r>
          </w:p>
        </w:tc>
        <w:tc>
          <w:tcPr>
            <w:tcW w:w="8363" w:type="dxa"/>
            <w:gridSpan w:val="7"/>
            <w:tcBorders>
              <w:top w:val="single" w:sz="4" w:space="0" w:color="auto"/>
              <w:left w:val="single" w:sz="4" w:space="0" w:color="auto"/>
              <w:bottom w:val="single" w:sz="4" w:space="0" w:color="auto"/>
              <w:right w:val="single" w:sz="4" w:space="0" w:color="auto"/>
            </w:tcBorders>
          </w:tcPr>
          <w:p w14:paraId="2F83C73B" w14:textId="77777777" w:rsidR="001C5F76" w:rsidRPr="00485F85" w:rsidRDefault="001C5F76" w:rsidP="009C02E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85F85">
              <w:rPr>
                <w:rFonts w:asciiTheme="majorHAnsi" w:hAnsiTheme="majorHAnsi" w:cstheme="majorHAnsi"/>
                <w:sz w:val="20"/>
                <w:szCs w:val="20"/>
              </w:rPr>
              <w:t>Os dados fornecidos pela HESA não consideram a formação acadêmica do corpo técnico administrativo. Eles apresentam o Staff a partir dos cargos ocupados na instituição.</w:t>
            </w:r>
          </w:p>
          <w:p w14:paraId="6D7EE92A" w14:textId="77777777" w:rsidR="001C5F76" w:rsidRPr="00485F85" w:rsidRDefault="001C5F76" w:rsidP="009C02E6">
            <w:pPr>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22222"/>
                <w:sz w:val="20"/>
                <w:szCs w:val="20"/>
                <w:lang w:eastAsia="pt-BR"/>
              </w:rPr>
            </w:pPr>
            <w:r w:rsidRPr="00485F85">
              <w:rPr>
                <w:rFonts w:asciiTheme="majorHAnsi" w:eastAsia="Times New Roman" w:hAnsiTheme="majorHAnsi" w:cstheme="majorHAnsi"/>
                <w:color w:val="222222"/>
                <w:sz w:val="20"/>
                <w:szCs w:val="20"/>
                <w:lang w:eastAsia="pt-BR"/>
              </w:rPr>
              <w:t>Tabela extraída com os dados da HESA. Dados do ano acadêmico 2019/2020</w:t>
            </w:r>
          </w:p>
          <w:p w14:paraId="38C3DC15" w14:textId="77777777" w:rsidR="001C5F76" w:rsidRPr="00485F85" w:rsidRDefault="001C5F76" w:rsidP="009C02E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9C02E6" w:rsidRPr="009C02E6" w14:paraId="2C5050A5"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shd w:val="clear" w:color="auto" w:fill="4875BD" w:themeFill="accent1"/>
          </w:tcPr>
          <w:p w14:paraId="1B6FD523" w14:textId="77777777" w:rsidR="001C5F76" w:rsidRPr="009C02E6" w:rsidRDefault="001C5F76" w:rsidP="009C02E6">
            <w:pPr>
              <w:spacing w:line="360" w:lineRule="auto"/>
              <w:jc w:val="both"/>
              <w:rPr>
                <w:rFonts w:asciiTheme="majorHAnsi" w:hAnsiTheme="majorHAnsi" w:cstheme="majorHAnsi"/>
                <w:color w:val="FFFFFF" w:themeColor="background1"/>
              </w:rPr>
            </w:pPr>
            <w:r w:rsidRPr="009C02E6">
              <w:rPr>
                <w:rFonts w:asciiTheme="majorHAnsi" w:hAnsiTheme="majorHAnsi" w:cstheme="majorHAnsi"/>
                <w:color w:val="FFFFFF" w:themeColor="background1"/>
              </w:rPr>
              <w:t>3.3. Gestores (Currículo das autoridades envolvidas na gestão da IES e do curso)</w:t>
            </w:r>
          </w:p>
        </w:tc>
      </w:tr>
      <w:tr w:rsidR="001C5F76" w:rsidRPr="00485F85" w14:paraId="788B43E6" w14:textId="77777777" w:rsidTr="009C02E6">
        <w:trPr>
          <w:trHeight w:val="816"/>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203294D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3.3.1 Reitoria e Pró-reitorias (Os cargos citados abaixo contribuem para o processo de gestão e ligação dos fluxos de informação entre os diversos setores da universidade e o Council </w:t>
            </w:r>
          </w:p>
        </w:tc>
        <w:tc>
          <w:tcPr>
            <w:tcW w:w="2316" w:type="dxa"/>
            <w:gridSpan w:val="3"/>
            <w:tcBorders>
              <w:top w:val="single" w:sz="4" w:space="0" w:color="auto"/>
              <w:left w:val="single" w:sz="4" w:space="0" w:color="auto"/>
              <w:bottom w:val="single" w:sz="4" w:space="0" w:color="auto"/>
              <w:right w:val="single" w:sz="4" w:space="0" w:color="auto"/>
            </w:tcBorders>
          </w:tcPr>
          <w:p w14:paraId="4F85FB10"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1FD7CA9"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4A4562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F8A128D"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EF672C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F9E280A"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Quantidade</w:t>
            </w:r>
          </w:p>
        </w:tc>
        <w:tc>
          <w:tcPr>
            <w:tcW w:w="2569" w:type="dxa"/>
            <w:gridSpan w:val="3"/>
            <w:tcBorders>
              <w:top w:val="single" w:sz="4" w:space="0" w:color="auto"/>
              <w:left w:val="single" w:sz="4" w:space="0" w:color="auto"/>
              <w:bottom w:val="single" w:sz="4" w:space="0" w:color="auto"/>
              <w:right w:val="single" w:sz="4" w:space="0" w:color="auto"/>
            </w:tcBorders>
          </w:tcPr>
          <w:p w14:paraId="3172E91E"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065E371"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FD31AB9"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0B51FA5"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F8BE146"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44DF639"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Formas de Indicação</w:t>
            </w:r>
          </w:p>
        </w:tc>
        <w:tc>
          <w:tcPr>
            <w:tcW w:w="3478" w:type="dxa"/>
            <w:tcBorders>
              <w:top w:val="single" w:sz="4" w:space="0" w:color="auto"/>
              <w:left w:val="single" w:sz="4" w:space="0" w:color="auto"/>
              <w:bottom w:val="single" w:sz="4" w:space="0" w:color="auto"/>
              <w:right w:val="single" w:sz="4" w:space="0" w:color="auto"/>
            </w:tcBorders>
          </w:tcPr>
          <w:p w14:paraId="4DEBC099"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84889E4"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1DEE7A4"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F694311"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43E9767"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043150D"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Formação (breve descrição do Currículo) (sobre o cargo)</w:t>
            </w:r>
          </w:p>
        </w:tc>
      </w:tr>
      <w:tr w:rsidR="001C5F76" w:rsidRPr="00485F85" w14:paraId="2B4B337D"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11B8C6E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Vice-Chancellor</w:t>
            </w:r>
          </w:p>
        </w:tc>
        <w:tc>
          <w:tcPr>
            <w:tcW w:w="2316" w:type="dxa"/>
            <w:gridSpan w:val="3"/>
            <w:tcBorders>
              <w:top w:val="single" w:sz="4" w:space="0" w:color="auto"/>
              <w:left w:val="single" w:sz="4" w:space="0" w:color="auto"/>
              <w:bottom w:val="single" w:sz="4" w:space="0" w:color="auto"/>
              <w:right w:val="single" w:sz="4" w:space="0" w:color="auto"/>
            </w:tcBorders>
          </w:tcPr>
          <w:p w14:paraId="78B2E7E0"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w:t>
            </w:r>
          </w:p>
        </w:tc>
        <w:tc>
          <w:tcPr>
            <w:tcW w:w="2569" w:type="dxa"/>
            <w:gridSpan w:val="3"/>
            <w:tcBorders>
              <w:top w:val="single" w:sz="4" w:space="0" w:color="auto"/>
              <w:left w:val="single" w:sz="4" w:space="0" w:color="auto"/>
              <w:bottom w:val="single" w:sz="4" w:space="0" w:color="auto"/>
              <w:right w:val="single" w:sz="4" w:space="0" w:color="auto"/>
            </w:tcBorders>
          </w:tcPr>
          <w:p w14:paraId="02766E6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São eleitos pela Congregation para cargos de cinco anos, podendo ser prorrogados por mais dois anos.</w:t>
            </w:r>
          </w:p>
        </w:tc>
        <w:tc>
          <w:tcPr>
            <w:tcW w:w="3478" w:type="dxa"/>
            <w:tcBorders>
              <w:top w:val="single" w:sz="4" w:space="0" w:color="auto"/>
              <w:left w:val="single" w:sz="4" w:space="0" w:color="auto"/>
              <w:bottom w:val="single" w:sz="4" w:space="0" w:color="auto"/>
              <w:right w:val="single" w:sz="4" w:space="0" w:color="auto"/>
            </w:tcBorders>
          </w:tcPr>
          <w:p w14:paraId="1476C40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É o principal oficial acadêmico e administrativo da Universidade. Fornece estratégias de direção e liderança para a universidade colegiada. Eles presidem o Council e outros órgãos principais da Universidade, e nomeiam “deputies “para presidir outros. Garantem que a governança, gestão e administração da universidade colegiada sejam eficientes e eficazes. Trabalham em estreita colaboração com o Council, a Congregation, as Divisões Acadêmicas e os Colleges.</w:t>
            </w:r>
          </w:p>
        </w:tc>
      </w:tr>
      <w:tr w:rsidR="001C5F76" w:rsidRPr="00485F85" w14:paraId="2CA4CE85" w14:textId="77777777" w:rsidTr="009C02E6">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7F02FEF3"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Registrar</w:t>
            </w:r>
          </w:p>
        </w:tc>
        <w:tc>
          <w:tcPr>
            <w:tcW w:w="2316" w:type="dxa"/>
            <w:gridSpan w:val="3"/>
            <w:tcBorders>
              <w:top w:val="single" w:sz="4" w:space="0" w:color="auto"/>
              <w:left w:val="single" w:sz="4" w:space="0" w:color="auto"/>
              <w:bottom w:val="single" w:sz="4" w:space="0" w:color="auto"/>
              <w:right w:val="single" w:sz="4" w:space="0" w:color="auto"/>
            </w:tcBorders>
          </w:tcPr>
          <w:p w14:paraId="30FBA77D"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w:t>
            </w:r>
          </w:p>
        </w:tc>
        <w:tc>
          <w:tcPr>
            <w:tcW w:w="2569" w:type="dxa"/>
            <w:gridSpan w:val="3"/>
            <w:tcBorders>
              <w:top w:val="single" w:sz="4" w:space="0" w:color="auto"/>
              <w:left w:val="single" w:sz="4" w:space="0" w:color="auto"/>
              <w:bottom w:val="single" w:sz="4" w:space="0" w:color="auto"/>
              <w:right w:val="single" w:sz="4" w:space="0" w:color="auto"/>
            </w:tcBorders>
          </w:tcPr>
          <w:p w14:paraId="41553FF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É nomeado pelo Council e é responsável pela administração do dia-a-dia da Universidade.</w:t>
            </w:r>
          </w:p>
        </w:tc>
        <w:tc>
          <w:tcPr>
            <w:tcW w:w="3478" w:type="dxa"/>
            <w:tcBorders>
              <w:top w:val="single" w:sz="4" w:space="0" w:color="auto"/>
              <w:left w:val="single" w:sz="4" w:space="0" w:color="auto"/>
              <w:bottom w:val="single" w:sz="4" w:space="0" w:color="auto"/>
              <w:right w:val="single" w:sz="4" w:space="0" w:color="auto"/>
            </w:tcBorders>
          </w:tcPr>
          <w:p w14:paraId="7E832970"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Eles lideram a implementação da política da Universidade e garantem que a organização cumpra os requisitos legislativos. Reportando-se ao Vice-Chancellor,</w:t>
            </w:r>
          </w:p>
          <w:p w14:paraId="08D9979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secretário chefia os departamentos administrativos centrais da Universidade. Os únicos departamentos que não se enquadram nas atribuições do Registrador são Desenvolvimento, Relações com Ex-alunos e Relações Públicas, que se reportam Pro-Vice-Chancellors (Desenvolvimento</w:t>
            </w:r>
          </w:p>
          <w:p w14:paraId="1E983C1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 Assuntos Externos).</w:t>
            </w:r>
          </w:p>
          <w:p w14:paraId="5147055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51721F8"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49939E1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Pro-Vice-Chancellors</w:t>
            </w:r>
          </w:p>
        </w:tc>
        <w:tc>
          <w:tcPr>
            <w:tcW w:w="2316" w:type="dxa"/>
            <w:gridSpan w:val="3"/>
            <w:tcBorders>
              <w:top w:val="single" w:sz="4" w:space="0" w:color="auto"/>
              <w:left w:val="single" w:sz="4" w:space="0" w:color="auto"/>
              <w:bottom w:val="single" w:sz="4" w:space="0" w:color="auto"/>
              <w:right w:val="single" w:sz="4" w:space="0" w:color="auto"/>
            </w:tcBorders>
          </w:tcPr>
          <w:p w14:paraId="3F245655"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5</w:t>
            </w:r>
          </w:p>
        </w:tc>
        <w:tc>
          <w:tcPr>
            <w:tcW w:w="2569" w:type="dxa"/>
            <w:gridSpan w:val="3"/>
            <w:tcBorders>
              <w:top w:val="single" w:sz="4" w:space="0" w:color="auto"/>
              <w:left w:val="single" w:sz="4" w:space="0" w:color="auto"/>
              <w:bottom w:val="single" w:sz="4" w:space="0" w:color="auto"/>
              <w:right w:val="single" w:sz="4" w:space="0" w:color="auto"/>
            </w:tcBorders>
          </w:tcPr>
          <w:p w14:paraId="7010D86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procedimentos para a nomeação de Pró-Vice- Chancellors serão estabelecidos por regulamento do Conselho.</w:t>
            </w:r>
          </w:p>
          <w:p w14:paraId="514A422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478" w:type="dxa"/>
            <w:tcBorders>
              <w:top w:val="single" w:sz="4" w:space="0" w:color="auto"/>
              <w:left w:val="single" w:sz="4" w:space="0" w:color="auto"/>
              <w:bottom w:val="single" w:sz="4" w:space="0" w:color="auto"/>
              <w:right w:val="single" w:sz="4" w:space="0" w:color="auto"/>
            </w:tcBorders>
          </w:tcPr>
          <w:p w14:paraId="28D9AE1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Pro-Vice-Chancellors assumem a responsabilidade de garantir a implementação bem-sucedida dos objetivos e estratégias do Plano Estratégico da Universidade. Chamado funcional</w:t>
            </w:r>
          </w:p>
          <w:p w14:paraId="41F75D0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Pro-Vice-Chancellors têm responsabilidades específicas nas seguintes áreas:</w:t>
            </w:r>
          </w:p>
          <w:p w14:paraId="49B7A3E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Há também vários Pro-Vice-Chancellors honorários sem pasta, que auxiliam o Vice-Chancellor em questões cerimoniais.</w:t>
            </w:r>
          </w:p>
        </w:tc>
      </w:tr>
      <w:tr w:rsidR="001C5F76" w:rsidRPr="00485F85" w14:paraId="069C56F8" w14:textId="77777777" w:rsidTr="009C02E6">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037EED28"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Proctors </w:t>
            </w:r>
          </w:p>
        </w:tc>
        <w:tc>
          <w:tcPr>
            <w:tcW w:w="2316" w:type="dxa"/>
            <w:gridSpan w:val="3"/>
            <w:tcBorders>
              <w:top w:val="single" w:sz="4" w:space="0" w:color="auto"/>
              <w:left w:val="single" w:sz="4" w:space="0" w:color="auto"/>
              <w:bottom w:val="single" w:sz="4" w:space="0" w:color="auto"/>
              <w:right w:val="single" w:sz="4" w:space="0" w:color="auto"/>
            </w:tcBorders>
          </w:tcPr>
          <w:p w14:paraId="375CC4A4"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w:t>
            </w:r>
          </w:p>
        </w:tc>
        <w:tc>
          <w:tcPr>
            <w:tcW w:w="2569" w:type="dxa"/>
            <w:gridSpan w:val="3"/>
            <w:tcBorders>
              <w:top w:val="single" w:sz="4" w:space="0" w:color="auto"/>
              <w:left w:val="single" w:sz="4" w:space="0" w:color="auto"/>
              <w:bottom w:val="single" w:sz="4" w:space="0" w:color="auto"/>
              <w:right w:val="single" w:sz="4" w:space="0" w:color="auto"/>
            </w:tcBorders>
          </w:tcPr>
          <w:p w14:paraId="7CF0886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Eleito por um período de um ano pelos Fellows (professores sêniores) de três Colleges diferentes. Os Colleges que nomeiam </w:t>
            </w:r>
            <w:r w:rsidRPr="00485F85">
              <w:rPr>
                <w:rFonts w:asciiTheme="majorHAnsi" w:hAnsiTheme="majorHAnsi" w:cstheme="majorHAnsi"/>
              </w:rPr>
              <w:lastRenderedPageBreak/>
              <w:t>os Proctors e Assessor mudam anualmente por rotação.</w:t>
            </w:r>
          </w:p>
          <w:p w14:paraId="32AD42B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478" w:type="dxa"/>
            <w:tcBorders>
              <w:top w:val="single" w:sz="4" w:space="0" w:color="auto"/>
              <w:left w:val="single" w:sz="4" w:space="0" w:color="auto"/>
              <w:bottom w:val="single" w:sz="4" w:space="0" w:color="auto"/>
              <w:right w:val="single" w:sz="4" w:space="0" w:color="auto"/>
            </w:tcBorders>
          </w:tcPr>
          <w:p w14:paraId="3BE6216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 xml:space="preserve">Os Proctors zelam pelo cumprimento dos estatutos, regulamentos, costumes e privilégios da Universidade. Além de serem membros de comitês de </w:t>
            </w:r>
            <w:r w:rsidRPr="00485F85">
              <w:rPr>
                <w:rFonts w:asciiTheme="majorHAnsi" w:hAnsiTheme="majorHAnsi" w:cstheme="majorHAnsi"/>
              </w:rPr>
              <w:lastRenderedPageBreak/>
              <w:t xml:space="preserve">tomada de decisão, eles lidam com a disciplina do aluno, reclamações sobre questões da Universidade e o funcionamento de exames universitários. </w:t>
            </w:r>
          </w:p>
        </w:tc>
      </w:tr>
      <w:tr w:rsidR="001C5F76" w:rsidRPr="00485F85" w14:paraId="198EA6E1"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36C126C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Assessor</w:t>
            </w:r>
          </w:p>
        </w:tc>
        <w:tc>
          <w:tcPr>
            <w:tcW w:w="2316" w:type="dxa"/>
            <w:gridSpan w:val="3"/>
            <w:tcBorders>
              <w:top w:val="single" w:sz="4" w:space="0" w:color="auto"/>
              <w:left w:val="single" w:sz="4" w:space="0" w:color="auto"/>
              <w:bottom w:val="single" w:sz="4" w:space="0" w:color="auto"/>
              <w:right w:val="single" w:sz="4" w:space="0" w:color="auto"/>
            </w:tcBorders>
          </w:tcPr>
          <w:p w14:paraId="2AFAAE50"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w:t>
            </w:r>
          </w:p>
        </w:tc>
        <w:tc>
          <w:tcPr>
            <w:tcW w:w="2569" w:type="dxa"/>
            <w:gridSpan w:val="3"/>
            <w:tcBorders>
              <w:top w:val="single" w:sz="4" w:space="0" w:color="auto"/>
              <w:left w:val="single" w:sz="4" w:space="0" w:color="auto"/>
              <w:bottom w:val="single" w:sz="4" w:space="0" w:color="auto"/>
              <w:right w:val="single" w:sz="4" w:space="0" w:color="auto"/>
            </w:tcBorders>
          </w:tcPr>
          <w:p w14:paraId="6DFE081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Eleito por um período de um ano pelos Fellows (professores sêniores) de três Colleges diferentes. Os Colleges que nomeiam os Proctors e Assessor mudam anualmente por rotação.</w:t>
            </w:r>
          </w:p>
          <w:p w14:paraId="4589D3D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478" w:type="dxa"/>
            <w:tcBorders>
              <w:top w:val="single" w:sz="4" w:space="0" w:color="auto"/>
              <w:left w:val="single" w:sz="4" w:space="0" w:color="auto"/>
              <w:bottom w:val="single" w:sz="4" w:space="0" w:color="auto"/>
              <w:right w:val="single" w:sz="4" w:space="0" w:color="auto"/>
            </w:tcBorders>
          </w:tcPr>
          <w:p w14:paraId="5391C06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Assessor tem responsabilidade especial pelo bem-estar e finanças do aluno.</w:t>
            </w:r>
          </w:p>
        </w:tc>
      </w:tr>
      <w:tr w:rsidR="001C5F76" w:rsidRPr="00485F85" w14:paraId="724AAA61" w14:textId="77777777" w:rsidTr="009C02E6">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10A4C47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3.3.2. Direção de Centros, Institutos ou Faculdades.</w:t>
            </w:r>
          </w:p>
        </w:tc>
        <w:tc>
          <w:tcPr>
            <w:tcW w:w="2316" w:type="dxa"/>
            <w:gridSpan w:val="3"/>
            <w:tcBorders>
              <w:top w:val="single" w:sz="4" w:space="0" w:color="auto"/>
              <w:left w:val="single" w:sz="4" w:space="0" w:color="auto"/>
              <w:bottom w:val="single" w:sz="4" w:space="0" w:color="auto"/>
              <w:right w:val="single" w:sz="4" w:space="0" w:color="auto"/>
            </w:tcBorders>
          </w:tcPr>
          <w:p w14:paraId="1C117142"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4329FA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0523D01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047" w:type="dxa"/>
            <w:gridSpan w:val="4"/>
            <w:tcBorders>
              <w:top w:val="single" w:sz="4" w:space="0" w:color="auto"/>
              <w:left w:val="single" w:sz="4" w:space="0" w:color="auto"/>
              <w:bottom w:val="single" w:sz="4" w:space="0" w:color="auto"/>
              <w:right w:val="single" w:sz="4" w:space="0" w:color="auto"/>
            </w:tcBorders>
          </w:tcPr>
          <w:p w14:paraId="49F2D6F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42D04E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Cada College, Departamento ou Instituto possui o seu próprio organograma como diretrizes básicas da Oxford Central.</w:t>
            </w:r>
          </w:p>
          <w:p w14:paraId="4E2165C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4ED8EA39"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single" w:sz="4" w:space="0" w:color="auto"/>
              <w:bottom w:val="single" w:sz="4" w:space="0" w:color="auto"/>
              <w:right w:val="single" w:sz="4" w:space="0" w:color="auto"/>
            </w:tcBorders>
          </w:tcPr>
          <w:p w14:paraId="35774DB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3.3.3 Coordenação de Curso</w:t>
            </w:r>
          </w:p>
        </w:tc>
        <w:tc>
          <w:tcPr>
            <w:tcW w:w="2316" w:type="dxa"/>
            <w:gridSpan w:val="3"/>
            <w:tcBorders>
              <w:top w:val="single" w:sz="4" w:space="0" w:color="auto"/>
              <w:left w:val="single" w:sz="4" w:space="0" w:color="auto"/>
              <w:bottom w:val="single" w:sz="4" w:space="0" w:color="auto"/>
              <w:right w:val="single" w:sz="4" w:space="0" w:color="auto"/>
            </w:tcBorders>
          </w:tcPr>
          <w:p w14:paraId="3CEC3BEB"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c>
          <w:tcPr>
            <w:tcW w:w="6047" w:type="dxa"/>
            <w:gridSpan w:val="4"/>
            <w:tcBorders>
              <w:top w:val="single" w:sz="4" w:space="0" w:color="auto"/>
              <w:left w:val="single" w:sz="4" w:space="0" w:color="auto"/>
              <w:bottom w:val="single" w:sz="4" w:space="0" w:color="auto"/>
              <w:right w:val="single" w:sz="4" w:space="0" w:color="auto"/>
            </w:tcBorders>
          </w:tcPr>
          <w:p w14:paraId="4DC37E3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Cada College, Departamento ou Instituto possui o seu próprio organograma como diretrizes básicas da Oxford Central.</w:t>
            </w:r>
          </w:p>
          <w:p w14:paraId="5FCCCCC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525B9D8" w14:textId="77777777" w:rsidTr="009C02E6">
        <w:trPr>
          <w:trHeight w:val="547"/>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tcPr>
          <w:p w14:paraId="729E772D" w14:textId="77777777" w:rsidR="001C5F76" w:rsidRPr="00485F85" w:rsidRDefault="001C5F76" w:rsidP="009C02E6">
            <w:pPr>
              <w:spacing w:line="360" w:lineRule="auto"/>
              <w:jc w:val="both"/>
              <w:rPr>
                <w:rFonts w:asciiTheme="majorHAnsi" w:hAnsiTheme="majorHAnsi" w:cstheme="majorHAnsi"/>
              </w:rPr>
            </w:pPr>
          </w:p>
          <w:p w14:paraId="444EFDD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Observações: Os cargos citados nessa tabela foram aqueles que mais apareceram em buscas no site de forma geral. A estrutura completa pode ser acessada no Estatuto da Instituição no link a seguir:</w:t>
            </w:r>
          </w:p>
          <w:p w14:paraId="256C4086" w14:textId="77777777" w:rsidR="001C5F76" w:rsidRPr="00485F85" w:rsidRDefault="00A515B3" w:rsidP="009C02E6">
            <w:pPr>
              <w:spacing w:line="360" w:lineRule="auto"/>
              <w:jc w:val="both"/>
              <w:rPr>
                <w:rFonts w:asciiTheme="majorHAnsi" w:hAnsiTheme="majorHAnsi" w:cstheme="majorHAnsi"/>
              </w:rPr>
            </w:pPr>
            <w:hyperlink r:id="rId142" w:anchor="collapse1382136" w:history="1">
              <w:r w:rsidR="001C5F76" w:rsidRPr="00485F85">
                <w:rPr>
                  <w:rFonts w:asciiTheme="majorHAnsi" w:hAnsiTheme="majorHAnsi" w:cstheme="majorHAnsi"/>
                  <w:color w:val="4875BD" w:themeColor="accent1"/>
                  <w:u w:val="single"/>
                </w:rPr>
                <w:t>https://governance.admin.ox.ac.uk/legislation/statute-ix-officers-of-the-university#collapse1382136</w:t>
              </w:r>
            </w:hyperlink>
            <w:r w:rsidR="001C5F76" w:rsidRPr="00485F85">
              <w:rPr>
                <w:rFonts w:asciiTheme="majorHAnsi" w:hAnsiTheme="majorHAnsi" w:cstheme="majorHAnsi"/>
              </w:rPr>
              <w:t xml:space="preserve"> </w:t>
            </w:r>
          </w:p>
          <w:p w14:paraId="44F42959" w14:textId="77777777" w:rsidR="001C5F76" w:rsidRPr="00485F85" w:rsidRDefault="001C5F76" w:rsidP="009C02E6">
            <w:pPr>
              <w:spacing w:line="360" w:lineRule="auto"/>
              <w:jc w:val="both"/>
              <w:rPr>
                <w:rFonts w:asciiTheme="majorHAnsi" w:hAnsiTheme="majorHAnsi" w:cstheme="majorHAnsi"/>
              </w:rPr>
            </w:pPr>
          </w:p>
          <w:p w14:paraId="65E31EE9"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6C2BBFD1"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tcPr>
          <w:p w14:paraId="23576E3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 Corpo Discente</w:t>
            </w:r>
          </w:p>
        </w:tc>
      </w:tr>
      <w:tr w:rsidR="001C5F76" w:rsidRPr="00485F85" w14:paraId="77390696"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vMerge w:val="restart"/>
            <w:tcBorders>
              <w:top w:val="single" w:sz="4" w:space="0" w:color="auto"/>
              <w:left w:val="single" w:sz="4" w:space="0" w:color="auto"/>
              <w:bottom w:val="single" w:sz="4" w:space="0" w:color="auto"/>
              <w:right w:val="single" w:sz="4" w:space="0" w:color="auto"/>
            </w:tcBorders>
          </w:tcPr>
          <w:p w14:paraId="656AA99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3.4.1 Número vagas</w:t>
            </w:r>
          </w:p>
        </w:tc>
        <w:tc>
          <w:tcPr>
            <w:tcW w:w="2023" w:type="dxa"/>
            <w:gridSpan w:val="3"/>
            <w:tcBorders>
              <w:top w:val="single" w:sz="4" w:space="0" w:color="auto"/>
              <w:left w:val="single" w:sz="4" w:space="0" w:color="auto"/>
              <w:bottom w:val="single" w:sz="4" w:space="0" w:color="auto"/>
              <w:right w:val="single" w:sz="4" w:space="0" w:color="auto"/>
            </w:tcBorders>
          </w:tcPr>
          <w:p w14:paraId="47F8D8A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334" w:type="dxa"/>
            <w:gridSpan w:val="2"/>
            <w:tcBorders>
              <w:top w:val="single" w:sz="4" w:space="0" w:color="auto"/>
              <w:left w:val="single" w:sz="4" w:space="0" w:color="auto"/>
              <w:bottom w:val="single" w:sz="4" w:space="0" w:color="auto"/>
              <w:right w:val="single" w:sz="4" w:space="0" w:color="auto"/>
            </w:tcBorders>
          </w:tcPr>
          <w:p w14:paraId="309C4D7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Pós-Graduação</w:t>
            </w:r>
          </w:p>
        </w:tc>
        <w:tc>
          <w:tcPr>
            <w:tcW w:w="3478" w:type="dxa"/>
            <w:vMerge w:val="restart"/>
            <w:tcBorders>
              <w:top w:val="single" w:sz="4" w:space="0" w:color="auto"/>
              <w:left w:val="single" w:sz="4" w:space="0" w:color="auto"/>
              <w:bottom w:val="single" w:sz="4" w:space="0" w:color="auto"/>
              <w:right w:val="single" w:sz="4" w:space="0" w:color="auto"/>
            </w:tcBorders>
          </w:tcPr>
          <w:p w14:paraId="7755B7E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2E7D370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4B4787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Dados da Graduação:</w:t>
            </w:r>
          </w:p>
          <w:p w14:paraId="6A7EF35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Maio de 2021</w:t>
            </w:r>
          </w:p>
          <w:p w14:paraId="2349C5E5" w14:textId="77777777" w:rsidR="001C5F76" w:rsidRPr="00485F85" w:rsidRDefault="00A515B3"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43" w:anchor="page=4" w:history="1">
              <w:r w:rsidR="001C5F76" w:rsidRPr="00485F85">
                <w:rPr>
                  <w:rFonts w:asciiTheme="majorHAnsi" w:hAnsiTheme="majorHAnsi" w:cstheme="majorHAnsi"/>
                  <w:color w:val="4875BD" w:themeColor="accent1"/>
                  <w:u w:val="single"/>
                </w:rPr>
                <w:t>https://www.ox.ac.uk/sites/files/oxford/AnnualAdmissionsStatisticalRep</w:t>
              </w:r>
              <w:r w:rsidR="001C5F76" w:rsidRPr="00485F85">
                <w:rPr>
                  <w:rFonts w:asciiTheme="majorHAnsi" w:hAnsiTheme="majorHAnsi" w:cstheme="majorHAnsi"/>
                  <w:color w:val="4875BD" w:themeColor="accent1"/>
                  <w:u w:val="single"/>
                </w:rPr>
                <w:lastRenderedPageBreak/>
                <w:t>ort2021.pdf#page=4</w:t>
              </w:r>
            </w:hyperlink>
            <w:r w:rsidR="001C5F76" w:rsidRPr="00485F85">
              <w:rPr>
                <w:rFonts w:asciiTheme="majorHAnsi" w:hAnsiTheme="majorHAnsi" w:cstheme="majorHAnsi"/>
              </w:rPr>
              <w:t xml:space="preserve"> </w:t>
            </w:r>
          </w:p>
          <w:p w14:paraId="603996A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C54F11D" w14:textId="77777777" w:rsidR="001C5F76" w:rsidRPr="00485F85" w:rsidRDefault="001C5F76" w:rsidP="009C02E6">
            <w:pPr>
              <w:numPr>
                <w:ilvl w:val="0"/>
                <w:numId w:val="23"/>
              </w:numPr>
              <w:tabs>
                <w:tab w:val="clear" w:pos="1615"/>
                <w:tab w:val="left" w:pos="262"/>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número de alunos admitidos em 2020 na graduação foi maior do que o normal após o excepcional arranjos para a atribuição de níveis A e outras qualificações durante a pandemia COVID-19.</w:t>
            </w:r>
          </w:p>
          <w:p w14:paraId="01B2AFB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O número geral de inscritos aumentou anualmente e em 22,2% desde 2016.</w:t>
            </w:r>
          </w:p>
          <w:p w14:paraId="3F0BD29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39A3C1A"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F00951A" w14:textId="77777777" w:rsidR="001C5F76" w:rsidRPr="00485F85" w:rsidRDefault="001C5F76" w:rsidP="009C02E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Dados da Pós graduação: </w:t>
            </w:r>
          </w:p>
          <w:p w14:paraId="2464D040" w14:textId="77777777" w:rsidR="001C5F76" w:rsidRPr="00485F85" w:rsidRDefault="001C5F76" w:rsidP="009C02E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:2019/2020</w:t>
            </w:r>
            <w:hyperlink r:id="rId144" w:history="1">
              <w:r w:rsidRPr="00485F85">
                <w:rPr>
                  <w:rFonts w:asciiTheme="majorHAnsi" w:hAnsiTheme="majorHAnsi" w:cstheme="majorHAnsi"/>
                  <w:color w:val="4875BD" w:themeColor="accent1"/>
                  <w:u w:val="single"/>
                </w:rPr>
                <w:t>https://www.ox.ac.uk/sites/files/oxford/Grad%20Admissions%20Statistics%20-%202019-20%20entry.pdf</w:t>
              </w:r>
            </w:hyperlink>
            <w:r w:rsidRPr="00485F85">
              <w:rPr>
                <w:rFonts w:asciiTheme="majorHAnsi" w:hAnsiTheme="majorHAnsi" w:cstheme="majorHAnsi"/>
              </w:rPr>
              <w:t xml:space="preserve"> </w:t>
            </w:r>
          </w:p>
          <w:p w14:paraId="4A95FDD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C71F33" w14:paraId="29F4DBDB" w14:textId="77777777" w:rsidTr="009C02E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14" w:type="dxa"/>
            <w:gridSpan w:val="2"/>
            <w:vMerge/>
            <w:tcBorders>
              <w:top w:val="single" w:sz="4" w:space="0" w:color="auto"/>
              <w:left w:val="single" w:sz="4" w:space="0" w:color="auto"/>
              <w:bottom w:val="single" w:sz="4" w:space="0" w:color="auto"/>
              <w:right w:val="single" w:sz="4" w:space="0" w:color="auto"/>
            </w:tcBorders>
          </w:tcPr>
          <w:p w14:paraId="61BE99A2" w14:textId="77777777" w:rsidR="001C5F76" w:rsidRPr="00485F85" w:rsidRDefault="001C5F76" w:rsidP="009C02E6">
            <w:pPr>
              <w:spacing w:line="360" w:lineRule="auto"/>
              <w:jc w:val="both"/>
              <w:rPr>
                <w:rFonts w:asciiTheme="majorHAnsi" w:hAnsiTheme="majorHAnsi" w:cstheme="majorHAnsi"/>
              </w:rPr>
            </w:pPr>
          </w:p>
        </w:tc>
        <w:tc>
          <w:tcPr>
            <w:tcW w:w="2023" w:type="dxa"/>
            <w:gridSpan w:val="3"/>
            <w:tcBorders>
              <w:top w:val="single" w:sz="4" w:space="0" w:color="auto"/>
              <w:left w:val="single" w:sz="4" w:space="0" w:color="auto"/>
              <w:bottom w:val="single" w:sz="4" w:space="0" w:color="auto"/>
              <w:right w:val="single" w:sz="4" w:space="0" w:color="auto"/>
            </w:tcBorders>
          </w:tcPr>
          <w:p w14:paraId="6818C07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89D065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CURSOS EM GERAL:</w:t>
            </w:r>
          </w:p>
          <w:p w14:paraId="5B09721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3.932</w:t>
            </w:r>
          </w:p>
        </w:tc>
        <w:tc>
          <w:tcPr>
            <w:tcW w:w="2334" w:type="dxa"/>
            <w:gridSpan w:val="2"/>
            <w:tcBorders>
              <w:top w:val="single" w:sz="4" w:space="0" w:color="auto"/>
              <w:left w:val="single" w:sz="4" w:space="0" w:color="auto"/>
              <w:bottom w:val="single" w:sz="4" w:space="0" w:color="auto"/>
              <w:right w:val="single" w:sz="4" w:space="0" w:color="auto"/>
            </w:tcBorders>
          </w:tcPr>
          <w:p w14:paraId="146B2D4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Continuing Education</w:t>
            </w:r>
          </w:p>
          <w:p w14:paraId="6EB4005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711</w:t>
            </w:r>
          </w:p>
          <w:p w14:paraId="0A7DC86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167DACE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Humanities </w:t>
            </w:r>
          </w:p>
          <w:p w14:paraId="6E5FB89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1.603</w:t>
            </w:r>
          </w:p>
          <w:p w14:paraId="6939776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5CA6C90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Mathematical, Physical and Life Sciences </w:t>
            </w:r>
          </w:p>
          <w:p w14:paraId="057B72E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1.571</w:t>
            </w:r>
          </w:p>
          <w:p w14:paraId="6BF4D65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2ACEFB0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Medical Sciences </w:t>
            </w:r>
          </w:p>
          <w:p w14:paraId="6181237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805</w:t>
            </w:r>
          </w:p>
          <w:p w14:paraId="323A89F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0ACB744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Social Sciences </w:t>
            </w:r>
          </w:p>
          <w:p w14:paraId="3A381CA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4.523</w:t>
            </w:r>
          </w:p>
          <w:p w14:paraId="15AF5B1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lang w:val="en-US"/>
              </w:rPr>
            </w:pPr>
            <w:r w:rsidRPr="00485F85">
              <w:rPr>
                <w:rFonts w:asciiTheme="majorHAnsi" w:hAnsiTheme="majorHAnsi" w:cstheme="majorHAnsi"/>
                <w:b/>
                <w:bCs/>
                <w:lang w:val="en-US"/>
              </w:rPr>
              <w:t xml:space="preserve">TOTAL:9.213 </w:t>
            </w:r>
          </w:p>
        </w:tc>
        <w:tc>
          <w:tcPr>
            <w:tcW w:w="3478" w:type="dxa"/>
            <w:vMerge/>
            <w:tcBorders>
              <w:top w:val="single" w:sz="4" w:space="0" w:color="auto"/>
              <w:left w:val="single" w:sz="4" w:space="0" w:color="auto"/>
              <w:bottom w:val="single" w:sz="4" w:space="0" w:color="auto"/>
              <w:right w:val="single" w:sz="4" w:space="0" w:color="auto"/>
            </w:tcBorders>
          </w:tcPr>
          <w:p w14:paraId="0345DB2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r>
      <w:tr w:rsidR="001C5F76" w:rsidRPr="00485F85" w14:paraId="09E5848A"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vMerge w:val="restart"/>
            <w:tcBorders>
              <w:top w:val="single" w:sz="4" w:space="0" w:color="auto"/>
              <w:left w:val="single" w:sz="4" w:space="0" w:color="auto"/>
              <w:bottom w:val="single" w:sz="4" w:space="0" w:color="auto"/>
              <w:right w:val="single" w:sz="4" w:space="0" w:color="auto"/>
            </w:tcBorders>
          </w:tcPr>
          <w:p w14:paraId="31A329FE"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3.4.2 Candidatos Inscritos</w:t>
            </w:r>
          </w:p>
        </w:tc>
        <w:tc>
          <w:tcPr>
            <w:tcW w:w="2023" w:type="dxa"/>
            <w:gridSpan w:val="3"/>
            <w:tcBorders>
              <w:top w:val="single" w:sz="4" w:space="0" w:color="auto"/>
              <w:left w:val="single" w:sz="4" w:space="0" w:color="auto"/>
              <w:bottom w:val="single" w:sz="4" w:space="0" w:color="auto"/>
              <w:right w:val="single" w:sz="4" w:space="0" w:color="auto"/>
            </w:tcBorders>
          </w:tcPr>
          <w:p w14:paraId="5B8EC00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334" w:type="dxa"/>
            <w:gridSpan w:val="2"/>
            <w:tcBorders>
              <w:top w:val="single" w:sz="4" w:space="0" w:color="auto"/>
              <w:left w:val="single" w:sz="4" w:space="0" w:color="auto"/>
              <w:bottom w:val="single" w:sz="4" w:space="0" w:color="auto"/>
              <w:right w:val="single" w:sz="4" w:space="0" w:color="auto"/>
            </w:tcBorders>
          </w:tcPr>
          <w:p w14:paraId="0E6A973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Pós-Graduação</w:t>
            </w:r>
          </w:p>
        </w:tc>
        <w:tc>
          <w:tcPr>
            <w:tcW w:w="3478" w:type="dxa"/>
            <w:vMerge w:val="restart"/>
            <w:tcBorders>
              <w:top w:val="single" w:sz="4" w:space="0" w:color="auto"/>
              <w:left w:val="single" w:sz="4" w:space="0" w:color="auto"/>
              <w:bottom w:val="single" w:sz="4" w:space="0" w:color="auto"/>
              <w:right w:val="single" w:sz="4" w:space="0" w:color="auto"/>
            </w:tcBorders>
          </w:tcPr>
          <w:p w14:paraId="2A376F9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2BC1F66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B16F73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Dados da Graduação:</w:t>
            </w:r>
          </w:p>
          <w:p w14:paraId="4B1676A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Maio de 2021</w:t>
            </w:r>
          </w:p>
          <w:p w14:paraId="37D2F308" w14:textId="77777777" w:rsidR="001C5F76" w:rsidRPr="00485F85" w:rsidRDefault="00A515B3"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45" w:anchor="page=4" w:history="1">
              <w:r w:rsidR="001C5F76" w:rsidRPr="00485F85">
                <w:rPr>
                  <w:rFonts w:asciiTheme="majorHAnsi" w:hAnsiTheme="majorHAnsi" w:cstheme="majorHAnsi"/>
                  <w:color w:val="4875BD" w:themeColor="accent1"/>
                  <w:u w:val="single"/>
                </w:rPr>
                <w:t>https://www.ox.ac.uk/sites/files/oxford/AnnualAdmissionsStatisticalReport2021.pdf#page=4</w:t>
              </w:r>
            </w:hyperlink>
            <w:r w:rsidR="001C5F76" w:rsidRPr="00485F85">
              <w:rPr>
                <w:rFonts w:asciiTheme="majorHAnsi" w:hAnsiTheme="majorHAnsi" w:cstheme="majorHAnsi"/>
              </w:rPr>
              <w:t xml:space="preserve"> </w:t>
            </w:r>
          </w:p>
          <w:p w14:paraId="32C2583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4C0104C" w14:textId="77777777" w:rsidR="001C5F76" w:rsidRPr="00485F85" w:rsidRDefault="001C5F76" w:rsidP="009C02E6">
            <w:pPr>
              <w:numPr>
                <w:ilvl w:val="0"/>
                <w:numId w:val="23"/>
              </w:numPr>
              <w:tabs>
                <w:tab w:val="clear" w:pos="1615"/>
                <w:tab w:val="left" w:pos="262"/>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número de alunos admitidos em 2020 na graduação foi maior do que </w:t>
            </w:r>
            <w:r w:rsidRPr="00485F85">
              <w:rPr>
                <w:rFonts w:asciiTheme="majorHAnsi" w:hAnsiTheme="majorHAnsi" w:cstheme="majorHAnsi"/>
              </w:rPr>
              <w:lastRenderedPageBreak/>
              <w:t>o normal após o excepcional arranjos para a atribuição de níveis A e outras qualificações durante a pandemia COVID-19.</w:t>
            </w:r>
          </w:p>
          <w:p w14:paraId="373E224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O número geral de inscritos aumentou anualmente e em 22,2% desde 2016.</w:t>
            </w:r>
          </w:p>
          <w:p w14:paraId="65B5E27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DBF00C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38D6F36" w14:textId="77777777" w:rsidR="001C5F76" w:rsidRPr="00485F85" w:rsidRDefault="001C5F76" w:rsidP="009C02E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Dados da Pós graduação: </w:t>
            </w:r>
          </w:p>
          <w:p w14:paraId="13F06F2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:2019/2020</w:t>
            </w:r>
            <w:hyperlink r:id="rId146" w:history="1">
              <w:r w:rsidRPr="00485F85">
                <w:rPr>
                  <w:rFonts w:asciiTheme="majorHAnsi" w:hAnsiTheme="majorHAnsi" w:cstheme="majorHAnsi"/>
                  <w:color w:val="4875BD" w:themeColor="accent1"/>
                  <w:u w:val="single"/>
                </w:rPr>
                <w:t>https://www.ox.ac.uk/sites/files/oxford/Grad%20Admissions%20Statistics%20-%202019-20%20entry.pdf</w:t>
              </w:r>
            </w:hyperlink>
          </w:p>
        </w:tc>
      </w:tr>
      <w:tr w:rsidR="001C5F76" w:rsidRPr="00C71F33" w14:paraId="7701308F" w14:textId="77777777" w:rsidTr="009C02E6">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14" w:type="dxa"/>
            <w:gridSpan w:val="2"/>
            <w:vMerge/>
            <w:tcBorders>
              <w:top w:val="single" w:sz="4" w:space="0" w:color="auto"/>
              <w:left w:val="single" w:sz="4" w:space="0" w:color="auto"/>
              <w:bottom w:val="single" w:sz="4" w:space="0" w:color="auto"/>
              <w:right w:val="single" w:sz="4" w:space="0" w:color="auto"/>
            </w:tcBorders>
          </w:tcPr>
          <w:p w14:paraId="451A5349" w14:textId="77777777" w:rsidR="001C5F76" w:rsidRPr="00485F85" w:rsidRDefault="001C5F76" w:rsidP="009C02E6">
            <w:pPr>
              <w:spacing w:line="360" w:lineRule="auto"/>
              <w:jc w:val="both"/>
              <w:rPr>
                <w:rFonts w:asciiTheme="majorHAnsi" w:hAnsiTheme="majorHAnsi" w:cstheme="majorHAnsi"/>
              </w:rPr>
            </w:pPr>
          </w:p>
        </w:tc>
        <w:tc>
          <w:tcPr>
            <w:tcW w:w="2023" w:type="dxa"/>
            <w:gridSpan w:val="3"/>
            <w:tcBorders>
              <w:top w:val="single" w:sz="4" w:space="0" w:color="auto"/>
              <w:left w:val="single" w:sz="4" w:space="0" w:color="auto"/>
              <w:bottom w:val="single" w:sz="4" w:space="0" w:color="auto"/>
              <w:right w:val="single" w:sz="4" w:space="0" w:color="auto"/>
            </w:tcBorders>
          </w:tcPr>
          <w:p w14:paraId="1DF9F75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9931DC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E9115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CURSOS EM GERAL:</w:t>
            </w:r>
          </w:p>
          <w:p w14:paraId="774BE29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23,414</w:t>
            </w:r>
          </w:p>
        </w:tc>
        <w:tc>
          <w:tcPr>
            <w:tcW w:w="2334" w:type="dxa"/>
            <w:gridSpan w:val="2"/>
            <w:tcBorders>
              <w:top w:val="single" w:sz="4" w:space="0" w:color="auto"/>
              <w:left w:val="single" w:sz="4" w:space="0" w:color="auto"/>
              <w:bottom w:val="single" w:sz="4" w:space="0" w:color="auto"/>
              <w:right w:val="single" w:sz="4" w:space="0" w:color="auto"/>
            </w:tcBorders>
          </w:tcPr>
          <w:p w14:paraId="3541AC5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Continuing Education 1.550 </w:t>
            </w:r>
          </w:p>
          <w:p w14:paraId="337CDFC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58A1467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Humanities </w:t>
            </w:r>
            <w:r w:rsidRPr="00485F85">
              <w:rPr>
                <w:rFonts w:asciiTheme="majorHAnsi" w:hAnsiTheme="majorHAnsi" w:cstheme="majorHAnsi"/>
                <w:lang w:val="en-US"/>
              </w:rPr>
              <w:tab/>
              <w:t xml:space="preserve"> 4.361 </w:t>
            </w:r>
          </w:p>
          <w:p w14:paraId="3E18D1B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59314F5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Mathematical, Physical and Life Sciences </w:t>
            </w:r>
            <w:r w:rsidRPr="00485F85">
              <w:rPr>
                <w:rFonts w:asciiTheme="majorHAnsi" w:hAnsiTheme="majorHAnsi" w:cstheme="majorHAnsi"/>
                <w:lang w:val="en-US"/>
              </w:rPr>
              <w:tab/>
              <w:t xml:space="preserve"> 6.693 </w:t>
            </w:r>
          </w:p>
          <w:p w14:paraId="53BC8C0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0353B0F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lastRenderedPageBreak/>
              <w:t xml:space="preserve">Medical Sciences </w:t>
            </w:r>
            <w:r w:rsidRPr="00485F85">
              <w:rPr>
                <w:rFonts w:asciiTheme="majorHAnsi" w:hAnsiTheme="majorHAnsi" w:cstheme="majorHAnsi"/>
                <w:lang w:val="en-US"/>
              </w:rPr>
              <w:tab/>
              <w:t xml:space="preserve"> 3.662 </w:t>
            </w:r>
          </w:p>
          <w:p w14:paraId="3CB8F32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1E562AC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Social Sciences </w:t>
            </w:r>
            <w:r w:rsidRPr="00485F85">
              <w:rPr>
                <w:rFonts w:asciiTheme="majorHAnsi" w:hAnsiTheme="majorHAnsi" w:cstheme="majorHAnsi"/>
                <w:lang w:val="en-US"/>
              </w:rPr>
              <w:tab/>
              <w:t xml:space="preserve"> 14.595</w:t>
            </w:r>
          </w:p>
          <w:p w14:paraId="6AB47A9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lang w:val="en-US"/>
              </w:rPr>
            </w:pPr>
            <w:r w:rsidRPr="00485F85">
              <w:rPr>
                <w:rFonts w:asciiTheme="majorHAnsi" w:hAnsiTheme="majorHAnsi" w:cstheme="majorHAnsi"/>
                <w:b/>
                <w:bCs/>
                <w:lang w:val="en-US"/>
              </w:rPr>
              <w:t>TOTAL: 30.861</w:t>
            </w:r>
          </w:p>
        </w:tc>
        <w:tc>
          <w:tcPr>
            <w:tcW w:w="3478" w:type="dxa"/>
            <w:vMerge/>
            <w:tcBorders>
              <w:top w:val="single" w:sz="4" w:space="0" w:color="auto"/>
              <w:left w:val="single" w:sz="4" w:space="0" w:color="auto"/>
              <w:bottom w:val="single" w:sz="4" w:space="0" w:color="auto"/>
              <w:right w:val="single" w:sz="4" w:space="0" w:color="auto"/>
            </w:tcBorders>
          </w:tcPr>
          <w:p w14:paraId="28D10D8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r>
      <w:tr w:rsidR="001C5F76" w:rsidRPr="00485F85" w14:paraId="6B4B0B37"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vMerge w:val="restart"/>
            <w:tcBorders>
              <w:top w:val="single" w:sz="4" w:space="0" w:color="auto"/>
              <w:left w:val="single" w:sz="4" w:space="0" w:color="auto"/>
              <w:bottom w:val="single" w:sz="4" w:space="0" w:color="auto"/>
              <w:right w:val="single" w:sz="4" w:space="0" w:color="auto"/>
            </w:tcBorders>
          </w:tcPr>
          <w:p w14:paraId="03B0DE7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3.4.3 Ingressantes</w:t>
            </w:r>
          </w:p>
        </w:tc>
        <w:tc>
          <w:tcPr>
            <w:tcW w:w="2023" w:type="dxa"/>
            <w:gridSpan w:val="3"/>
            <w:tcBorders>
              <w:top w:val="single" w:sz="4" w:space="0" w:color="auto"/>
              <w:left w:val="single" w:sz="4" w:space="0" w:color="auto"/>
              <w:bottom w:val="single" w:sz="4" w:space="0" w:color="auto"/>
              <w:right w:val="single" w:sz="4" w:space="0" w:color="auto"/>
            </w:tcBorders>
          </w:tcPr>
          <w:p w14:paraId="3352CF6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334" w:type="dxa"/>
            <w:gridSpan w:val="2"/>
            <w:tcBorders>
              <w:top w:val="single" w:sz="4" w:space="0" w:color="auto"/>
              <w:left w:val="single" w:sz="4" w:space="0" w:color="auto"/>
              <w:bottom w:val="single" w:sz="4" w:space="0" w:color="auto"/>
              <w:right w:val="single" w:sz="4" w:space="0" w:color="auto"/>
            </w:tcBorders>
          </w:tcPr>
          <w:p w14:paraId="0AEB4BE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Pós-Graduação</w:t>
            </w:r>
          </w:p>
        </w:tc>
        <w:tc>
          <w:tcPr>
            <w:tcW w:w="3478" w:type="dxa"/>
            <w:tcBorders>
              <w:top w:val="single" w:sz="4" w:space="0" w:color="auto"/>
              <w:left w:val="single" w:sz="4" w:space="0" w:color="auto"/>
              <w:bottom w:val="single" w:sz="4" w:space="0" w:color="auto"/>
              <w:right w:val="single" w:sz="4" w:space="0" w:color="auto"/>
            </w:tcBorders>
          </w:tcPr>
          <w:p w14:paraId="7FCCB50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485F85" w14:paraId="3817A100" w14:textId="77777777" w:rsidTr="009C02E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14" w:type="dxa"/>
            <w:gridSpan w:val="2"/>
            <w:vMerge/>
            <w:tcBorders>
              <w:top w:val="single" w:sz="4" w:space="0" w:color="auto"/>
              <w:left w:val="single" w:sz="4" w:space="0" w:color="auto"/>
              <w:bottom w:val="single" w:sz="4" w:space="0" w:color="auto"/>
              <w:right w:val="single" w:sz="4" w:space="0" w:color="auto"/>
            </w:tcBorders>
          </w:tcPr>
          <w:p w14:paraId="38FA261B" w14:textId="77777777" w:rsidR="001C5F76" w:rsidRPr="00485F85" w:rsidRDefault="001C5F76" w:rsidP="009C02E6">
            <w:pPr>
              <w:spacing w:line="360" w:lineRule="auto"/>
              <w:jc w:val="both"/>
              <w:rPr>
                <w:rFonts w:asciiTheme="majorHAnsi" w:hAnsiTheme="majorHAnsi" w:cstheme="majorHAnsi"/>
              </w:rPr>
            </w:pPr>
          </w:p>
        </w:tc>
        <w:tc>
          <w:tcPr>
            <w:tcW w:w="2023" w:type="dxa"/>
            <w:gridSpan w:val="3"/>
            <w:tcBorders>
              <w:top w:val="single" w:sz="4" w:space="0" w:color="auto"/>
              <w:left w:val="single" w:sz="4" w:space="0" w:color="auto"/>
              <w:bottom w:val="single" w:sz="4" w:space="0" w:color="auto"/>
              <w:right w:val="single" w:sz="4" w:space="0" w:color="auto"/>
            </w:tcBorders>
          </w:tcPr>
          <w:p w14:paraId="6F94ADA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5D6C35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B10111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CURSOS EM GERAL:</w:t>
            </w:r>
          </w:p>
          <w:p w14:paraId="026D1D5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3.695</w:t>
            </w:r>
          </w:p>
        </w:tc>
        <w:tc>
          <w:tcPr>
            <w:tcW w:w="2334" w:type="dxa"/>
            <w:gridSpan w:val="2"/>
            <w:tcBorders>
              <w:top w:val="single" w:sz="4" w:space="0" w:color="auto"/>
              <w:left w:val="single" w:sz="4" w:space="0" w:color="auto"/>
              <w:bottom w:val="single" w:sz="4" w:space="0" w:color="auto"/>
              <w:right w:val="single" w:sz="4" w:space="0" w:color="auto"/>
            </w:tcBorders>
          </w:tcPr>
          <w:p w14:paraId="2F0C497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Continuing Education 574</w:t>
            </w:r>
          </w:p>
          <w:p w14:paraId="056BE59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17532CD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Humanities </w:t>
            </w:r>
          </w:p>
          <w:p w14:paraId="6CEC184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824</w:t>
            </w:r>
          </w:p>
          <w:p w14:paraId="386C7CB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34FA3EC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Mathematical, Physical and Life Sciences </w:t>
            </w:r>
          </w:p>
          <w:p w14:paraId="7F47CD4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990</w:t>
            </w:r>
          </w:p>
          <w:p w14:paraId="009C283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01BEA73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Medical Sciences </w:t>
            </w:r>
          </w:p>
          <w:p w14:paraId="0A217A1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570</w:t>
            </w:r>
          </w:p>
          <w:p w14:paraId="4154AD0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687F0F1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Social Sciences </w:t>
            </w:r>
          </w:p>
          <w:p w14:paraId="6D7246B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2.757</w:t>
            </w:r>
          </w:p>
          <w:p w14:paraId="540F82C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lang w:val="en-US"/>
              </w:rPr>
            </w:pPr>
            <w:r w:rsidRPr="00485F85">
              <w:rPr>
                <w:rFonts w:asciiTheme="majorHAnsi" w:hAnsiTheme="majorHAnsi" w:cstheme="majorHAnsi"/>
                <w:b/>
                <w:bCs/>
                <w:lang w:val="en-US"/>
              </w:rPr>
              <w:t>TOTAL: 5.715</w:t>
            </w:r>
          </w:p>
          <w:p w14:paraId="7219751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c>
          <w:tcPr>
            <w:tcW w:w="3478" w:type="dxa"/>
            <w:tcBorders>
              <w:top w:val="single" w:sz="4" w:space="0" w:color="auto"/>
              <w:left w:val="single" w:sz="4" w:space="0" w:color="auto"/>
              <w:bottom w:val="single" w:sz="4" w:space="0" w:color="auto"/>
              <w:right w:val="single" w:sz="4" w:space="0" w:color="auto"/>
            </w:tcBorders>
          </w:tcPr>
          <w:p w14:paraId="55AE014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p w14:paraId="0F738F1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Dados da Graduação:</w:t>
            </w:r>
          </w:p>
          <w:p w14:paraId="5F45CCE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Maio de 2021</w:t>
            </w:r>
          </w:p>
          <w:p w14:paraId="13D1DE49" w14:textId="77777777" w:rsidR="001C5F76" w:rsidRPr="00485F85" w:rsidRDefault="00A515B3"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47" w:anchor="page=4" w:history="1">
              <w:r w:rsidR="001C5F76" w:rsidRPr="00485F85">
                <w:rPr>
                  <w:rFonts w:asciiTheme="majorHAnsi" w:hAnsiTheme="majorHAnsi" w:cstheme="majorHAnsi"/>
                  <w:color w:val="4875BD" w:themeColor="accent1"/>
                  <w:u w:val="single"/>
                </w:rPr>
                <w:t>https://www.ox.ac.uk/sites/files/oxford/AnnualAdmissionsStatisticalReport2021.pdf#page=4</w:t>
              </w:r>
            </w:hyperlink>
            <w:r w:rsidR="001C5F76" w:rsidRPr="00485F85">
              <w:rPr>
                <w:rFonts w:asciiTheme="majorHAnsi" w:hAnsiTheme="majorHAnsi" w:cstheme="majorHAnsi"/>
              </w:rPr>
              <w:t xml:space="preserve"> </w:t>
            </w:r>
          </w:p>
          <w:p w14:paraId="7549445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6D0F703" w14:textId="77777777" w:rsidR="001C5F76" w:rsidRPr="00485F85" w:rsidRDefault="001C5F76" w:rsidP="009C02E6">
            <w:pPr>
              <w:numPr>
                <w:ilvl w:val="0"/>
                <w:numId w:val="23"/>
              </w:numPr>
              <w:tabs>
                <w:tab w:val="clear" w:pos="1615"/>
                <w:tab w:val="left" w:pos="262"/>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número de alunos admitidos em 2020 na graduação foi maior do que o normal após o excepcional arranjos para a atribuição de níveis A e outras qualificações durante a pandemia COVID-19.</w:t>
            </w:r>
          </w:p>
          <w:p w14:paraId="69A0E35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 O número geral de inscritos aumentou anualmente e em 22,2% desde 2016.</w:t>
            </w:r>
          </w:p>
          <w:p w14:paraId="5C3F463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276A21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C35704D" w14:textId="77777777" w:rsidR="001C5F76" w:rsidRPr="00485F85" w:rsidRDefault="001C5F76" w:rsidP="009C02E6">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 xml:space="preserve">Dados da Pós graduação: </w:t>
            </w:r>
          </w:p>
          <w:p w14:paraId="4921FDE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referência: :2019/2020</w:t>
            </w:r>
            <w:hyperlink r:id="rId148" w:history="1">
              <w:r w:rsidRPr="00485F85">
                <w:rPr>
                  <w:rFonts w:asciiTheme="majorHAnsi" w:hAnsiTheme="majorHAnsi" w:cstheme="majorHAnsi"/>
                  <w:color w:val="4875BD" w:themeColor="accent1"/>
                  <w:u w:val="single"/>
                </w:rPr>
                <w:t>https://www.ox.ac.uk/sites/files/oxford/Grad%20Admissions%20Statistics%20-%202019-20%20entry.pdf</w:t>
              </w:r>
            </w:hyperlink>
          </w:p>
        </w:tc>
      </w:tr>
      <w:tr w:rsidR="001C5F76" w:rsidRPr="00485F85" w14:paraId="6890507E" w14:textId="77777777" w:rsidTr="009C02E6">
        <w:trPr>
          <w:trHeight w:val="312"/>
        </w:trPr>
        <w:tc>
          <w:tcPr>
            <w:cnfStyle w:val="001000000000" w:firstRow="0" w:lastRow="0" w:firstColumn="1" w:lastColumn="0" w:oddVBand="0" w:evenVBand="0" w:oddHBand="0" w:evenHBand="0" w:firstRowFirstColumn="0" w:firstRowLastColumn="0" w:lastRowFirstColumn="0" w:lastRowLastColumn="0"/>
            <w:tcW w:w="2514" w:type="dxa"/>
            <w:gridSpan w:val="2"/>
            <w:vMerge w:val="restart"/>
            <w:tcBorders>
              <w:top w:val="single" w:sz="4" w:space="0" w:color="auto"/>
              <w:left w:val="single" w:sz="4" w:space="0" w:color="auto"/>
              <w:bottom w:val="single" w:sz="4" w:space="0" w:color="auto"/>
              <w:right w:val="single" w:sz="4" w:space="0" w:color="auto"/>
            </w:tcBorders>
          </w:tcPr>
          <w:p w14:paraId="7D885B68"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3.4.4 Formas de Seleção</w:t>
            </w:r>
          </w:p>
        </w:tc>
        <w:tc>
          <w:tcPr>
            <w:tcW w:w="2023" w:type="dxa"/>
            <w:gridSpan w:val="3"/>
            <w:tcBorders>
              <w:top w:val="single" w:sz="4" w:space="0" w:color="auto"/>
              <w:left w:val="single" w:sz="4" w:space="0" w:color="auto"/>
              <w:bottom w:val="single" w:sz="4" w:space="0" w:color="auto"/>
              <w:right w:val="single" w:sz="4" w:space="0" w:color="auto"/>
            </w:tcBorders>
          </w:tcPr>
          <w:p w14:paraId="73279FE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Graduação</w:t>
            </w:r>
          </w:p>
        </w:tc>
        <w:tc>
          <w:tcPr>
            <w:tcW w:w="2334" w:type="dxa"/>
            <w:gridSpan w:val="2"/>
            <w:tcBorders>
              <w:top w:val="single" w:sz="4" w:space="0" w:color="auto"/>
              <w:left w:val="single" w:sz="4" w:space="0" w:color="auto"/>
              <w:bottom w:val="single" w:sz="4" w:space="0" w:color="auto"/>
              <w:right w:val="single" w:sz="4" w:space="0" w:color="auto"/>
            </w:tcBorders>
          </w:tcPr>
          <w:p w14:paraId="522DB21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red"/>
              </w:rPr>
            </w:pPr>
            <w:r w:rsidRPr="00485F85">
              <w:rPr>
                <w:rFonts w:asciiTheme="majorHAnsi" w:hAnsiTheme="majorHAnsi" w:cstheme="majorHAnsi"/>
              </w:rPr>
              <w:t>Pós-Graduação</w:t>
            </w:r>
          </w:p>
        </w:tc>
        <w:tc>
          <w:tcPr>
            <w:tcW w:w="3478" w:type="dxa"/>
            <w:tcBorders>
              <w:top w:val="single" w:sz="4" w:space="0" w:color="auto"/>
              <w:left w:val="single" w:sz="4" w:space="0" w:color="auto"/>
              <w:bottom w:val="single" w:sz="4" w:space="0" w:color="auto"/>
              <w:right w:val="single" w:sz="4" w:space="0" w:color="auto"/>
            </w:tcBorders>
          </w:tcPr>
          <w:p w14:paraId="3E15E21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tc>
      </w:tr>
      <w:tr w:rsidR="001C5F76" w:rsidRPr="00485F85" w14:paraId="7AF7DC40" w14:textId="77777777" w:rsidTr="009C02E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14" w:type="dxa"/>
            <w:gridSpan w:val="2"/>
            <w:vMerge/>
            <w:tcBorders>
              <w:top w:val="single" w:sz="4" w:space="0" w:color="auto"/>
              <w:left w:val="single" w:sz="4" w:space="0" w:color="auto"/>
              <w:bottom w:val="single" w:sz="4" w:space="0" w:color="auto"/>
              <w:right w:val="single" w:sz="4" w:space="0" w:color="auto"/>
            </w:tcBorders>
          </w:tcPr>
          <w:p w14:paraId="036CE970" w14:textId="77777777" w:rsidR="001C5F76" w:rsidRPr="00485F85" w:rsidRDefault="001C5F76" w:rsidP="009C02E6">
            <w:pPr>
              <w:spacing w:line="360" w:lineRule="auto"/>
              <w:jc w:val="both"/>
              <w:rPr>
                <w:rFonts w:asciiTheme="majorHAnsi" w:hAnsiTheme="majorHAnsi" w:cstheme="majorHAnsi"/>
              </w:rPr>
            </w:pPr>
          </w:p>
        </w:tc>
        <w:tc>
          <w:tcPr>
            <w:tcW w:w="2023" w:type="dxa"/>
            <w:gridSpan w:val="3"/>
            <w:tcBorders>
              <w:top w:val="single" w:sz="4" w:space="0" w:color="auto"/>
              <w:left w:val="single" w:sz="4" w:space="0" w:color="auto"/>
              <w:bottom w:val="single" w:sz="4" w:space="0" w:color="auto"/>
              <w:right w:val="single" w:sz="4" w:space="0" w:color="auto"/>
            </w:tcBorders>
          </w:tcPr>
          <w:p w14:paraId="0444243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Os candidatos se inscrevem em Oxford pelo UCAS. O prazo de Oxford é 15 de outubro.</w:t>
            </w:r>
          </w:p>
          <w:p w14:paraId="452EF4A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Como parte de sua inscrição, os alunos podem especificar uma faculdade, mas quase um quinto dos candidatos deixam a opção  "em aberto". As inscrições “em aberto” são alocadas automaticamente para uma faculdade com um menor número de</w:t>
            </w:r>
          </w:p>
          <w:p w14:paraId="356B8E5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candidatos ao </w:t>
            </w:r>
            <w:r w:rsidRPr="00485F85">
              <w:rPr>
                <w:rFonts w:asciiTheme="majorHAnsi" w:hAnsiTheme="majorHAnsi" w:cstheme="majorHAnsi"/>
              </w:rPr>
              <w:lastRenderedPageBreak/>
              <w:t>curso, garantindo que os candidatos sejam distribuídos da forma mais equitativa possível.</w:t>
            </w:r>
          </w:p>
          <w:p w14:paraId="7A4189B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Normalmente, Oxford visa entrevistar três candidatos para cada lugar. A lista de seleção para entrevista é feita para um</w:t>
            </w:r>
          </w:p>
          <w:p w14:paraId="3F4DC61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conjunto de critérios acordado centralmente para cada curso e leva em consideração todas as informações do UCAS</w:t>
            </w:r>
          </w:p>
          <w:p w14:paraId="25B6380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forma, incluindo quaisquer fatores que possam fornecer contexto para notas anteriores ou previstas.</w:t>
            </w:r>
          </w:p>
          <w:p w14:paraId="5A912BA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Durante a pré-seleção, muitos cursos realocam candidatos de uma faculdade para outra. Isso garante </w:t>
            </w:r>
            <w:r w:rsidRPr="00485F85">
              <w:rPr>
                <w:rFonts w:asciiTheme="majorHAnsi" w:hAnsiTheme="majorHAnsi" w:cstheme="majorHAnsi"/>
              </w:rPr>
              <w:lastRenderedPageBreak/>
              <w:t>que o</w:t>
            </w:r>
          </w:p>
          <w:p w14:paraId="0E458DB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melhores candidatos em toda a universidade são selecionados para entrevista por uma faculdade de Oxford, mesmo que não seja a faculdade</w:t>
            </w:r>
          </w:p>
          <w:p w14:paraId="1D59DD8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 que se aplicaram originalmente.</w:t>
            </w:r>
          </w:p>
          <w:p w14:paraId="1B9535A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Os candidatos selecionados são entrevistados no início de dezembro pela faculdade a que se inscreveram, ou aquele</w:t>
            </w:r>
          </w:p>
          <w:p w14:paraId="4639045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para o qual foram realocados. Alguns cursos, por exemplo Medicina, consideram apenas preferências universitárias</w:t>
            </w:r>
          </w:p>
          <w:p w14:paraId="1467626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assim que os candidatos pré-selecionados forem escolhidos.</w:t>
            </w:r>
          </w:p>
          <w:p w14:paraId="5D37E8F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O desempenho da entrevista dos candidatos adiciona as informações já </w:t>
            </w:r>
            <w:r w:rsidRPr="00485F85">
              <w:rPr>
                <w:rFonts w:asciiTheme="majorHAnsi" w:hAnsiTheme="majorHAnsi" w:cstheme="majorHAnsi"/>
              </w:rPr>
              <w:lastRenderedPageBreak/>
              <w:t>coletadas, e as decisões são então</w:t>
            </w:r>
          </w:p>
          <w:p w14:paraId="44F1C8E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feita sobre quem deve receber uma oferta. Novamente, isso é discutido no nível do curso para garantir o melhor</w:t>
            </w:r>
          </w:p>
          <w:p w14:paraId="0AB589C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candidatos são selecionados. Como resultado de aplicativos abertos e realocações, cerca de um terço das</w:t>
            </w:r>
          </w:p>
          <w:p w14:paraId="7173902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candidatos recebem uma oferta de uma faculdade que não selecionaram inicialmente.</w:t>
            </w:r>
          </w:p>
          <w:p w14:paraId="796E017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As ofertas vão para os candidatos em janeiro. O número de ofertas excede o número de vagas disponíveis, para</w:t>
            </w:r>
          </w:p>
          <w:p w14:paraId="0C3BB94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permitir candidatos que recusem sua oferta, desistam ou não cumpram as condições da oferta.</w:t>
            </w:r>
          </w:p>
          <w:p w14:paraId="6A40B54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A competição por </w:t>
            </w:r>
            <w:r w:rsidRPr="00485F85">
              <w:rPr>
                <w:rFonts w:asciiTheme="majorHAnsi" w:hAnsiTheme="majorHAnsi" w:cstheme="majorHAnsi"/>
              </w:rPr>
              <w:lastRenderedPageBreak/>
              <w:t>vagas é alta para todos os cursos de graduação de Oxford, mas alguns cursos têm muitos mais</w:t>
            </w:r>
          </w:p>
          <w:p w14:paraId="4F77841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candidatos por vaga disponível do que outros. Esta é uma das razões pelas quais as taxas de oferta e admissão variam visivelmente</w:t>
            </w:r>
          </w:p>
          <w:p w14:paraId="371346A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entre os cursos.</w:t>
            </w:r>
          </w:p>
          <w:p w14:paraId="7989C4B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As taxas de sucesso também são influenciadas pelo número fixo de alunos de graduação admitidos anualmente por cada</w:t>
            </w:r>
          </w:p>
          <w:p w14:paraId="354C70B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faculdade, e pelos cursos oferecidos em qualquer faculdade. Como algumas faculdades recebem muito mais direto aplicativos do que outros, o processo de realocação descrito acima é </w:t>
            </w:r>
            <w:r w:rsidRPr="00485F85">
              <w:rPr>
                <w:rFonts w:asciiTheme="majorHAnsi" w:hAnsiTheme="majorHAnsi" w:cstheme="majorHAnsi"/>
              </w:rPr>
              <w:lastRenderedPageBreak/>
              <w:t>usado para mover candidatos entre faculdades e garantir portunidades justas, independentemente de onde os candidatos se candidataram originalmente.</w:t>
            </w:r>
          </w:p>
          <w:p w14:paraId="508D7E1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2B0F1F" w14:textId="77777777" w:rsidR="001C5F76" w:rsidRPr="00485F85" w:rsidRDefault="00A515B3"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49" w:history="1">
              <w:r w:rsidR="001C5F76" w:rsidRPr="00485F85">
                <w:rPr>
                  <w:rFonts w:asciiTheme="majorHAnsi" w:hAnsiTheme="majorHAnsi" w:cstheme="majorHAnsi"/>
                  <w:color w:val="4875BD" w:themeColor="accent1"/>
                  <w:u w:val="single"/>
                </w:rPr>
                <w:t>https://academic.admin.ox.ac.uk/undergraduate-admissions</w:t>
              </w:r>
            </w:hyperlink>
            <w:r w:rsidR="001C5F76" w:rsidRPr="00485F85">
              <w:rPr>
                <w:rFonts w:asciiTheme="majorHAnsi" w:hAnsiTheme="majorHAnsi" w:cstheme="majorHAnsi"/>
              </w:rPr>
              <w:t xml:space="preserve"> </w:t>
            </w:r>
          </w:p>
        </w:tc>
        <w:tc>
          <w:tcPr>
            <w:tcW w:w="2334" w:type="dxa"/>
            <w:gridSpan w:val="2"/>
            <w:tcBorders>
              <w:top w:val="single" w:sz="4" w:space="0" w:color="auto"/>
              <w:left w:val="single" w:sz="4" w:space="0" w:color="auto"/>
              <w:bottom w:val="single" w:sz="4" w:space="0" w:color="auto"/>
              <w:right w:val="single" w:sz="4" w:space="0" w:color="auto"/>
            </w:tcBorders>
          </w:tcPr>
          <w:p w14:paraId="11EFFF24"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Para se inscrever para a Pós-Graduação o candidato precisa primeiramente escolher o seu curso.</w:t>
            </w:r>
          </w:p>
          <w:p w14:paraId="3F1BCA9D"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Cada curso apresenta os requisitos mínimos e é preciso analisar se o candidato possuiu as qualificações desejadas.</w:t>
            </w:r>
          </w:p>
          <w:p w14:paraId="2838CE44"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próximo passo é pedir a sua </w:t>
            </w:r>
            <w:r w:rsidRPr="00485F85">
              <w:rPr>
                <w:rFonts w:asciiTheme="majorHAnsi" w:hAnsiTheme="majorHAnsi" w:cstheme="majorHAnsi"/>
              </w:rPr>
              <w:lastRenderedPageBreak/>
              <w:t xml:space="preserve">universidade de origem umam transcrição de um registro detalhado de toda a sua educação de nível universitário até o presente, incluindo os cursos realizados e as notas obtidas.  </w:t>
            </w:r>
          </w:p>
          <w:p w14:paraId="264DC964"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Para ser considerado oficial, seu histórico escolar deve vir da instituição onde você estudou. Sua instituição pode precisar de vários meses para produzir seu histórico escolar, portanto, você deve verificar os preparativos </w:t>
            </w:r>
            <w:r w:rsidRPr="00485F85">
              <w:rPr>
                <w:rFonts w:asciiTheme="majorHAnsi" w:hAnsiTheme="majorHAnsi" w:cstheme="majorHAnsi"/>
              </w:rPr>
              <w:lastRenderedPageBreak/>
              <w:t>para sua instituição assim que decidir se inscrever. (https://www.ox.ac.uk/admissions/graduate/applying-to-oxford/application-guide/supporting-documents#content-tab--2)</w:t>
            </w:r>
          </w:p>
          <w:p w14:paraId="1133CE22"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candidato também precisará que professores (referees) façam indicações acadêmicas ou profissionais do candidato. Para isso é preciso cadastrar o "referees" no site da universidade de Oxford. (https://www.</w:t>
            </w:r>
            <w:r w:rsidRPr="00485F85">
              <w:rPr>
                <w:rFonts w:asciiTheme="majorHAnsi" w:hAnsiTheme="majorHAnsi" w:cstheme="majorHAnsi"/>
              </w:rPr>
              <w:lastRenderedPageBreak/>
              <w:t>ox.ac.uk/admissions/graduate/applying-to-oxford/application-guide/references)</w:t>
            </w:r>
          </w:p>
          <w:p w14:paraId="0B77A8CD"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Como o processo pode ser demorado, a universidade alerta que o candidato verifique os prazos com bastante antecedência.</w:t>
            </w:r>
          </w:p>
          <w:p w14:paraId="089367AA"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 páginas dos cursos também informam os requisitos do idoma que pode ser "standard" ou "superior. É necessário que o candidato verifique a necessidade de realizar um teste de idioma (http://www.graduate.ox.ac.u</w:t>
            </w:r>
            <w:r w:rsidRPr="00485F85">
              <w:rPr>
                <w:rFonts w:asciiTheme="majorHAnsi" w:hAnsiTheme="majorHAnsi" w:cstheme="majorHAnsi"/>
              </w:rPr>
              <w:lastRenderedPageBreak/>
              <w:t>k/englishproficiency)</w:t>
            </w:r>
          </w:p>
          <w:p w14:paraId="19FC9829"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Agora o candidato deve pensar se quer escolher um College em específico ou deixar a oportunidade aberta.</w:t>
            </w:r>
          </w:p>
          <w:p w14:paraId="0A66279A"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É importante que o candidato leia o guia de aplicação, o mesmo usado para a gradução em termos de documentos necessários (https://www.ox.ac.uk/admissions/graduate/applying-to-oxford/application-guide)</w:t>
            </w:r>
          </w:p>
          <w:p w14:paraId="0C09F619" w14:textId="77777777" w:rsidR="001C5F76" w:rsidRPr="00485F85" w:rsidRDefault="001C5F76" w:rsidP="009C02E6">
            <w:pPr>
              <w:numPr>
                <w:ilvl w:val="0"/>
                <w:numId w:val="23"/>
              </w:numPr>
              <w:tabs>
                <w:tab w:val="clear" w:pos="1615"/>
                <w:tab w:val="left" w:pos="338"/>
              </w:tabs>
              <w:spacing w:line="360" w:lineRule="auto"/>
              <w:ind w:firstLine="55"/>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Finalmente é pedido o pagamento de taxas ou a opção de </w:t>
            </w:r>
            <w:r w:rsidRPr="00485F85">
              <w:rPr>
                <w:rFonts w:asciiTheme="majorHAnsi" w:hAnsiTheme="majorHAnsi" w:cstheme="majorHAnsi"/>
              </w:rPr>
              <w:lastRenderedPageBreak/>
              <w:t>bolsas de estudos e financiamento.</w:t>
            </w:r>
          </w:p>
          <w:p w14:paraId="7532C491" w14:textId="77777777" w:rsidR="001C5F76" w:rsidRPr="00485F85" w:rsidRDefault="001C5F76" w:rsidP="009C02E6">
            <w:pPr>
              <w:tabs>
                <w:tab w:val="clear" w:pos="1615"/>
                <w:tab w:val="left" w:pos="338"/>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7ABE450" w14:textId="77777777" w:rsidR="001C5F76" w:rsidRPr="00485F85" w:rsidRDefault="00A515B3" w:rsidP="009C02E6">
            <w:pPr>
              <w:tabs>
                <w:tab w:val="clear" w:pos="1615"/>
                <w:tab w:val="left" w:pos="338"/>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50" w:history="1">
              <w:r w:rsidR="001C5F76" w:rsidRPr="00485F85">
                <w:rPr>
                  <w:rFonts w:asciiTheme="majorHAnsi" w:hAnsiTheme="majorHAnsi" w:cstheme="majorHAnsi"/>
                  <w:color w:val="4875BD" w:themeColor="accent1"/>
                  <w:u w:val="single"/>
                </w:rPr>
                <w:t>https://academic.admin.ox.ac.uk/admissions/graduate</w:t>
              </w:r>
            </w:hyperlink>
            <w:r w:rsidR="001C5F76" w:rsidRPr="00485F85">
              <w:rPr>
                <w:rFonts w:asciiTheme="majorHAnsi" w:hAnsiTheme="majorHAnsi" w:cstheme="majorHAnsi"/>
              </w:rPr>
              <w:t xml:space="preserve"> </w:t>
            </w:r>
          </w:p>
        </w:tc>
        <w:tc>
          <w:tcPr>
            <w:tcW w:w="3478" w:type="dxa"/>
            <w:tcBorders>
              <w:top w:val="single" w:sz="4" w:space="0" w:color="auto"/>
              <w:left w:val="single" w:sz="4" w:space="0" w:color="auto"/>
              <w:bottom w:val="single" w:sz="4" w:space="0" w:color="auto"/>
              <w:right w:val="single" w:sz="4" w:space="0" w:color="auto"/>
            </w:tcBorders>
          </w:tcPr>
          <w:p w14:paraId="5862B1C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 xml:space="preserve">O processo de admissão de graduação é coordenado pela Universidade, mas os Colleges são responsáveis ​​por selecionar e admitir seus alunos de graduação. </w:t>
            </w:r>
          </w:p>
          <w:p w14:paraId="5D4BA5B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 universidade admite alunos de pós-graduação, mas uma vez que uma vaga é oferecida pela universidade, os alunos de pós-graduação também são selecionados por um Colleges.</w:t>
            </w:r>
          </w:p>
          <w:p w14:paraId="3A20553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570DCC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Documentos importantes sobre admissão na graduação:</w:t>
            </w:r>
          </w:p>
          <w:p w14:paraId="55D22C3C" w14:textId="77777777" w:rsidR="001C5F76" w:rsidRPr="00485F85" w:rsidRDefault="00A515B3"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51" w:history="1">
              <w:r w:rsidR="001C5F76" w:rsidRPr="00485F85">
                <w:rPr>
                  <w:rFonts w:asciiTheme="majorHAnsi" w:hAnsiTheme="majorHAnsi" w:cstheme="majorHAnsi"/>
                  <w:color w:val="4875BD" w:themeColor="accent1"/>
                  <w:u w:val="single"/>
                </w:rPr>
                <w:t>https://www.ox.ac.uk/admissions/undergraduate/applying-to-oxford/publications</w:t>
              </w:r>
            </w:hyperlink>
            <w:r w:rsidR="001C5F76" w:rsidRPr="00485F85">
              <w:rPr>
                <w:rFonts w:asciiTheme="majorHAnsi" w:hAnsiTheme="majorHAnsi" w:cstheme="majorHAnsi"/>
              </w:rPr>
              <w:t xml:space="preserve"> </w:t>
            </w:r>
          </w:p>
        </w:tc>
      </w:tr>
      <w:tr w:rsidR="001C5F76" w:rsidRPr="00485F85" w14:paraId="68FF9CF8" w14:textId="77777777" w:rsidTr="009C02E6">
        <w:trPr>
          <w:trHeight w:val="540"/>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tcPr>
          <w:p w14:paraId="11C97704"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lastRenderedPageBreak/>
              <w:t>3.4.5. Tempo de permanência dos alunos no curso Não se aplica</w:t>
            </w:r>
          </w:p>
          <w:p w14:paraId="78E7A05A" w14:textId="77777777" w:rsidR="001C5F76" w:rsidRPr="00485F85" w:rsidRDefault="001C5F76" w:rsidP="009C02E6">
            <w:pPr>
              <w:spacing w:line="360" w:lineRule="auto"/>
              <w:jc w:val="both"/>
              <w:rPr>
                <w:rFonts w:asciiTheme="majorHAnsi" w:hAnsiTheme="majorHAnsi" w:cstheme="majorHAnsi"/>
                <w:b w:val="0"/>
                <w:bCs w:val="0"/>
              </w:rPr>
            </w:pPr>
          </w:p>
        </w:tc>
      </w:tr>
      <w:tr w:rsidR="001C5F76" w:rsidRPr="00485F85" w14:paraId="4436799A" w14:textId="77777777" w:rsidTr="009C02E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14" w:type="dxa"/>
            <w:gridSpan w:val="2"/>
            <w:vMerge w:val="restart"/>
            <w:tcBorders>
              <w:top w:val="single" w:sz="4" w:space="0" w:color="auto"/>
              <w:left w:val="single" w:sz="4" w:space="0" w:color="auto"/>
              <w:bottom w:val="single" w:sz="4" w:space="0" w:color="auto"/>
              <w:right w:val="single" w:sz="4" w:space="0" w:color="auto"/>
            </w:tcBorders>
          </w:tcPr>
          <w:p w14:paraId="3135D51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3.4.6. Existência de política de acompanhamento de egresso</w:t>
            </w:r>
          </w:p>
        </w:tc>
        <w:tc>
          <w:tcPr>
            <w:tcW w:w="889" w:type="dxa"/>
            <w:tcBorders>
              <w:top w:val="single" w:sz="4" w:space="0" w:color="auto"/>
              <w:left w:val="single" w:sz="4" w:space="0" w:color="auto"/>
              <w:bottom w:val="single" w:sz="4" w:space="0" w:color="auto"/>
              <w:right w:val="single" w:sz="4" w:space="0" w:color="auto"/>
            </w:tcBorders>
          </w:tcPr>
          <w:p w14:paraId="793CF55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1134" w:type="dxa"/>
            <w:gridSpan w:val="2"/>
            <w:tcBorders>
              <w:top w:val="single" w:sz="4" w:space="0" w:color="auto"/>
              <w:left w:val="single" w:sz="4" w:space="0" w:color="auto"/>
              <w:bottom w:val="single" w:sz="4" w:space="0" w:color="auto"/>
              <w:right w:val="single" w:sz="4" w:space="0" w:color="auto"/>
            </w:tcBorders>
          </w:tcPr>
          <w:p w14:paraId="329D4C4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w:t>
            </w:r>
          </w:p>
        </w:tc>
        <w:tc>
          <w:tcPr>
            <w:tcW w:w="5812" w:type="dxa"/>
            <w:gridSpan w:val="3"/>
            <w:vMerge w:val="restart"/>
            <w:tcBorders>
              <w:top w:val="single" w:sz="4" w:space="0" w:color="auto"/>
              <w:left w:val="single" w:sz="4" w:space="0" w:color="auto"/>
              <w:bottom w:val="single" w:sz="4" w:space="0" w:color="auto"/>
              <w:right w:val="single" w:sz="4" w:space="0" w:color="auto"/>
            </w:tcBorders>
          </w:tcPr>
          <w:p w14:paraId="5784C7E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Justificativa</w:t>
            </w:r>
          </w:p>
          <w:p w14:paraId="1BF640B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11D64C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acompanhamento é feito pelo “Oxford University Careers Service”. Trata-se do preenchimento de um formulário disponibilizado pela HESA, (Higher Education Statistics Agency, órgão de dados designado para a Inglaterra, especialista em dados de ensino superior do Reino Unido). </w:t>
            </w:r>
          </w:p>
          <w:p w14:paraId="6FAF036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8223E3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aluno da graduação será solicitado a preencher a pesquisa de Resultados de Graduação (Graduate Outcomes) 15 meses após a sua formatura sendo contatado por telefone e e-mail em nome da Universidade de Oxford e da HESA.</w:t>
            </w:r>
          </w:p>
          <w:p w14:paraId="44BA907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43F03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A pesquisa pode ser respondida de forma online ou por telefone, mas é preciso que os dados cadastrais como (e-mail e número de telefone) estejam atualizados no sistema para o </w:t>
            </w:r>
            <w:r w:rsidRPr="00485F85">
              <w:rPr>
                <w:rFonts w:asciiTheme="majorHAnsi" w:hAnsiTheme="majorHAnsi" w:cstheme="majorHAnsi"/>
              </w:rPr>
              <w:lastRenderedPageBreak/>
              <w:t>contato seja realizado. A atualização pode ser feita com a equipe de ex-alunos da Universidade.</w:t>
            </w:r>
          </w:p>
          <w:p w14:paraId="7D62DAB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46DD14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Os detalhes coletados podem ser usados ​​pela Universidade para fornecer ao ex-aluno atualizações e oportunidades relevantes.</w:t>
            </w:r>
          </w:p>
          <w:p w14:paraId="1401BA1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14D4B3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Além disso, os dados serão vistos de forma anônima pela equipe apropriada dentro de cada departamento para fins de monitoramento e avaliação do curso e compartilhados com órgãos profissionais relevantes, quando necessário.</w:t>
            </w:r>
          </w:p>
          <w:p w14:paraId="2D4B59A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EBBC30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B3B9ACC" w14:textId="77777777" w:rsidTr="009C02E6">
        <w:trPr>
          <w:trHeight w:val="540"/>
        </w:trPr>
        <w:tc>
          <w:tcPr>
            <w:cnfStyle w:val="001000000000" w:firstRow="0" w:lastRow="0" w:firstColumn="1" w:lastColumn="0" w:oddVBand="0" w:evenVBand="0" w:oddHBand="0" w:evenHBand="0" w:firstRowFirstColumn="0" w:firstRowLastColumn="0" w:lastRowFirstColumn="0" w:lastRowLastColumn="0"/>
            <w:tcW w:w="2514" w:type="dxa"/>
            <w:gridSpan w:val="2"/>
            <w:vMerge/>
            <w:tcBorders>
              <w:top w:val="single" w:sz="4" w:space="0" w:color="auto"/>
              <w:left w:val="single" w:sz="4" w:space="0" w:color="auto"/>
              <w:bottom w:val="single" w:sz="4" w:space="0" w:color="auto"/>
              <w:right w:val="single" w:sz="4" w:space="0" w:color="auto"/>
            </w:tcBorders>
          </w:tcPr>
          <w:p w14:paraId="78E3E567" w14:textId="77777777" w:rsidR="001C5F76" w:rsidRPr="00485F85" w:rsidRDefault="001C5F76" w:rsidP="009C02E6">
            <w:pPr>
              <w:spacing w:line="360" w:lineRule="auto"/>
              <w:jc w:val="both"/>
              <w:rPr>
                <w:rFonts w:asciiTheme="majorHAnsi" w:hAnsiTheme="majorHAnsi" w:cstheme="majorHAnsi"/>
              </w:rPr>
            </w:pPr>
          </w:p>
        </w:tc>
        <w:tc>
          <w:tcPr>
            <w:tcW w:w="889" w:type="dxa"/>
            <w:tcBorders>
              <w:top w:val="single" w:sz="4" w:space="0" w:color="auto"/>
              <w:left w:val="single" w:sz="4" w:space="0" w:color="auto"/>
              <w:bottom w:val="single" w:sz="4" w:space="0" w:color="auto"/>
              <w:right w:val="single" w:sz="4" w:space="0" w:color="auto"/>
            </w:tcBorders>
          </w:tcPr>
          <w:p w14:paraId="59E4A62A"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33C77BF0"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p w14:paraId="06EA887F"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X</w:t>
            </w:r>
          </w:p>
        </w:tc>
        <w:tc>
          <w:tcPr>
            <w:tcW w:w="1134" w:type="dxa"/>
            <w:gridSpan w:val="2"/>
            <w:tcBorders>
              <w:top w:val="single" w:sz="4" w:space="0" w:color="auto"/>
              <w:left w:val="single" w:sz="4" w:space="0" w:color="auto"/>
              <w:bottom w:val="single" w:sz="4" w:space="0" w:color="auto"/>
              <w:right w:val="single" w:sz="4" w:space="0" w:color="auto"/>
            </w:tcBorders>
          </w:tcPr>
          <w:p w14:paraId="6E832F9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812" w:type="dxa"/>
            <w:gridSpan w:val="3"/>
            <w:vMerge/>
            <w:tcBorders>
              <w:top w:val="single" w:sz="4" w:space="0" w:color="auto"/>
              <w:left w:val="single" w:sz="4" w:space="0" w:color="auto"/>
              <w:bottom w:val="single" w:sz="4" w:space="0" w:color="auto"/>
              <w:right w:val="single" w:sz="4" w:space="0" w:color="auto"/>
            </w:tcBorders>
          </w:tcPr>
          <w:p w14:paraId="39C5FB0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53296A87"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tcPr>
          <w:p w14:paraId="38AE75DA" w14:textId="77777777" w:rsidR="001C5F76" w:rsidRPr="00485F85" w:rsidRDefault="001C5F76" w:rsidP="009C02E6">
            <w:pPr>
              <w:spacing w:line="360" w:lineRule="auto"/>
              <w:jc w:val="both"/>
              <w:rPr>
                <w:rFonts w:asciiTheme="majorHAnsi" w:hAnsiTheme="majorHAnsi" w:cstheme="majorHAnsi"/>
                <w:b w:val="0"/>
                <w:color w:val="212121"/>
                <w:sz w:val="21"/>
                <w:szCs w:val="21"/>
                <w:shd w:val="clear" w:color="auto" w:fill="FAFAFA"/>
              </w:rPr>
            </w:pPr>
            <w:r w:rsidRPr="00485F85">
              <w:rPr>
                <w:rFonts w:asciiTheme="majorHAnsi" w:hAnsiTheme="majorHAnsi" w:cstheme="majorHAnsi"/>
              </w:rPr>
              <w:t xml:space="preserve">3.4.6 Mobilidade Estudantil – O conceito de mobilidade estudantil adotada no Brasil com </w:t>
            </w:r>
            <w:r w:rsidRPr="00485F85">
              <w:rPr>
                <w:rFonts w:asciiTheme="majorHAnsi" w:hAnsiTheme="majorHAnsi" w:cstheme="majorHAnsi"/>
                <w:color w:val="212121"/>
                <w:sz w:val="21"/>
                <w:szCs w:val="21"/>
                <w:shd w:val="clear" w:color="auto" w:fill="FAFAFA"/>
              </w:rPr>
              <w:t xml:space="preserve"> objetivo promover o intercâmbio entre estudantes das Universidades Federais brasileiras não se aplica na Universidade de Oxford. </w:t>
            </w:r>
          </w:p>
          <w:p w14:paraId="17EBFBD9" w14:textId="77777777" w:rsidR="001C5F76" w:rsidRPr="00485F85" w:rsidRDefault="001C5F76" w:rsidP="009C02E6">
            <w:pPr>
              <w:spacing w:line="360" w:lineRule="auto"/>
              <w:jc w:val="both"/>
              <w:rPr>
                <w:rFonts w:asciiTheme="majorHAnsi" w:hAnsiTheme="majorHAnsi" w:cstheme="majorHAnsi"/>
                <w:b w:val="0"/>
              </w:rPr>
            </w:pPr>
          </w:p>
        </w:tc>
      </w:tr>
      <w:tr w:rsidR="001C5F76" w:rsidRPr="00485F85" w14:paraId="326DDA1F"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tcBorders>
              <w:top w:val="single" w:sz="4" w:space="0" w:color="auto"/>
              <w:left w:val="single" w:sz="4" w:space="0" w:color="auto"/>
              <w:bottom w:val="single" w:sz="4" w:space="0" w:color="auto"/>
              <w:right w:val="single" w:sz="4" w:space="0" w:color="auto"/>
            </w:tcBorders>
          </w:tcPr>
          <w:p w14:paraId="76E8ADC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3.4.6.1. País e Estado de origem do estudante</w:t>
            </w:r>
          </w:p>
        </w:tc>
        <w:tc>
          <w:tcPr>
            <w:tcW w:w="3350" w:type="dxa"/>
            <w:gridSpan w:val="4"/>
            <w:tcBorders>
              <w:top w:val="single" w:sz="4" w:space="0" w:color="auto"/>
              <w:left w:val="single" w:sz="4" w:space="0" w:color="auto"/>
              <w:bottom w:val="single" w:sz="4" w:space="0" w:color="auto"/>
              <w:right w:val="single" w:sz="4" w:space="0" w:color="auto"/>
            </w:tcBorders>
          </w:tcPr>
          <w:p w14:paraId="5760C63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Não se aplica</w:t>
            </w:r>
          </w:p>
        </w:tc>
        <w:tc>
          <w:tcPr>
            <w:tcW w:w="4485" w:type="dxa"/>
            <w:gridSpan w:val="2"/>
            <w:tcBorders>
              <w:top w:val="single" w:sz="4" w:space="0" w:color="auto"/>
              <w:left w:val="single" w:sz="4" w:space="0" w:color="auto"/>
              <w:bottom w:val="single" w:sz="4" w:space="0" w:color="auto"/>
              <w:right w:val="single" w:sz="4" w:space="0" w:color="auto"/>
            </w:tcBorders>
          </w:tcPr>
          <w:p w14:paraId="36A070D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44169C10"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B369A81"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gridSpan w:val="2"/>
            <w:tcBorders>
              <w:top w:val="single" w:sz="4" w:space="0" w:color="auto"/>
              <w:left w:val="single" w:sz="4" w:space="0" w:color="auto"/>
              <w:bottom w:val="single" w:sz="4" w:space="0" w:color="auto"/>
              <w:right w:val="single" w:sz="4" w:space="0" w:color="auto"/>
            </w:tcBorders>
          </w:tcPr>
          <w:p w14:paraId="3B55959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3.4.6.2. País e Estado de destino do estudante </w:t>
            </w:r>
          </w:p>
        </w:tc>
        <w:tc>
          <w:tcPr>
            <w:tcW w:w="3350" w:type="dxa"/>
            <w:gridSpan w:val="4"/>
            <w:tcBorders>
              <w:top w:val="single" w:sz="4" w:space="0" w:color="auto"/>
              <w:left w:val="single" w:sz="4" w:space="0" w:color="auto"/>
              <w:bottom w:val="single" w:sz="4" w:space="0" w:color="auto"/>
              <w:right w:val="single" w:sz="4" w:space="0" w:color="auto"/>
            </w:tcBorders>
          </w:tcPr>
          <w:p w14:paraId="5D59139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Não se aplica</w:t>
            </w:r>
          </w:p>
        </w:tc>
        <w:tc>
          <w:tcPr>
            <w:tcW w:w="4485" w:type="dxa"/>
            <w:gridSpan w:val="2"/>
            <w:tcBorders>
              <w:top w:val="single" w:sz="4" w:space="0" w:color="auto"/>
              <w:left w:val="single" w:sz="4" w:space="0" w:color="auto"/>
              <w:bottom w:val="single" w:sz="4" w:space="0" w:color="auto"/>
              <w:right w:val="single" w:sz="4" w:space="0" w:color="auto"/>
            </w:tcBorders>
          </w:tcPr>
          <w:p w14:paraId="3D50FE6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w:t>
            </w:r>
          </w:p>
          <w:p w14:paraId="673D06B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739A5F9"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tcBorders>
              <w:top w:val="single" w:sz="4" w:space="0" w:color="auto"/>
              <w:left w:val="single" w:sz="4" w:space="0" w:color="auto"/>
              <w:bottom w:val="single" w:sz="4" w:space="0" w:color="auto"/>
              <w:right w:val="single" w:sz="4" w:space="0" w:color="auto"/>
            </w:tcBorders>
          </w:tcPr>
          <w:p w14:paraId="68D21769" w14:textId="77777777" w:rsidR="001C5F76" w:rsidRPr="00485F85" w:rsidRDefault="001C5F76" w:rsidP="009C02E6">
            <w:pPr>
              <w:spacing w:line="360" w:lineRule="auto"/>
              <w:jc w:val="both"/>
              <w:rPr>
                <w:rFonts w:asciiTheme="majorHAnsi" w:hAnsiTheme="majorHAnsi" w:cstheme="majorHAnsi"/>
              </w:rPr>
            </w:pPr>
          </w:p>
        </w:tc>
        <w:tc>
          <w:tcPr>
            <w:tcW w:w="3350" w:type="dxa"/>
            <w:gridSpan w:val="4"/>
            <w:tcBorders>
              <w:top w:val="single" w:sz="4" w:space="0" w:color="auto"/>
              <w:left w:val="single" w:sz="4" w:space="0" w:color="auto"/>
              <w:bottom w:val="single" w:sz="4" w:space="0" w:color="auto"/>
              <w:right w:val="single" w:sz="4" w:space="0" w:color="auto"/>
            </w:tcBorders>
          </w:tcPr>
          <w:p w14:paraId="5ED8FB1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485" w:type="dxa"/>
            <w:gridSpan w:val="2"/>
            <w:tcBorders>
              <w:top w:val="single" w:sz="4" w:space="0" w:color="auto"/>
              <w:left w:val="single" w:sz="4" w:space="0" w:color="auto"/>
              <w:bottom w:val="single" w:sz="4" w:space="0" w:color="auto"/>
              <w:right w:val="single" w:sz="4" w:space="0" w:color="auto"/>
            </w:tcBorders>
          </w:tcPr>
          <w:p w14:paraId="4525D3C2"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14B80340"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8"/>
            <w:tcBorders>
              <w:top w:val="single" w:sz="4" w:space="0" w:color="auto"/>
              <w:left w:val="single" w:sz="4" w:space="0" w:color="auto"/>
              <w:bottom w:val="single" w:sz="4" w:space="0" w:color="auto"/>
              <w:right w:val="single" w:sz="4" w:space="0" w:color="auto"/>
            </w:tcBorders>
          </w:tcPr>
          <w:p w14:paraId="59A11BE5"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 xml:space="preserve">3.5. Equivalência entre o número de docentes/discentes e técnicos administrativos </w:t>
            </w:r>
            <w:r w:rsidRPr="00485F85">
              <w:rPr>
                <w:rFonts w:asciiTheme="majorHAnsi" w:hAnsiTheme="majorHAnsi" w:cstheme="majorHAnsi"/>
                <w:sz w:val="20"/>
                <w:szCs w:val="20"/>
              </w:rPr>
              <w:t>(para atender às necessidades do projeto acadêmico)</w:t>
            </w:r>
          </w:p>
        </w:tc>
      </w:tr>
      <w:tr w:rsidR="001C5F76" w:rsidRPr="00485F85" w14:paraId="6833CB08" w14:textId="77777777" w:rsidTr="009C02E6">
        <w:tc>
          <w:tcPr>
            <w:cnfStyle w:val="001000000000" w:firstRow="0" w:lastRow="0" w:firstColumn="1" w:lastColumn="0" w:oddVBand="0" w:evenVBand="0" w:oddHBand="0" w:evenHBand="0" w:firstRowFirstColumn="0" w:firstRowLastColumn="0" w:lastRowFirstColumn="0" w:lastRowLastColumn="0"/>
            <w:tcW w:w="2514" w:type="dxa"/>
            <w:gridSpan w:val="2"/>
            <w:tcBorders>
              <w:top w:val="single" w:sz="4" w:space="0" w:color="auto"/>
              <w:left w:val="single" w:sz="4" w:space="0" w:color="auto"/>
              <w:bottom w:val="single" w:sz="4" w:space="0" w:color="auto"/>
              <w:right w:val="single" w:sz="4" w:space="0" w:color="auto"/>
            </w:tcBorders>
          </w:tcPr>
          <w:p w14:paraId="726166AB"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3.5.1. Relação equivalente docente-discente</w:t>
            </w:r>
          </w:p>
        </w:tc>
        <w:tc>
          <w:tcPr>
            <w:tcW w:w="7835" w:type="dxa"/>
            <w:gridSpan w:val="6"/>
            <w:tcBorders>
              <w:top w:val="single" w:sz="4" w:space="0" w:color="auto"/>
              <w:left w:val="single" w:sz="4" w:space="0" w:color="auto"/>
              <w:bottom w:val="single" w:sz="4" w:space="0" w:color="auto"/>
              <w:right w:val="single" w:sz="4" w:space="0" w:color="auto"/>
            </w:tcBorders>
          </w:tcPr>
          <w:p w14:paraId="1DACA5B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Não foi encontrado nenhum documento na Instituição que oferecesse o dado. </w:t>
            </w:r>
          </w:p>
          <w:p w14:paraId="035DE6B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número aqui explícito é a divisão entre a quantidade de discentes total (25.820) pela quantidade de docentes total (6.995*)</w:t>
            </w:r>
          </w:p>
          <w:p w14:paraId="4468219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*Dados da Hesa.2019/2020</w:t>
            </w:r>
          </w:p>
          <w:p w14:paraId="69DE73E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3,69 (alunos)</w:t>
            </w:r>
          </w:p>
          <w:p w14:paraId="1611460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FB83D9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A202C9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Outro valor foi extraído do site Times Higher Education*:  Nº de alunos por equipe</w:t>
            </w:r>
          </w:p>
          <w:p w14:paraId="4F5B690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11,1 (alunos)</w:t>
            </w:r>
          </w:p>
          <w:p w14:paraId="00DA33E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E04E08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site Times Higher Education World University Rankings 2021 inclui mais de 1.500 </w:t>
            </w:r>
            <w:r w:rsidRPr="00485F85">
              <w:rPr>
                <w:rFonts w:asciiTheme="majorHAnsi" w:hAnsiTheme="majorHAnsi" w:cstheme="majorHAnsi"/>
              </w:rPr>
              <w:lastRenderedPageBreak/>
              <w:t>universidades em 93 países e regiões, tornando-as o maior e mais diversificado ranking de universidades até hoje. A tabela é baseada em 13 indicadores de desempenho cuidadosamente calibrados que medem o desempenho de uma instituição em quatro áreas: ensino, pesquisa, transferência de conhecimento e perspectiva internacional.</w:t>
            </w:r>
          </w:p>
          <w:p w14:paraId="2C26982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A8C25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w:t>
            </w:r>
          </w:p>
        </w:tc>
      </w:tr>
      <w:tr w:rsidR="001C5F76" w:rsidRPr="00485F85" w14:paraId="7583C3C1" w14:textId="77777777" w:rsidTr="009C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gridSpan w:val="2"/>
            <w:tcBorders>
              <w:top w:val="single" w:sz="4" w:space="0" w:color="auto"/>
              <w:left w:val="single" w:sz="4" w:space="0" w:color="auto"/>
              <w:bottom w:val="single" w:sz="4" w:space="0" w:color="auto"/>
              <w:right w:val="single" w:sz="4" w:space="0" w:color="auto"/>
            </w:tcBorders>
          </w:tcPr>
          <w:p w14:paraId="2600ECC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3.5.2. Relação equivalente técnico-administrativo docente/discente</w:t>
            </w:r>
          </w:p>
        </w:tc>
        <w:tc>
          <w:tcPr>
            <w:tcW w:w="7835" w:type="dxa"/>
            <w:gridSpan w:val="6"/>
            <w:tcBorders>
              <w:top w:val="single" w:sz="4" w:space="0" w:color="auto"/>
              <w:left w:val="single" w:sz="4" w:space="0" w:color="auto"/>
              <w:bottom w:val="single" w:sz="4" w:space="0" w:color="auto"/>
              <w:right w:val="single" w:sz="4" w:space="0" w:color="auto"/>
            </w:tcBorders>
          </w:tcPr>
          <w:p w14:paraId="0C88D70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Não foi encontrado nenhum documento na Instituição que oferecesse o dado. </w:t>
            </w:r>
          </w:p>
          <w:p w14:paraId="78ADF29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 número aqui explícito é a divisão entre a quantidade de discentes total (25.820) pela quantidade de funcionários total (7.390*)</w:t>
            </w:r>
          </w:p>
          <w:p w14:paraId="444197C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*Dados da Hesa.2019/2020</w:t>
            </w:r>
          </w:p>
          <w:p w14:paraId="2367806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4B6FA7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3,49 (alunos).</w:t>
            </w:r>
          </w:p>
          <w:p w14:paraId="0AB28BE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EAE085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AF9B993" w14:textId="0EA0ABC8" w:rsidR="009C02E6" w:rsidRDefault="009C02E6" w:rsidP="001C5F76">
      <w:pPr>
        <w:spacing w:line="360" w:lineRule="auto"/>
        <w:jc w:val="both"/>
        <w:rPr>
          <w:rFonts w:asciiTheme="majorHAnsi" w:hAnsiTheme="majorHAnsi" w:cstheme="majorHAnsi"/>
        </w:rPr>
      </w:pPr>
    </w:p>
    <w:p w14:paraId="44EAC058" w14:textId="77777777" w:rsidR="009C02E6" w:rsidRDefault="009C02E6">
      <w:pPr>
        <w:tabs>
          <w:tab w:val="clear" w:pos="1615"/>
        </w:tabs>
        <w:spacing w:line="259" w:lineRule="auto"/>
        <w:rPr>
          <w:rFonts w:asciiTheme="majorHAnsi" w:hAnsiTheme="majorHAnsi" w:cstheme="majorHAnsi"/>
        </w:rPr>
      </w:pPr>
      <w:r>
        <w:rPr>
          <w:rFonts w:asciiTheme="majorHAnsi" w:hAnsiTheme="majorHAnsi" w:cstheme="majorHAnsi"/>
        </w:rPr>
        <w:br w:type="page"/>
      </w:r>
    </w:p>
    <w:tbl>
      <w:tblPr>
        <w:tblStyle w:val="TabeladeLista6Colorida-nfase311"/>
        <w:tblW w:w="10701" w:type="dxa"/>
        <w:tblLook w:val="04A0" w:firstRow="1" w:lastRow="0" w:firstColumn="1" w:lastColumn="0" w:noHBand="0" w:noVBand="1"/>
      </w:tblPr>
      <w:tblGrid>
        <w:gridCol w:w="2122"/>
        <w:gridCol w:w="566"/>
        <w:gridCol w:w="303"/>
        <w:gridCol w:w="123"/>
        <w:gridCol w:w="606"/>
        <w:gridCol w:w="534"/>
        <w:gridCol w:w="33"/>
        <w:gridCol w:w="244"/>
        <w:gridCol w:w="148"/>
        <w:gridCol w:w="142"/>
        <w:gridCol w:w="1592"/>
        <w:gridCol w:w="709"/>
        <w:gridCol w:w="812"/>
        <w:gridCol w:w="175"/>
        <w:gridCol w:w="850"/>
        <w:gridCol w:w="393"/>
        <w:gridCol w:w="823"/>
        <w:gridCol w:w="527"/>
        <w:gridCol w:w="20"/>
      </w:tblGrid>
      <w:tr w:rsidR="009C02E6" w:rsidRPr="009C02E6" w14:paraId="4DAB4C41" w14:textId="77777777" w:rsidTr="0004382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01" w:type="dxa"/>
            <w:gridSpan w:val="19"/>
            <w:tcBorders>
              <w:top w:val="single" w:sz="4" w:space="0" w:color="auto"/>
              <w:left w:val="single" w:sz="4" w:space="0" w:color="auto"/>
              <w:bottom w:val="single" w:sz="4" w:space="0" w:color="auto"/>
              <w:right w:val="single" w:sz="4" w:space="0" w:color="auto"/>
            </w:tcBorders>
            <w:shd w:val="clear" w:color="auto" w:fill="4875BD" w:themeFill="accent1"/>
          </w:tcPr>
          <w:p w14:paraId="24AE4C21" w14:textId="77777777" w:rsidR="001C5F76" w:rsidRPr="009C02E6" w:rsidRDefault="001C5F76" w:rsidP="009C02E6">
            <w:pPr>
              <w:spacing w:line="360" w:lineRule="auto"/>
              <w:jc w:val="both"/>
              <w:rPr>
                <w:rFonts w:asciiTheme="majorHAnsi" w:hAnsiTheme="majorHAnsi" w:cstheme="majorHAnsi"/>
                <w:b w:val="0"/>
                <w:color w:val="FFFFFF" w:themeColor="background1"/>
              </w:rPr>
            </w:pPr>
            <w:r w:rsidRPr="009C02E6">
              <w:rPr>
                <w:rFonts w:asciiTheme="majorHAnsi" w:hAnsiTheme="majorHAnsi" w:cstheme="majorHAnsi"/>
                <w:color w:val="FFFFFF" w:themeColor="background1"/>
              </w:rPr>
              <w:lastRenderedPageBreak/>
              <w:t>Dimensão 4. Ensino</w:t>
            </w:r>
          </w:p>
        </w:tc>
      </w:tr>
      <w:tr w:rsidR="001C5F76" w:rsidRPr="00485F85" w14:paraId="73045E8F"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1" w:type="dxa"/>
            <w:gridSpan w:val="19"/>
            <w:tcBorders>
              <w:top w:val="single" w:sz="4" w:space="0" w:color="auto"/>
              <w:left w:val="single" w:sz="4" w:space="0" w:color="auto"/>
              <w:bottom w:val="single" w:sz="4" w:space="0" w:color="auto"/>
              <w:right w:val="single" w:sz="4" w:space="0" w:color="auto"/>
            </w:tcBorders>
          </w:tcPr>
          <w:p w14:paraId="3F993148"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4.1. Cursos de Graduação</w:t>
            </w:r>
          </w:p>
        </w:tc>
      </w:tr>
      <w:tr w:rsidR="001C5F76" w:rsidRPr="00485F85" w14:paraId="3D54C6FC" w14:textId="77777777" w:rsidTr="00043827">
        <w:tc>
          <w:tcPr>
            <w:cnfStyle w:val="001000000000" w:firstRow="0" w:lastRow="0" w:firstColumn="1" w:lastColumn="0" w:oddVBand="0" w:evenVBand="0" w:oddHBand="0" w:evenHBand="0" w:firstRowFirstColumn="0" w:firstRowLastColumn="0" w:lastRowFirstColumn="0" w:lastRowLastColumn="0"/>
            <w:tcW w:w="10701" w:type="dxa"/>
            <w:gridSpan w:val="19"/>
            <w:tcBorders>
              <w:top w:val="single" w:sz="4" w:space="0" w:color="auto"/>
              <w:left w:val="single" w:sz="4" w:space="0" w:color="auto"/>
              <w:bottom w:val="single" w:sz="4" w:space="0" w:color="auto"/>
              <w:right w:val="single" w:sz="4" w:space="0" w:color="auto"/>
            </w:tcBorders>
          </w:tcPr>
          <w:p w14:paraId="09AC9820"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4.1.1 Relação de cursos de Graduação por área de conhecimento</w:t>
            </w:r>
          </w:p>
        </w:tc>
      </w:tr>
      <w:tr w:rsidR="009C02E6" w:rsidRPr="00485F85" w14:paraId="3521E4A0"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gridSpan w:val="5"/>
            <w:tcBorders>
              <w:top w:val="single" w:sz="4" w:space="0" w:color="auto"/>
              <w:left w:val="single" w:sz="4" w:space="0" w:color="auto"/>
              <w:bottom w:val="single" w:sz="4" w:space="0" w:color="auto"/>
              <w:right w:val="single" w:sz="4" w:space="0" w:color="auto"/>
            </w:tcBorders>
          </w:tcPr>
          <w:p w14:paraId="786296B2"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Área</w:t>
            </w:r>
          </w:p>
        </w:tc>
        <w:tc>
          <w:tcPr>
            <w:tcW w:w="2693" w:type="dxa"/>
            <w:gridSpan w:val="6"/>
            <w:tcBorders>
              <w:top w:val="single" w:sz="4" w:space="0" w:color="auto"/>
              <w:left w:val="single" w:sz="4" w:space="0" w:color="auto"/>
              <w:bottom w:val="single" w:sz="4" w:space="0" w:color="auto"/>
              <w:right w:val="single" w:sz="4" w:space="0" w:color="auto"/>
            </w:tcBorders>
          </w:tcPr>
          <w:p w14:paraId="793C331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Cursos</w:t>
            </w:r>
          </w:p>
        </w:tc>
        <w:tc>
          <w:tcPr>
            <w:tcW w:w="1701" w:type="dxa"/>
            <w:gridSpan w:val="3"/>
            <w:tcBorders>
              <w:top w:val="single" w:sz="4" w:space="0" w:color="auto"/>
              <w:left w:val="single" w:sz="4" w:space="0" w:color="auto"/>
              <w:bottom w:val="single" w:sz="4" w:space="0" w:color="auto"/>
              <w:right w:val="single" w:sz="4" w:space="0" w:color="auto"/>
            </w:tcBorders>
          </w:tcPr>
          <w:p w14:paraId="15818A2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Conceito ENADE</w:t>
            </w:r>
          </w:p>
        </w:tc>
        <w:tc>
          <w:tcPr>
            <w:tcW w:w="850" w:type="dxa"/>
            <w:tcBorders>
              <w:top w:val="single" w:sz="4" w:space="0" w:color="auto"/>
              <w:left w:val="single" w:sz="4" w:space="0" w:color="auto"/>
              <w:bottom w:val="single" w:sz="4" w:space="0" w:color="auto"/>
              <w:right w:val="single" w:sz="4" w:space="0" w:color="auto"/>
            </w:tcBorders>
          </w:tcPr>
          <w:p w14:paraId="259E7B1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CPC</w:t>
            </w:r>
          </w:p>
        </w:tc>
        <w:tc>
          <w:tcPr>
            <w:tcW w:w="1737" w:type="dxa"/>
            <w:gridSpan w:val="4"/>
            <w:tcBorders>
              <w:top w:val="single" w:sz="4" w:space="0" w:color="auto"/>
              <w:left w:val="single" w:sz="4" w:space="0" w:color="auto"/>
              <w:bottom w:val="single" w:sz="4" w:space="0" w:color="auto"/>
              <w:right w:val="single" w:sz="4" w:space="0" w:color="auto"/>
            </w:tcBorders>
          </w:tcPr>
          <w:p w14:paraId="4BE5420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Equivalente</w:t>
            </w:r>
          </w:p>
        </w:tc>
      </w:tr>
      <w:tr w:rsidR="001C5F76" w:rsidRPr="00485F85" w14:paraId="784D14BF"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tcBorders>
              <w:top w:val="single" w:sz="4" w:space="0" w:color="auto"/>
              <w:left w:val="single" w:sz="4" w:space="0" w:color="auto"/>
              <w:bottom w:val="single" w:sz="4" w:space="0" w:color="auto"/>
              <w:right w:val="single" w:sz="4" w:space="0" w:color="auto"/>
            </w:tcBorders>
            <w:noWrap/>
            <w:hideMark/>
          </w:tcPr>
          <w:p w14:paraId="704C93C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Divisão Acadêmica (DA)</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4CF433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Cursos</w:t>
            </w:r>
          </w:p>
        </w:tc>
        <w:tc>
          <w:tcPr>
            <w:tcW w:w="3559" w:type="dxa"/>
            <w:gridSpan w:val="6"/>
            <w:tcBorders>
              <w:top w:val="single" w:sz="4" w:space="0" w:color="auto"/>
              <w:left w:val="single" w:sz="4" w:space="0" w:color="auto"/>
              <w:bottom w:val="single" w:sz="4" w:space="0" w:color="auto"/>
              <w:right w:val="single" w:sz="4" w:space="0" w:color="auto"/>
            </w:tcBorders>
            <w:noWrap/>
            <w:hideMark/>
          </w:tcPr>
          <w:p w14:paraId="5E51844B"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Quantidade Total na DA</w:t>
            </w:r>
          </w:p>
        </w:tc>
      </w:tr>
      <w:tr w:rsidR="009C02E6" w:rsidRPr="00485F85" w14:paraId="19C3264D"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val="restart"/>
            <w:tcBorders>
              <w:top w:val="single" w:sz="4" w:space="0" w:color="auto"/>
              <w:left w:val="single" w:sz="4" w:space="0" w:color="auto"/>
              <w:bottom w:val="single" w:sz="4" w:space="0" w:color="auto"/>
              <w:right w:val="single" w:sz="4" w:space="0" w:color="auto"/>
            </w:tcBorders>
            <w:hideMark/>
          </w:tcPr>
          <w:p w14:paraId="4021EBFB"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Humanities Division</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066DB1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Classics</w:t>
            </w:r>
          </w:p>
        </w:tc>
        <w:tc>
          <w:tcPr>
            <w:tcW w:w="3559" w:type="dxa"/>
            <w:gridSpan w:val="6"/>
            <w:vMerge w:val="restart"/>
            <w:tcBorders>
              <w:top w:val="single" w:sz="4" w:space="0" w:color="auto"/>
              <w:left w:val="single" w:sz="4" w:space="0" w:color="auto"/>
              <w:bottom w:val="single" w:sz="4" w:space="0" w:color="auto"/>
              <w:right w:val="single" w:sz="4" w:space="0" w:color="auto"/>
            </w:tcBorders>
            <w:noWrap/>
            <w:hideMark/>
          </w:tcPr>
          <w:p w14:paraId="34F0ED0F"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22</w:t>
            </w:r>
          </w:p>
        </w:tc>
      </w:tr>
      <w:tr w:rsidR="001C5F76" w:rsidRPr="00485F85" w14:paraId="6BA867F1"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EA1273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376B7C7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Classics and English</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192E6AE"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4292E242"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6A8746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785490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Classics and Modern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F4FC70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6925A80B"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7FED6D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2684E04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Classics and Oriental Studies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529CEC6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0825988E"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4ACA78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EA3D7B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English and Modern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7E9729A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153566A4"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55A2B9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F464B6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English Language and Literature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16C8175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C71F33" w14:paraId="05F8C169"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CAF4DD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2C4AD82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European and Middle Eastern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E53F55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p>
        </w:tc>
      </w:tr>
      <w:tr w:rsidR="001C5F76" w:rsidRPr="00485F85" w14:paraId="0EB0A0F1"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3209DB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54EE3F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Fine Art</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E8BA7C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3776C9EB"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91AE5A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7E87EE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7D5816F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1AB86FAC"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32D065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515882B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(Ancient and Modern)</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B9B2A7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7E827622"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0A0D08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246DC4D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and English</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224F2C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589A9DA8"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DFAFF3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511EE85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and Modern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9C3D3A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1D319746"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E9F0B8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689F72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and Politics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5DCA84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3E75F587"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285113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15F2ABC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of Art</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19B48C4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5ADFB4FA"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E591A4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B52E92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Modern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6C6FCD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349C9169"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532EBCF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3149AB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Modern Languages and Linguistics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880146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07D4009C"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75832DA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47A541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Music</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3F84DF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1158EFB8"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B28082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9CDDC2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Oriental Studies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69843E5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5912D802"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BF1245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D0BBD7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Philosophy and Modern Languages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166FC63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7087DAD3"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2F5A3E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49D092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Philosophy and Theology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777577F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68709DEF"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6E2D55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71FAB8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Religion and Oriental Studies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504E92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1C402C10"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367B8D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D2AA98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Theology and Religion</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68B5A9CE"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395EAAC9"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val="restart"/>
            <w:tcBorders>
              <w:top w:val="single" w:sz="4" w:space="0" w:color="auto"/>
              <w:left w:val="single" w:sz="4" w:space="0" w:color="auto"/>
              <w:bottom w:val="single" w:sz="4" w:space="0" w:color="auto"/>
              <w:right w:val="single" w:sz="4" w:space="0" w:color="auto"/>
            </w:tcBorders>
            <w:hideMark/>
          </w:tcPr>
          <w:p w14:paraId="64E72EB0"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Mathematical, Physical and Life Sciences Division</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13F6FDB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Chemistry</w:t>
            </w:r>
          </w:p>
        </w:tc>
        <w:tc>
          <w:tcPr>
            <w:tcW w:w="3559" w:type="dxa"/>
            <w:gridSpan w:val="6"/>
            <w:vMerge w:val="restart"/>
            <w:tcBorders>
              <w:top w:val="single" w:sz="4" w:space="0" w:color="auto"/>
              <w:left w:val="single" w:sz="4" w:space="0" w:color="auto"/>
              <w:bottom w:val="single" w:sz="4" w:space="0" w:color="auto"/>
              <w:right w:val="single" w:sz="4" w:space="0" w:color="auto"/>
            </w:tcBorders>
            <w:noWrap/>
            <w:hideMark/>
          </w:tcPr>
          <w:p w14:paraId="05701EEA"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w:t>
            </w:r>
          </w:p>
        </w:tc>
      </w:tr>
      <w:tr w:rsidR="001C5F76" w:rsidRPr="00485F85" w14:paraId="553B9F47"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7FCAA83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1CA39BC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Computer Science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4B9CB0E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55683640"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B5A4F5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2A1BF2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Earth Sciences (Geology)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122FF8C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429A91AF"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9F6101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FD3155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Engineering Science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FE6C18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74134B4A"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ED3D14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5F10371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Geography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C1DF38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0176A7CE"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33C554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5C9FBD1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Materials Science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7725D55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38CBB579"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0102FA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801CF4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Mathematics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879840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7E2CD184"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79FDB91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15B3D61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Mathematics and Computer Science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F2A207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13B031B5"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86EB60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A4B0FB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Mathematics and Statistics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5CA727D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00BD3D13"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696FB4F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D7F054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Physics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CFA7DE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49FFDDA3"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val="restart"/>
            <w:tcBorders>
              <w:top w:val="single" w:sz="4" w:space="0" w:color="auto"/>
              <w:left w:val="single" w:sz="4" w:space="0" w:color="auto"/>
              <w:bottom w:val="single" w:sz="4" w:space="0" w:color="auto"/>
              <w:right w:val="single" w:sz="4" w:space="0" w:color="auto"/>
            </w:tcBorders>
            <w:hideMark/>
          </w:tcPr>
          <w:p w14:paraId="76DCA4D1"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Medical Sciences Division</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9ABD87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Biochemistry (Molecular and Cellular)</w:t>
            </w:r>
          </w:p>
        </w:tc>
        <w:tc>
          <w:tcPr>
            <w:tcW w:w="3559" w:type="dxa"/>
            <w:gridSpan w:val="6"/>
            <w:vMerge w:val="restart"/>
            <w:tcBorders>
              <w:top w:val="single" w:sz="4" w:space="0" w:color="auto"/>
              <w:left w:val="single" w:sz="4" w:space="0" w:color="auto"/>
              <w:bottom w:val="single" w:sz="4" w:space="0" w:color="auto"/>
              <w:right w:val="single" w:sz="4" w:space="0" w:color="auto"/>
            </w:tcBorders>
            <w:noWrap/>
            <w:hideMark/>
          </w:tcPr>
          <w:p w14:paraId="209D34D0"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w:t>
            </w:r>
          </w:p>
        </w:tc>
      </w:tr>
      <w:tr w:rsidR="001C5F76" w:rsidRPr="00485F85" w14:paraId="78E637DA"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77E69A6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4BDE8E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Biology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649D12C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0007F1D6"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2F9A50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2E3DAB2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Biomedical Sciences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EDAEEC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51CA0DC6"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BD55D8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53720C7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Medicine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5955F5F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39C1C45C"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F7F473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0DCAE9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Medicine (graduate entry)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D24043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352A72E1"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5996E13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C4B45D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Psychology (Experimental)</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EC20AF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1B6259AD"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val="restart"/>
            <w:tcBorders>
              <w:top w:val="single" w:sz="4" w:space="0" w:color="auto"/>
              <w:left w:val="single" w:sz="4" w:space="0" w:color="auto"/>
              <w:bottom w:val="single" w:sz="4" w:space="0" w:color="auto"/>
              <w:right w:val="single" w:sz="4" w:space="0" w:color="auto"/>
            </w:tcBorders>
            <w:hideMark/>
          </w:tcPr>
          <w:p w14:paraId="3885E579"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Social Sciences Division</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3C13498"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Archaeology and Anthropology</w:t>
            </w:r>
          </w:p>
        </w:tc>
        <w:tc>
          <w:tcPr>
            <w:tcW w:w="3559" w:type="dxa"/>
            <w:gridSpan w:val="6"/>
            <w:vMerge w:val="restart"/>
            <w:tcBorders>
              <w:top w:val="single" w:sz="4" w:space="0" w:color="auto"/>
              <w:left w:val="single" w:sz="4" w:space="0" w:color="auto"/>
              <w:bottom w:val="single" w:sz="4" w:space="0" w:color="auto"/>
              <w:right w:val="single" w:sz="4" w:space="0" w:color="auto"/>
            </w:tcBorders>
            <w:noWrap/>
            <w:hideMark/>
          </w:tcPr>
          <w:p w14:paraId="260B5255"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w:t>
            </w:r>
          </w:p>
        </w:tc>
      </w:tr>
      <w:tr w:rsidR="001C5F76" w:rsidRPr="00C71F33" w14:paraId="5480383B"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71710A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3AE7739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Classical Archaeology and Ancient History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5C4B6C2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p>
        </w:tc>
      </w:tr>
      <w:tr w:rsidR="009C02E6" w:rsidRPr="00485F85" w14:paraId="1E60774D"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55FA0E2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4FD6BB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Economics and Management</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91965B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058F00C3"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75CD799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6BDC38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Law (Jurisprudence)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19023A9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3EC7F098"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val="restart"/>
            <w:tcBorders>
              <w:top w:val="single" w:sz="4" w:space="0" w:color="auto"/>
              <w:left w:val="single" w:sz="4" w:space="0" w:color="auto"/>
              <w:bottom w:val="single" w:sz="4" w:space="0" w:color="auto"/>
              <w:right w:val="single" w:sz="4" w:space="0" w:color="auto"/>
            </w:tcBorders>
            <w:noWrap/>
            <w:hideMark/>
          </w:tcPr>
          <w:p w14:paraId="5A1CF202"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Interdisciplinar</w:t>
            </w: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237D274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Computer Science and Philosophy</w:t>
            </w:r>
          </w:p>
        </w:tc>
        <w:tc>
          <w:tcPr>
            <w:tcW w:w="3559" w:type="dxa"/>
            <w:gridSpan w:val="6"/>
            <w:vMerge w:val="restart"/>
            <w:tcBorders>
              <w:top w:val="single" w:sz="4" w:space="0" w:color="auto"/>
              <w:left w:val="single" w:sz="4" w:space="0" w:color="auto"/>
              <w:bottom w:val="single" w:sz="4" w:space="0" w:color="auto"/>
              <w:right w:val="single" w:sz="4" w:space="0" w:color="auto"/>
            </w:tcBorders>
            <w:noWrap/>
            <w:hideMark/>
          </w:tcPr>
          <w:p w14:paraId="1358552A"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w:t>
            </w:r>
          </w:p>
        </w:tc>
      </w:tr>
      <w:tr w:rsidR="001C5F76" w:rsidRPr="00485F85" w14:paraId="1563E536"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1765C3E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361814E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History and Economics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54E5F7E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04871240"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345CF40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D09845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Human Sciences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2127878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17602733"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CD3CA4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7405273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Mathematics and Philosophy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4BE661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C71F33" w14:paraId="78B4D116"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5ECCA00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6B22FCF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Philosophy, Politics and Economics (PPE)</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850395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p>
        </w:tc>
      </w:tr>
      <w:tr w:rsidR="001C5F76" w:rsidRPr="00485F85" w14:paraId="3BE37883" w14:textId="77777777" w:rsidTr="00043827">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4BC63D5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0F2B1DE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Physics and Philosophy</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0425DED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9C02E6" w:rsidRPr="00485F85" w14:paraId="6E60F396"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Height w:val="300"/>
        </w:trPr>
        <w:tc>
          <w:tcPr>
            <w:cnfStyle w:val="001000000000" w:firstRow="0" w:lastRow="0" w:firstColumn="1" w:lastColumn="0" w:oddVBand="0" w:evenVBand="0" w:oddHBand="0" w:evenHBand="0" w:firstRowFirstColumn="0" w:firstRowLastColumn="0" w:lastRowFirstColumn="0" w:lastRowLastColumn="0"/>
            <w:tcW w:w="2991" w:type="dxa"/>
            <w:gridSpan w:val="3"/>
            <w:vMerge/>
            <w:tcBorders>
              <w:top w:val="single" w:sz="4" w:space="0" w:color="auto"/>
              <w:left w:val="single" w:sz="4" w:space="0" w:color="auto"/>
              <w:bottom w:val="single" w:sz="4" w:space="0" w:color="auto"/>
              <w:right w:val="single" w:sz="4" w:space="0" w:color="auto"/>
            </w:tcBorders>
            <w:hideMark/>
          </w:tcPr>
          <w:p w14:paraId="2093043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p>
        </w:tc>
        <w:tc>
          <w:tcPr>
            <w:tcW w:w="4131" w:type="dxa"/>
            <w:gridSpan w:val="9"/>
            <w:tcBorders>
              <w:top w:val="single" w:sz="4" w:space="0" w:color="auto"/>
              <w:left w:val="single" w:sz="4" w:space="0" w:color="auto"/>
              <w:bottom w:val="single" w:sz="4" w:space="0" w:color="auto"/>
              <w:right w:val="single" w:sz="4" w:space="0" w:color="auto"/>
            </w:tcBorders>
            <w:noWrap/>
            <w:hideMark/>
          </w:tcPr>
          <w:p w14:paraId="4315AEE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Psychology, Philosophy and Linguistics</w:t>
            </w:r>
          </w:p>
        </w:tc>
        <w:tc>
          <w:tcPr>
            <w:tcW w:w="3559" w:type="dxa"/>
            <w:gridSpan w:val="6"/>
            <w:vMerge/>
            <w:tcBorders>
              <w:top w:val="single" w:sz="4" w:space="0" w:color="auto"/>
              <w:left w:val="single" w:sz="4" w:space="0" w:color="auto"/>
              <w:bottom w:val="single" w:sz="4" w:space="0" w:color="auto"/>
              <w:right w:val="single" w:sz="4" w:space="0" w:color="auto"/>
            </w:tcBorders>
            <w:hideMark/>
          </w:tcPr>
          <w:p w14:paraId="31E30C7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C5F76" w:rsidRPr="00485F85" w14:paraId="00AAEEA3" w14:textId="77777777" w:rsidTr="00043827">
        <w:trPr>
          <w:gridAfter w:val="1"/>
          <w:wAfter w:w="20" w:type="dxa"/>
        </w:trPr>
        <w:tc>
          <w:tcPr>
            <w:cnfStyle w:val="001000000000" w:firstRow="0" w:lastRow="0" w:firstColumn="1" w:lastColumn="0" w:oddVBand="0" w:evenVBand="0" w:oddHBand="0" w:evenHBand="0" w:firstRowFirstColumn="0" w:firstRowLastColumn="0" w:lastRowFirstColumn="0" w:lastRowLastColumn="0"/>
            <w:tcW w:w="2688" w:type="dxa"/>
            <w:gridSpan w:val="2"/>
            <w:tcBorders>
              <w:top w:val="single" w:sz="4" w:space="0" w:color="auto"/>
              <w:left w:val="single" w:sz="4" w:space="0" w:color="auto"/>
              <w:bottom w:val="single" w:sz="4" w:space="0" w:color="auto"/>
              <w:right w:val="single" w:sz="4" w:space="0" w:color="auto"/>
            </w:tcBorders>
          </w:tcPr>
          <w:p w14:paraId="186DA59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Observação : </w:t>
            </w:r>
          </w:p>
        </w:tc>
        <w:tc>
          <w:tcPr>
            <w:tcW w:w="7993" w:type="dxa"/>
            <w:gridSpan w:val="16"/>
            <w:tcBorders>
              <w:top w:val="single" w:sz="4" w:space="0" w:color="auto"/>
              <w:left w:val="single" w:sz="4" w:space="0" w:color="auto"/>
              <w:bottom w:val="single" w:sz="4" w:space="0" w:color="auto"/>
              <w:right w:val="single" w:sz="4" w:space="0" w:color="auto"/>
            </w:tcBorders>
          </w:tcPr>
          <w:p w14:paraId="4176ABD5" w14:textId="77777777" w:rsidR="001C5F76" w:rsidRPr="00485F85" w:rsidRDefault="001C5F76" w:rsidP="009C02E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Informações retiradas da página </w:t>
            </w:r>
            <w:hyperlink r:id="rId152" w:history="1">
              <w:r w:rsidRPr="00485F85">
                <w:rPr>
                  <w:rFonts w:asciiTheme="majorHAnsi" w:hAnsiTheme="majorHAnsi" w:cstheme="majorHAnsi"/>
                  <w:color w:val="4875BD" w:themeColor="accent1"/>
                  <w:u w:val="single"/>
                </w:rPr>
                <w:t>https://www.ox.ac.uk/admissions/undergraduate/courses/course-listing</w:t>
              </w:r>
            </w:hyperlink>
            <w:r w:rsidRPr="00485F85">
              <w:rPr>
                <w:rFonts w:asciiTheme="majorHAnsi" w:hAnsiTheme="majorHAnsi" w:cstheme="majorHAnsi"/>
              </w:rPr>
              <w:t xml:space="preserve"> . Coleta realizada no dia 31 de julho.</w:t>
            </w:r>
          </w:p>
        </w:tc>
      </w:tr>
      <w:tr w:rsidR="001C5F76" w:rsidRPr="00485F85" w14:paraId="448293A5"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681" w:type="dxa"/>
            <w:gridSpan w:val="18"/>
            <w:tcBorders>
              <w:top w:val="single" w:sz="4" w:space="0" w:color="auto"/>
              <w:left w:val="single" w:sz="4" w:space="0" w:color="auto"/>
              <w:bottom w:val="single" w:sz="4" w:space="0" w:color="auto"/>
              <w:right w:val="single" w:sz="4" w:space="0" w:color="auto"/>
            </w:tcBorders>
          </w:tcPr>
          <w:p w14:paraId="3891980A"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 xml:space="preserve">4.2. Cursos de Pós-Graduação </w:t>
            </w:r>
          </w:p>
        </w:tc>
      </w:tr>
      <w:tr w:rsidR="001C5F76" w:rsidRPr="00485F85" w14:paraId="6BB7E4EB" w14:textId="77777777" w:rsidTr="00043827">
        <w:trPr>
          <w:gridAfter w:val="1"/>
          <w:wAfter w:w="20" w:type="dxa"/>
        </w:trPr>
        <w:tc>
          <w:tcPr>
            <w:cnfStyle w:val="001000000000" w:firstRow="0" w:lastRow="0" w:firstColumn="1" w:lastColumn="0" w:oddVBand="0" w:evenVBand="0" w:oddHBand="0" w:evenHBand="0" w:firstRowFirstColumn="0" w:firstRowLastColumn="0" w:lastRowFirstColumn="0" w:lastRowLastColumn="0"/>
            <w:tcW w:w="10681" w:type="dxa"/>
            <w:gridSpan w:val="18"/>
            <w:tcBorders>
              <w:top w:val="single" w:sz="4" w:space="0" w:color="auto"/>
              <w:left w:val="single" w:sz="4" w:space="0" w:color="auto"/>
              <w:bottom w:val="single" w:sz="4" w:space="0" w:color="auto"/>
              <w:right w:val="single" w:sz="4" w:space="0" w:color="auto"/>
            </w:tcBorders>
          </w:tcPr>
          <w:p w14:paraId="6067085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4.2.1.Relação de Cursos de Pós-Graduação – oferta por área de conhecimento</w:t>
            </w:r>
          </w:p>
        </w:tc>
      </w:tr>
      <w:tr w:rsidR="009C02E6" w:rsidRPr="00485F85" w14:paraId="77D08236" w14:textId="77777777" w:rsidTr="00043827">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4287" w:type="dxa"/>
            <w:gridSpan w:val="7"/>
            <w:tcBorders>
              <w:top w:val="single" w:sz="4" w:space="0" w:color="auto"/>
              <w:left w:val="single" w:sz="4" w:space="0" w:color="auto"/>
              <w:bottom w:val="single" w:sz="4" w:space="0" w:color="auto"/>
              <w:right w:val="single" w:sz="4" w:space="0" w:color="auto"/>
            </w:tcBorders>
          </w:tcPr>
          <w:p w14:paraId="08D5FA1E"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Área</w:t>
            </w:r>
          </w:p>
        </w:tc>
        <w:tc>
          <w:tcPr>
            <w:tcW w:w="3652" w:type="dxa"/>
            <w:gridSpan w:val="6"/>
            <w:tcBorders>
              <w:top w:val="single" w:sz="4" w:space="0" w:color="auto"/>
              <w:left w:val="single" w:sz="4" w:space="0" w:color="auto"/>
              <w:bottom w:val="single" w:sz="4" w:space="0" w:color="auto"/>
              <w:right w:val="single" w:sz="4" w:space="0" w:color="auto"/>
            </w:tcBorders>
          </w:tcPr>
          <w:p w14:paraId="13E9165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Cursos</w:t>
            </w:r>
          </w:p>
        </w:tc>
        <w:tc>
          <w:tcPr>
            <w:tcW w:w="1418" w:type="dxa"/>
            <w:gridSpan w:val="3"/>
            <w:tcBorders>
              <w:top w:val="single" w:sz="4" w:space="0" w:color="auto"/>
              <w:left w:val="single" w:sz="4" w:space="0" w:color="auto"/>
              <w:bottom w:val="single" w:sz="4" w:space="0" w:color="auto"/>
              <w:right w:val="single" w:sz="4" w:space="0" w:color="auto"/>
            </w:tcBorders>
          </w:tcPr>
          <w:p w14:paraId="700B898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Conceito CAPES</w:t>
            </w:r>
          </w:p>
        </w:tc>
        <w:tc>
          <w:tcPr>
            <w:tcW w:w="1324" w:type="dxa"/>
            <w:gridSpan w:val="2"/>
            <w:tcBorders>
              <w:top w:val="single" w:sz="4" w:space="0" w:color="auto"/>
              <w:left w:val="single" w:sz="4" w:space="0" w:color="auto"/>
              <w:bottom w:val="single" w:sz="4" w:space="0" w:color="auto"/>
              <w:right w:val="single" w:sz="4" w:space="0" w:color="auto"/>
            </w:tcBorders>
          </w:tcPr>
          <w:p w14:paraId="05A7220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Equivalente</w:t>
            </w:r>
          </w:p>
        </w:tc>
      </w:tr>
      <w:tr w:rsidR="001C5F76" w:rsidRPr="00485F85" w14:paraId="5425372F" w14:textId="77777777" w:rsidTr="00043827">
        <w:trPr>
          <w:gridAfter w:val="2"/>
          <w:wAfter w:w="954" w:type="dxa"/>
          <w:trHeight w:val="765"/>
        </w:trPr>
        <w:tc>
          <w:tcPr>
            <w:cnfStyle w:val="001000000000" w:firstRow="0" w:lastRow="0" w:firstColumn="1" w:lastColumn="0" w:oddVBand="0" w:evenVBand="0" w:oddHBand="0" w:evenHBand="0" w:firstRowFirstColumn="0" w:firstRowLastColumn="0" w:lastRowFirstColumn="0" w:lastRowLastColumn="0"/>
            <w:tcW w:w="2688" w:type="dxa"/>
            <w:gridSpan w:val="2"/>
            <w:tcBorders>
              <w:top w:val="single" w:sz="4" w:space="0" w:color="auto"/>
              <w:left w:val="single" w:sz="4" w:space="0" w:color="auto"/>
              <w:bottom w:val="single" w:sz="4" w:space="0" w:color="auto"/>
              <w:right w:val="single" w:sz="4" w:space="0" w:color="auto"/>
            </w:tcBorders>
            <w:hideMark/>
          </w:tcPr>
          <w:p w14:paraId="15204981" w14:textId="77777777" w:rsidR="001C5F76" w:rsidRPr="00485F85" w:rsidRDefault="001C5F76" w:rsidP="009C02E6">
            <w:pPr>
              <w:tabs>
                <w:tab w:val="clear" w:pos="1615"/>
              </w:tabs>
              <w:spacing w:line="360" w:lineRule="auto"/>
              <w:jc w:val="center"/>
              <w:rPr>
                <w:rFonts w:asciiTheme="majorHAnsi" w:eastAsia="Times New Roman" w:hAnsiTheme="majorHAnsi" w:cstheme="majorHAnsi"/>
                <w:b w:val="0"/>
                <w:bCs w:val="0"/>
                <w:color w:val="000000"/>
                <w:lang w:eastAsia="pt-BR"/>
              </w:rPr>
            </w:pPr>
            <w:r w:rsidRPr="00485F85">
              <w:rPr>
                <w:rFonts w:asciiTheme="majorHAnsi" w:eastAsia="Times New Roman" w:hAnsiTheme="majorHAnsi" w:cstheme="majorHAnsi"/>
                <w:color w:val="000000"/>
                <w:lang w:eastAsia="pt-BR"/>
              </w:rPr>
              <w:t>Divisão Acadêmica</w:t>
            </w:r>
          </w:p>
        </w:tc>
        <w:tc>
          <w:tcPr>
            <w:tcW w:w="5251" w:type="dxa"/>
            <w:gridSpan w:val="11"/>
            <w:tcBorders>
              <w:top w:val="single" w:sz="4" w:space="0" w:color="auto"/>
              <w:left w:val="single" w:sz="4" w:space="0" w:color="auto"/>
              <w:bottom w:val="single" w:sz="4" w:space="0" w:color="auto"/>
              <w:right w:val="single" w:sz="4" w:space="0" w:color="auto"/>
            </w:tcBorders>
            <w:hideMark/>
          </w:tcPr>
          <w:p w14:paraId="12B0A55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Institutos/Departamentos/faculdades</w:t>
            </w:r>
          </w:p>
        </w:tc>
        <w:tc>
          <w:tcPr>
            <w:tcW w:w="1418" w:type="dxa"/>
            <w:gridSpan w:val="3"/>
            <w:tcBorders>
              <w:top w:val="single" w:sz="4" w:space="0" w:color="auto"/>
              <w:left w:val="single" w:sz="4" w:space="0" w:color="auto"/>
              <w:bottom w:val="single" w:sz="4" w:space="0" w:color="auto"/>
              <w:right w:val="single" w:sz="4" w:space="0" w:color="auto"/>
            </w:tcBorders>
            <w:hideMark/>
          </w:tcPr>
          <w:p w14:paraId="1DC2EAE5"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Quantidade de cursos</w:t>
            </w:r>
          </w:p>
        </w:tc>
        <w:tc>
          <w:tcPr>
            <w:tcW w:w="390" w:type="dxa"/>
            <w:tcBorders>
              <w:top w:val="single" w:sz="4" w:space="0" w:color="auto"/>
              <w:left w:val="single" w:sz="4" w:space="0" w:color="auto"/>
              <w:bottom w:val="single" w:sz="4" w:space="0" w:color="auto"/>
              <w:right w:val="single" w:sz="4" w:space="0" w:color="auto"/>
            </w:tcBorders>
            <w:hideMark/>
          </w:tcPr>
          <w:p w14:paraId="59BA1E3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Qdade Total</w:t>
            </w:r>
          </w:p>
        </w:tc>
      </w:tr>
      <w:tr w:rsidR="009C02E6" w:rsidRPr="00485F85" w14:paraId="46B62F5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val="restart"/>
            <w:tcBorders>
              <w:top w:val="single" w:sz="4" w:space="0" w:color="auto"/>
              <w:left w:val="single" w:sz="4" w:space="0" w:color="auto"/>
              <w:bottom w:val="single" w:sz="4" w:space="0" w:color="auto"/>
              <w:right w:val="single" w:sz="4" w:space="0" w:color="auto"/>
            </w:tcBorders>
            <w:noWrap/>
            <w:hideMark/>
          </w:tcPr>
          <w:p w14:paraId="32C2E9CE"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Humanities Division</w:t>
            </w:r>
          </w:p>
        </w:tc>
        <w:tc>
          <w:tcPr>
            <w:tcW w:w="5251" w:type="dxa"/>
            <w:gridSpan w:val="11"/>
            <w:tcBorders>
              <w:top w:val="single" w:sz="4" w:space="0" w:color="auto"/>
              <w:left w:val="single" w:sz="4" w:space="0" w:color="auto"/>
              <w:bottom w:val="single" w:sz="4" w:space="0" w:color="auto"/>
              <w:right w:val="single" w:sz="4" w:space="0" w:color="auto"/>
            </w:tcBorders>
            <w:hideMark/>
          </w:tcPr>
          <w:p w14:paraId="7A90549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RUSKIN SCHOOL OF Art</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E0AB72C"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4</w:t>
            </w:r>
          </w:p>
        </w:tc>
        <w:tc>
          <w:tcPr>
            <w:tcW w:w="390" w:type="dxa"/>
            <w:vMerge w:val="restart"/>
            <w:tcBorders>
              <w:top w:val="single" w:sz="4" w:space="0" w:color="auto"/>
              <w:left w:val="single" w:sz="4" w:space="0" w:color="auto"/>
              <w:bottom w:val="single" w:sz="4" w:space="0" w:color="auto"/>
              <w:right w:val="single" w:sz="4" w:space="0" w:color="auto"/>
            </w:tcBorders>
            <w:noWrap/>
            <w:hideMark/>
          </w:tcPr>
          <w:p w14:paraId="4C21C603"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117</w:t>
            </w:r>
          </w:p>
        </w:tc>
      </w:tr>
      <w:tr w:rsidR="001C5F76" w:rsidRPr="00485F85" w14:paraId="4D30C8D7"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642022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D5A6AB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Classics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0BBC2D2"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8</w:t>
            </w:r>
          </w:p>
        </w:tc>
        <w:tc>
          <w:tcPr>
            <w:tcW w:w="390" w:type="dxa"/>
            <w:vMerge/>
            <w:tcBorders>
              <w:top w:val="single" w:sz="4" w:space="0" w:color="auto"/>
              <w:left w:val="single" w:sz="4" w:space="0" w:color="auto"/>
              <w:bottom w:val="single" w:sz="4" w:space="0" w:color="auto"/>
              <w:right w:val="single" w:sz="4" w:space="0" w:color="auto"/>
            </w:tcBorders>
            <w:hideMark/>
          </w:tcPr>
          <w:p w14:paraId="4E2DC6C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A8A7C8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47"/>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395D18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594C1D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FACULTY OF English Language and Literature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6DD8171"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10</w:t>
            </w:r>
          </w:p>
        </w:tc>
        <w:tc>
          <w:tcPr>
            <w:tcW w:w="390" w:type="dxa"/>
            <w:vMerge/>
            <w:tcBorders>
              <w:top w:val="single" w:sz="4" w:space="0" w:color="auto"/>
              <w:left w:val="single" w:sz="4" w:space="0" w:color="auto"/>
              <w:bottom w:val="single" w:sz="4" w:space="0" w:color="auto"/>
              <w:right w:val="single" w:sz="4" w:space="0" w:color="auto"/>
            </w:tcBorders>
            <w:hideMark/>
          </w:tcPr>
          <w:p w14:paraId="6ABB9D3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28FF4977"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DD7259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71C9418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History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0E3E309"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15</w:t>
            </w:r>
          </w:p>
        </w:tc>
        <w:tc>
          <w:tcPr>
            <w:tcW w:w="390" w:type="dxa"/>
            <w:vMerge/>
            <w:tcBorders>
              <w:top w:val="single" w:sz="4" w:space="0" w:color="auto"/>
              <w:left w:val="single" w:sz="4" w:space="0" w:color="auto"/>
              <w:bottom w:val="single" w:sz="4" w:space="0" w:color="auto"/>
              <w:right w:val="single" w:sz="4" w:space="0" w:color="auto"/>
            </w:tcBorders>
            <w:hideMark/>
          </w:tcPr>
          <w:p w14:paraId="5189A80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6C260A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4B233E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37EA87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History of Art</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D11E53A"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tcBorders>
              <w:top w:val="single" w:sz="4" w:space="0" w:color="auto"/>
              <w:left w:val="single" w:sz="4" w:space="0" w:color="auto"/>
              <w:bottom w:val="single" w:sz="4" w:space="0" w:color="auto"/>
              <w:right w:val="single" w:sz="4" w:space="0" w:color="auto"/>
            </w:tcBorders>
            <w:hideMark/>
          </w:tcPr>
          <w:p w14:paraId="4293AF8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2C9AD897" w14:textId="77777777" w:rsidTr="00043827">
        <w:trPr>
          <w:gridAfter w:val="2"/>
          <w:wAfter w:w="954" w:type="dxa"/>
          <w:trHeight w:val="235"/>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A02DBD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AB93DB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HUMANITIES DIVISION Interdisciplinary Courses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F80A709"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6</w:t>
            </w:r>
          </w:p>
        </w:tc>
        <w:tc>
          <w:tcPr>
            <w:tcW w:w="390" w:type="dxa"/>
            <w:vMerge/>
            <w:tcBorders>
              <w:top w:val="single" w:sz="4" w:space="0" w:color="auto"/>
              <w:left w:val="single" w:sz="4" w:space="0" w:color="auto"/>
              <w:bottom w:val="single" w:sz="4" w:space="0" w:color="auto"/>
              <w:right w:val="single" w:sz="4" w:space="0" w:color="auto"/>
            </w:tcBorders>
            <w:hideMark/>
          </w:tcPr>
          <w:p w14:paraId="3594E82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45A25095"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57"/>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4B73EA1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8E7D73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FACULTY OF Linguistics, Philology &amp; Phonetics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137F335"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4</w:t>
            </w:r>
          </w:p>
        </w:tc>
        <w:tc>
          <w:tcPr>
            <w:tcW w:w="390" w:type="dxa"/>
            <w:vMerge/>
            <w:tcBorders>
              <w:top w:val="single" w:sz="4" w:space="0" w:color="auto"/>
              <w:left w:val="single" w:sz="4" w:space="0" w:color="auto"/>
              <w:bottom w:val="single" w:sz="4" w:space="0" w:color="auto"/>
              <w:right w:val="single" w:sz="4" w:space="0" w:color="auto"/>
            </w:tcBorders>
            <w:hideMark/>
          </w:tcPr>
          <w:p w14:paraId="4A7A01C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33CB7EDA" w14:textId="77777777" w:rsidTr="00043827">
        <w:trPr>
          <w:gridAfter w:val="2"/>
          <w:wAfter w:w="954" w:type="dxa"/>
          <w:trHeight w:val="289"/>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EFA4D8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37E09D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FACULTY OF Medieval and Modern Languages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54D55FF"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7</w:t>
            </w:r>
          </w:p>
        </w:tc>
        <w:tc>
          <w:tcPr>
            <w:tcW w:w="390" w:type="dxa"/>
            <w:vMerge/>
            <w:tcBorders>
              <w:top w:val="single" w:sz="4" w:space="0" w:color="auto"/>
              <w:left w:val="single" w:sz="4" w:space="0" w:color="auto"/>
              <w:bottom w:val="single" w:sz="4" w:space="0" w:color="auto"/>
              <w:right w:val="single" w:sz="4" w:space="0" w:color="auto"/>
            </w:tcBorders>
            <w:hideMark/>
          </w:tcPr>
          <w:p w14:paraId="32E91B5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6843D95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0CE304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11F381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Music</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5B870F9"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8</w:t>
            </w:r>
          </w:p>
        </w:tc>
        <w:tc>
          <w:tcPr>
            <w:tcW w:w="390" w:type="dxa"/>
            <w:vMerge/>
            <w:tcBorders>
              <w:top w:val="single" w:sz="4" w:space="0" w:color="auto"/>
              <w:left w:val="single" w:sz="4" w:space="0" w:color="auto"/>
              <w:bottom w:val="single" w:sz="4" w:space="0" w:color="auto"/>
              <w:right w:val="single" w:sz="4" w:space="0" w:color="auto"/>
            </w:tcBorders>
            <w:hideMark/>
          </w:tcPr>
          <w:p w14:paraId="4FD2E26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2F0535E4"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DF4BAB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0ACB4F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Oriental Studies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CA7F698"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31</w:t>
            </w:r>
          </w:p>
        </w:tc>
        <w:tc>
          <w:tcPr>
            <w:tcW w:w="390" w:type="dxa"/>
            <w:vMerge/>
            <w:tcBorders>
              <w:top w:val="single" w:sz="4" w:space="0" w:color="auto"/>
              <w:left w:val="single" w:sz="4" w:space="0" w:color="auto"/>
              <w:bottom w:val="single" w:sz="4" w:space="0" w:color="auto"/>
              <w:right w:val="single" w:sz="4" w:space="0" w:color="auto"/>
            </w:tcBorders>
            <w:hideMark/>
          </w:tcPr>
          <w:p w14:paraId="52AC174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B9F3C15"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5F1296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FCED38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Philosophy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C968E6D"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36E2F35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54436EF0"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6D0D0C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73E6A31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FACULTY OF Theology and Religion</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20B4454"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16</w:t>
            </w:r>
          </w:p>
        </w:tc>
        <w:tc>
          <w:tcPr>
            <w:tcW w:w="390" w:type="dxa"/>
            <w:vMerge/>
            <w:tcBorders>
              <w:top w:val="single" w:sz="4" w:space="0" w:color="auto"/>
              <w:left w:val="single" w:sz="4" w:space="0" w:color="auto"/>
              <w:bottom w:val="single" w:sz="4" w:space="0" w:color="auto"/>
              <w:right w:val="single" w:sz="4" w:space="0" w:color="auto"/>
            </w:tcBorders>
            <w:hideMark/>
          </w:tcPr>
          <w:p w14:paraId="3549335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2564E6E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val="restart"/>
            <w:tcBorders>
              <w:top w:val="single" w:sz="4" w:space="0" w:color="auto"/>
              <w:left w:val="single" w:sz="4" w:space="0" w:color="auto"/>
              <w:bottom w:val="single" w:sz="4" w:space="0" w:color="auto"/>
              <w:right w:val="single" w:sz="4" w:space="0" w:color="auto"/>
            </w:tcBorders>
            <w:hideMark/>
          </w:tcPr>
          <w:p w14:paraId="3A03E154"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Mathematical, Physical and Life Sciences Division</w:t>
            </w:r>
          </w:p>
        </w:tc>
        <w:tc>
          <w:tcPr>
            <w:tcW w:w="5251" w:type="dxa"/>
            <w:gridSpan w:val="11"/>
            <w:tcBorders>
              <w:top w:val="single" w:sz="4" w:space="0" w:color="auto"/>
              <w:left w:val="single" w:sz="4" w:space="0" w:color="auto"/>
              <w:bottom w:val="single" w:sz="4" w:space="0" w:color="auto"/>
              <w:right w:val="single" w:sz="4" w:space="0" w:color="auto"/>
            </w:tcBorders>
            <w:hideMark/>
          </w:tcPr>
          <w:p w14:paraId="41E81BD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Chemistry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0802BFF"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12</w:t>
            </w:r>
          </w:p>
        </w:tc>
        <w:tc>
          <w:tcPr>
            <w:tcW w:w="390" w:type="dxa"/>
            <w:vMerge w:val="restart"/>
            <w:tcBorders>
              <w:top w:val="single" w:sz="4" w:space="0" w:color="auto"/>
              <w:left w:val="single" w:sz="4" w:space="0" w:color="auto"/>
              <w:bottom w:val="single" w:sz="4" w:space="0" w:color="auto"/>
              <w:right w:val="single" w:sz="4" w:space="0" w:color="auto"/>
            </w:tcBorders>
            <w:noWrap/>
            <w:hideMark/>
          </w:tcPr>
          <w:p w14:paraId="50248DE8"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60</w:t>
            </w:r>
          </w:p>
        </w:tc>
      </w:tr>
      <w:tr w:rsidR="001C5F76" w:rsidRPr="00485F85" w14:paraId="422DBD6B"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AFC221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5B56A5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Computer Science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BBE0B43"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6</w:t>
            </w:r>
          </w:p>
        </w:tc>
        <w:tc>
          <w:tcPr>
            <w:tcW w:w="390" w:type="dxa"/>
            <w:vMerge/>
            <w:tcBorders>
              <w:top w:val="single" w:sz="4" w:space="0" w:color="auto"/>
              <w:left w:val="single" w:sz="4" w:space="0" w:color="auto"/>
              <w:bottom w:val="single" w:sz="4" w:space="0" w:color="auto"/>
              <w:right w:val="single" w:sz="4" w:space="0" w:color="auto"/>
            </w:tcBorders>
            <w:hideMark/>
          </w:tcPr>
          <w:p w14:paraId="04C2D9E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0C4C647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25"/>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FC8978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7D6AC25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MATHEMATICAL, PHYSICAL AND LIFE SCIENCES Doctoral Training Centre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3AEF780"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2</w:t>
            </w:r>
          </w:p>
        </w:tc>
        <w:tc>
          <w:tcPr>
            <w:tcW w:w="390" w:type="dxa"/>
            <w:vMerge/>
            <w:tcBorders>
              <w:top w:val="single" w:sz="4" w:space="0" w:color="auto"/>
              <w:left w:val="single" w:sz="4" w:space="0" w:color="auto"/>
              <w:bottom w:val="single" w:sz="4" w:space="0" w:color="auto"/>
              <w:right w:val="single" w:sz="4" w:space="0" w:color="auto"/>
            </w:tcBorders>
            <w:hideMark/>
          </w:tcPr>
          <w:p w14:paraId="6A59A64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420D8FD0"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9B6A99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1F9575A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Earth 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3CE5E8E"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5F0E48D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286BD4D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D52F66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12C2BC9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Engineering Science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3C975B2"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11</w:t>
            </w:r>
          </w:p>
        </w:tc>
        <w:tc>
          <w:tcPr>
            <w:tcW w:w="390" w:type="dxa"/>
            <w:vMerge/>
            <w:tcBorders>
              <w:top w:val="single" w:sz="4" w:space="0" w:color="auto"/>
              <w:left w:val="single" w:sz="4" w:space="0" w:color="auto"/>
              <w:bottom w:val="single" w:sz="4" w:space="0" w:color="auto"/>
              <w:right w:val="single" w:sz="4" w:space="0" w:color="auto"/>
            </w:tcBorders>
            <w:hideMark/>
          </w:tcPr>
          <w:p w14:paraId="72B5182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639D3621" w14:textId="77777777" w:rsidTr="00043827">
        <w:trPr>
          <w:gridAfter w:val="2"/>
          <w:wAfter w:w="954" w:type="dxa"/>
          <w:trHeight w:val="131"/>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4BD081E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1913B62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DOCTORAL TRAINING PARTNERSHIP Environmental Research</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43F19EF"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23D2A8A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5891708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1328EE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BA19BA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Materials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1DDE834"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2</w:t>
            </w:r>
          </w:p>
        </w:tc>
        <w:tc>
          <w:tcPr>
            <w:tcW w:w="390" w:type="dxa"/>
            <w:vMerge/>
            <w:tcBorders>
              <w:top w:val="single" w:sz="4" w:space="0" w:color="auto"/>
              <w:left w:val="single" w:sz="4" w:space="0" w:color="auto"/>
              <w:bottom w:val="single" w:sz="4" w:space="0" w:color="auto"/>
              <w:right w:val="single" w:sz="4" w:space="0" w:color="auto"/>
            </w:tcBorders>
            <w:hideMark/>
          </w:tcPr>
          <w:p w14:paraId="6922011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1014836E"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E95DCD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645944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Mathematical Institute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656F4F0"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8</w:t>
            </w:r>
          </w:p>
        </w:tc>
        <w:tc>
          <w:tcPr>
            <w:tcW w:w="390" w:type="dxa"/>
            <w:vMerge/>
            <w:tcBorders>
              <w:top w:val="single" w:sz="4" w:space="0" w:color="auto"/>
              <w:left w:val="single" w:sz="4" w:space="0" w:color="auto"/>
              <w:bottom w:val="single" w:sz="4" w:space="0" w:color="auto"/>
              <w:right w:val="single" w:sz="4" w:space="0" w:color="auto"/>
            </w:tcBorders>
            <w:hideMark/>
          </w:tcPr>
          <w:p w14:paraId="70FF600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6F9A7D3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E02C92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BEB03B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Physics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11F9EF07"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7</w:t>
            </w:r>
          </w:p>
        </w:tc>
        <w:tc>
          <w:tcPr>
            <w:tcW w:w="390" w:type="dxa"/>
            <w:vMerge/>
            <w:tcBorders>
              <w:top w:val="single" w:sz="4" w:space="0" w:color="auto"/>
              <w:left w:val="single" w:sz="4" w:space="0" w:color="auto"/>
              <w:bottom w:val="single" w:sz="4" w:space="0" w:color="auto"/>
              <w:right w:val="single" w:sz="4" w:space="0" w:color="auto"/>
            </w:tcBorders>
            <w:hideMark/>
          </w:tcPr>
          <w:p w14:paraId="3C53A2D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47299411"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4C1F3B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FB01D7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Plant 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267DBA3"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7561E20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7CC171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122228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5933A0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Statistics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C2720F2"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7</w:t>
            </w:r>
          </w:p>
        </w:tc>
        <w:tc>
          <w:tcPr>
            <w:tcW w:w="390" w:type="dxa"/>
            <w:vMerge/>
            <w:tcBorders>
              <w:top w:val="single" w:sz="4" w:space="0" w:color="auto"/>
              <w:left w:val="single" w:sz="4" w:space="0" w:color="auto"/>
              <w:bottom w:val="single" w:sz="4" w:space="0" w:color="auto"/>
              <w:right w:val="single" w:sz="4" w:space="0" w:color="auto"/>
            </w:tcBorders>
            <w:hideMark/>
          </w:tcPr>
          <w:p w14:paraId="3427D96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4CEE6389"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B9DA81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1A45535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Zoology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09B0F3D"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2</w:t>
            </w:r>
          </w:p>
        </w:tc>
        <w:tc>
          <w:tcPr>
            <w:tcW w:w="390" w:type="dxa"/>
            <w:vMerge/>
            <w:tcBorders>
              <w:top w:val="single" w:sz="4" w:space="0" w:color="auto"/>
              <w:left w:val="single" w:sz="4" w:space="0" w:color="auto"/>
              <w:bottom w:val="single" w:sz="4" w:space="0" w:color="auto"/>
              <w:right w:val="single" w:sz="4" w:space="0" w:color="auto"/>
            </w:tcBorders>
            <w:hideMark/>
          </w:tcPr>
          <w:p w14:paraId="07A480D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2CDF618B"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val="restart"/>
            <w:tcBorders>
              <w:top w:val="single" w:sz="4" w:space="0" w:color="auto"/>
              <w:left w:val="single" w:sz="4" w:space="0" w:color="auto"/>
              <w:bottom w:val="single" w:sz="4" w:space="0" w:color="auto"/>
              <w:right w:val="single" w:sz="4" w:space="0" w:color="auto"/>
            </w:tcBorders>
            <w:hideMark/>
          </w:tcPr>
          <w:p w14:paraId="706D4C8B"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Medical Sciences Division</w:t>
            </w:r>
          </w:p>
        </w:tc>
        <w:tc>
          <w:tcPr>
            <w:tcW w:w="5251" w:type="dxa"/>
            <w:gridSpan w:val="11"/>
            <w:tcBorders>
              <w:top w:val="single" w:sz="4" w:space="0" w:color="auto"/>
              <w:left w:val="single" w:sz="4" w:space="0" w:color="auto"/>
              <w:bottom w:val="single" w:sz="4" w:space="0" w:color="auto"/>
              <w:right w:val="single" w:sz="4" w:space="0" w:color="auto"/>
            </w:tcBorders>
            <w:hideMark/>
          </w:tcPr>
          <w:p w14:paraId="2C1E5F2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Biochemistry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435B30A"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val="restart"/>
            <w:tcBorders>
              <w:top w:val="single" w:sz="4" w:space="0" w:color="auto"/>
              <w:left w:val="single" w:sz="4" w:space="0" w:color="auto"/>
              <w:bottom w:val="single" w:sz="4" w:space="0" w:color="auto"/>
              <w:right w:val="single" w:sz="4" w:space="0" w:color="auto"/>
            </w:tcBorders>
            <w:noWrap/>
            <w:hideMark/>
          </w:tcPr>
          <w:p w14:paraId="3B2245DF"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92</w:t>
            </w:r>
          </w:p>
        </w:tc>
      </w:tr>
      <w:tr w:rsidR="001C5F76" w:rsidRPr="00485F85" w14:paraId="3DA74D3B" w14:textId="77777777" w:rsidTr="00043827">
        <w:trPr>
          <w:gridAfter w:val="2"/>
          <w:wAfter w:w="954" w:type="dxa"/>
          <w:trHeight w:val="334"/>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0ADC9B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761F6DF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Clinical Medicine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ECB187E"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4</w:t>
            </w:r>
          </w:p>
        </w:tc>
        <w:tc>
          <w:tcPr>
            <w:tcW w:w="390" w:type="dxa"/>
            <w:vMerge/>
            <w:tcBorders>
              <w:top w:val="single" w:sz="4" w:space="0" w:color="auto"/>
              <w:left w:val="single" w:sz="4" w:space="0" w:color="auto"/>
              <w:bottom w:val="single" w:sz="4" w:space="0" w:color="auto"/>
              <w:right w:val="single" w:sz="4" w:space="0" w:color="auto"/>
            </w:tcBorders>
            <w:hideMark/>
          </w:tcPr>
          <w:p w14:paraId="4077593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575AC35"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4"/>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64AA2A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84DDE4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Clinical Neurosciences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E55BAFD"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6</w:t>
            </w:r>
          </w:p>
        </w:tc>
        <w:tc>
          <w:tcPr>
            <w:tcW w:w="390" w:type="dxa"/>
            <w:vMerge/>
            <w:tcBorders>
              <w:top w:val="single" w:sz="4" w:space="0" w:color="auto"/>
              <w:left w:val="single" w:sz="4" w:space="0" w:color="auto"/>
              <w:bottom w:val="single" w:sz="4" w:space="0" w:color="auto"/>
              <w:right w:val="single" w:sz="4" w:space="0" w:color="auto"/>
            </w:tcBorders>
            <w:hideMark/>
          </w:tcPr>
          <w:p w14:paraId="29F34A4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77A1501A" w14:textId="77777777" w:rsidTr="00043827">
        <w:trPr>
          <w:gridAfter w:val="2"/>
          <w:wAfter w:w="954" w:type="dxa"/>
          <w:trHeight w:val="525"/>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3E5C575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778FF95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OXFORD INSTITUTE OF Clinical Psychology Training</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95CD8FD"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29FD5B3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05A3E76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1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28AF0B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740FB9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MEDICAL SCIENCES Doctoral Training Centre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3008D4E"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12</w:t>
            </w:r>
          </w:p>
        </w:tc>
        <w:tc>
          <w:tcPr>
            <w:tcW w:w="390" w:type="dxa"/>
            <w:vMerge/>
            <w:tcBorders>
              <w:top w:val="single" w:sz="4" w:space="0" w:color="auto"/>
              <w:left w:val="single" w:sz="4" w:space="0" w:color="auto"/>
              <w:bottom w:val="single" w:sz="4" w:space="0" w:color="auto"/>
              <w:right w:val="single" w:sz="4" w:space="0" w:color="auto"/>
            </w:tcBorders>
            <w:hideMark/>
          </w:tcPr>
          <w:p w14:paraId="47398B5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71788EA1"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BEFF2A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F3D44B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Experimental Psychology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C81FC1F"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11B1EA5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1513A4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3904B41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47CDA8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RADCLIFFE DEPARTMENT OF Medicine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4D730AC"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0E731DF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357EFCAA" w14:textId="77777777" w:rsidTr="00043827">
        <w:trPr>
          <w:gridAfter w:val="2"/>
          <w:wAfter w:w="954" w:type="dxa"/>
          <w:trHeight w:val="315"/>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435ED2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3D76A3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OXFORD Neuroscience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A12047C"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2</w:t>
            </w:r>
          </w:p>
        </w:tc>
        <w:tc>
          <w:tcPr>
            <w:tcW w:w="390" w:type="dxa"/>
            <w:vMerge/>
            <w:tcBorders>
              <w:top w:val="single" w:sz="4" w:space="0" w:color="auto"/>
              <w:left w:val="single" w:sz="4" w:space="0" w:color="auto"/>
              <w:bottom w:val="single" w:sz="4" w:space="0" w:color="auto"/>
              <w:right w:val="single" w:sz="4" w:space="0" w:color="auto"/>
            </w:tcBorders>
            <w:hideMark/>
          </w:tcPr>
          <w:p w14:paraId="504300B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8E83DD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3AFE89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E7AB2B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Oncology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427B3E1"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322CB9F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3B5072AE" w14:textId="77777777" w:rsidTr="00043827">
        <w:trPr>
          <w:gridAfter w:val="2"/>
          <w:wAfter w:w="954" w:type="dxa"/>
          <w:trHeight w:val="586"/>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098F83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775FAD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Orthopaedics, Rheumatology and Musculoskeletal 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423F24D"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10</w:t>
            </w:r>
          </w:p>
        </w:tc>
        <w:tc>
          <w:tcPr>
            <w:tcW w:w="390" w:type="dxa"/>
            <w:vMerge/>
            <w:tcBorders>
              <w:top w:val="single" w:sz="4" w:space="0" w:color="auto"/>
              <w:left w:val="single" w:sz="4" w:space="0" w:color="auto"/>
              <w:bottom w:val="single" w:sz="4" w:space="0" w:color="auto"/>
              <w:right w:val="single" w:sz="4" w:space="0" w:color="auto"/>
            </w:tcBorders>
            <w:hideMark/>
          </w:tcPr>
          <w:p w14:paraId="0213592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2B7DA8AA"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84C4F9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295035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Paediatrics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9AD9A4F"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4</w:t>
            </w:r>
          </w:p>
        </w:tc>
        <w:tc>
          <w:tcPr>
            <w:tcW w:w="390" w:type="dxa"/>
            <w:vMerge/>
            <w:tcBorders>
              <w:top w:val="single" w:sz="4" w:space="0" w:color="auto"/>
              <w:left w:val="single" w:sz="4" w:space="0" w:color="auto"/>
              <w:bottom w:val="single" w:sz="4" w:space="0" w:color="auto"/>
              <w:right w:val="single" w:sz="4" w:space="0" w:color="auto"/>
            </w:tcBorders>
            <w:hideMark/>
          </w:tcPr>
          <w:p w14:paraId="4405BF0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00EF426C"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EBC3BA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64A455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SIR WILLIAM DUNN SCHOOL OF Pathology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A533794"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w:t>
            </w:r>
          </w:p>
        </w:tc>
        <w:tc>
          <w:tcPr>
            <w:tcW w:w="390" w:type="dxa"/>
            <w:vMerge/>
            <w:tcBorders>
              <w:top w:val="single" w:sz="4" w:space="0" w:color="auto"/>
              <w:left w:val="single" w:sz="4" w:space="0" w:color="auto"/>
              <w:bottom w:val="single" w:sz="4" w:space="0" w:color="auto"/>
              <w:right w:val="single" w:sz="4" w:space="0" w:color="auto"/>
            </w:tcBorders>
            <w:hideMark/>
          </w:tcPr>
          <w:p w14:paraId="7588173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1B072E6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5D3C79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589C684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Pharmacology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3589C26"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tcBorders>
              <w:top w:val="single" w:sz="4" w:space="0" w:color="auto"/>
              <w:left w:val="single" w:sz="4" w:space="0" w:color="auto"/>
              <w:bottom w:val="single" w:sz="4" w:space="0" w:color="auto"/>
              <w:right w:val="single" w:sz="4" w:space="0" w:color="auto"/>
            </w:tcBorders>
            <w:hideMark/>
          </w:tcPr>
          <w:p w14:paraId="796B0E0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166E7CA9" w14:textId="77777777" w:rsidTr="00043827">
        <w:trPr>
          <w:gridAfter w:val="2"/>
          <w:wAfter w:w="954" w:type="dxa"/>
          <w:trHeight w:val="197"/>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D8B7D2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B4E392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DEPARTMENT OF Physiology, Anatomy &amp; Genetics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2F39FA7"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2</w:t>
            </w:r>
          </w:p>
        </w:tc>
        <w:tc>
          <w:tcPr>
            <w:tcW w:w="390" w:type="dxa"/>
            <w:vMerge/>
            <w:tcBorders>
              <w:top w:val="single" w:sz="4" w:space="0" w:color="auto"/>
              <w:left w:val="single" w:sz="4" w:space="0" w:color="auto"/>
              <w:bottom w:val="single" w:sz="4" w:space="0" w:color="auto"/>
              <w:right w:val="single" w:sz="4" w:space="0" w:color="auto"/>
            </w:tcBorders>
            <w:hideMark/>
          </w:tcPr>
          <w:p w14:paraId="4740A7B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1D10A89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29"/>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7B111D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F05887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Population Health</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252367F"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47016F1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5A98C4E8" w14:textId="77777777" w:rsidTr="00043827">
        <w:trPr>
          <w:gridAfter w:val="2"/>
          <w:wAfter w:w="954" w:type="dxa"/>
          <w:trHeight w:val="247"/>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32088C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22B8DD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Primary Care Health 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BEE15C6"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14</w:t>
            </w:r>
          </w:p>
        </w:tc>
        <w:tc>
          <w:tcPr>
            <w:tcW w:w="390" w:type="dxa"/>
            <w:vMerge/>
            <w:tcBorders>
              <w:top w:val="single" w:sz="4" w:space="0" w:color="auto"/>
              <w:left w:val="single" w:sz="4" w:space="0" w:color="auto"/>
              <w:bottom w:val="single" w:sz="4" w:space="0" w:color="auto"/>
              <w:right w:val="single" w:sz="4" w:space="0" w:color="auto"/>
            </w:tcBorders>
            <w:hideMark/>
          </w:tcPr>
          <w:p w14:paraId="07C6398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4049881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31C6D73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43B382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Psychiatry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EE58AC7"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6</w:t>
            </w:r>
          </w:p>
        </w:tc>
        <w:tc>
          <w:tcPr>
            <w:tcW w:w="390" w:type="dxa"/>
            <w:vMerge/>
            <w:tcBorders>
              <w:top w:val="single" w:sz="4" w:space="0" w:color="auto"/>
              <w:left w:val="single" w:sz="4" w:space="0" w:color="auto"/>
              <w:bottom w:val="single" w:sz="4" w:space="0" w:color="auto"/>
              <w:right w:val="single" w:sz="4" w:space="0" w:color="auto"/>
            </w:tcBorders>
            <w:hideMark/>
          </w:tcPr>
          <w:p w14:paraId="2709DBF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14ECA625" w14:textId="77777777" w:rsidTr="00043827">
        <w:trPr>
          <w:gridAfter w:val="2"/>
          <w:wAfter w:w="954" w:type="dxa"/>
          <w:trHeight w:val="255"/>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FF7055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294C7C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Surgical Sciences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0C0E9B8"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43D31C2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D1207F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59"/>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5AE8AF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4162868"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Nuffield Department of Women's &amp; Reproductive Health</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118EF3C"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tcBorders>
              <w:top w:val="single" w:sz="4" w:space="0" w:color="auto"/>
              <w:left w:val="single" w:sz="4" w:space="0" w:color="auto"/>
              <w:bottom w:val="single" w:sz="4" w:space="0" w:color="auto"/>
              <w:right w:val="single" w:sz="4" w:space="0" w:color="auto"/>
            </w:tcBorders>
            <w:hideMark/>
          </w:tcPr>
          <w:p w14:paraId="349E6EE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2962B5E2" w14:textId="77777777" w:rsidTr="00043827">
        <w:trPr>
          <w:gridAfter w:val="2"/>
          <w:wAfter w:w="954" w:type="dxa"/>
          <w:trHeight w:val="291"/>
        </w:trPr>
        <w:tc>
          <w:tcPr>
            <w:cnfStyle w:val="001000000000" w:firstRow="0" w:lastRow="0" w:firstColumn="1" w:lastColumn="0" w:oddVBand="0" w:evenVBand="0" w:oddHBand="0" w:evenHBand="0" w:firstRowFirstColumn="0" w:firstRowLastColumn="0" w:lastRowFirstColumn="0" w:lastRowLastColumn="0"/>
            <w:tcW w:w="2688" w:type="dxa"/>
            <w:gridSpan w:val="2"/>
            <w:vMerge w:val="restart"/>
            <w:tcBorders>
              <w:top w:val="single" w:sz="4" w:space="0" w:color="auto"/>
              <w:left w:val="single" w:sz="4" w:space="0" w:color="auto"/>
              <w:bottom w:val="single" w:sz="4" w:space="0" w:color="auto"/>
              <w:right w:val="single" w:sz="4" w:space="0" w:color="auto"/>
            </w:tcBorders>
            <w:hideMark/>
          </w:tcPr>
          <w:p w14:paraId="77C83E7F" w14:textId="77777777" w:rsidR="001C5F76" w:rsidRPr="00485F85" w:rsidRDefault="001C5F76" w:rsidP="009C02E6">
            <w:pPr>
              <w:tabs>
                <w:tab w:val="clear" w:pos="1615"/>
              </w:tabs>
              <w:spacing w:line="360" w:lineRule="auto"/>
              <w:jc w:val="center"/>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Social Sciences Division</w:t>
            </w:r>
          </w:p>
        </w:tc>
        <w:tc>
          <w:tcPr>
            <w:tcW w:w="5251" w:type="dxa"/>
            <w:gridSpan w:val="11"/>
            <w:tcBorders>
              <w:top w:val="single" w:sz="4" w:space="0" w:color="auto"/>
              <w:left w:val="single" w:sz="4" w:space="0" w:color="auto"/>
              <w:bottom w:val="single" w:sz="4" w:space="0" w:color="auto"/>
              <w:right w:val="single" w:sz="4" w:space="0" w:color="auto"/>
            </w:tcBorders>
            <w:hideMark/>
          </w:tcPr>
          <w:p w14:paraId="5812734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SCHOOL OF Anthropology and Museum Ethnography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6DDC01D"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12</w:t>
            </w:r>
          </w:p>
        </w:tc>
        <w:tc>
          <w:tcPr>
            <w:tcW w:w="390" w:type="dxa"/>
            <w:vMerge w:val="restart"/>
            <w:tcBorders>
              <w:top w:val="single" w:sz="4" w:space="0" w:color="auto"/>
              <w:left w:val="single" w:sz="4" w:space="0" w:color="auto"/>
              <w:bottom w:val="single" w:sz="4" w:space="0" w:color="auto"/>
              <w:right w:val="single" w:sz="4" w:space="0" w:color="auto"/>
            </w:tcBorders>
            <w:noWrap/>
            <w:hideMark/>
          </w:tcPr>
          <w:p w14:paraId="141FF766"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148</w:t>
            </w:r>
          </w:p>
        </w:tc>
      </w:tr>
      <w:tr w:rsidR="009C02E6" w:rsidRPr="00485F85" w14:paraId="3A2DFDF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4AE870E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5240F50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SCHOOL OF Archaeology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1062CCC"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7</w:t>
            </w:r>
          </w:p>
        </w:tc>
        <w:tc>
          <w:tcPr>
            <w:tcW w:w="390" w:type="dxa"/>
            <w:vMerge/>
            <w:tcBorders>
              <w:top w:val="single" w:sz="4" w:space="0" w:color="auto"/>
              <w:left w:val="single" w:sz="4" w:space="0" w:color="auto"/>
              <w:bottom w:val="single" w:sz="4" w:space="0" w:color="auto"/>
              <w:right w:val="single" w:sz="4" w:space="0" w:color="auto"/>
            </w:tcBorders>
            <w:hideMark/>
          </w:tcPr>
          <w:p w14:paraId="04F15A9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5CAD037B"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174F12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E53574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SAÏD Business School</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6E473167"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14</w:t>
            </w:r>
          </w:p>
        </w:tc>
        <w:tc>
          <w:tcPr>
            <w:tcW w:w="390" w:type="dxa"/>
            <w:vMerge/>
            <w:tcBorders>
              <w:top w:val="single" w:sz="4" w:space="0" w:color="auto"/>
              <w:left w:val="single" w:sz="4" w:space="0" w:color="auto"/>
              <w:bottom w:val="single" w:sz="4" w:space="0" w:color="auto"/>
              <w:right w:val="single" w:sz="4" w:space="0" w:color="auto"/>
            </w:tcBorders>
            <w:hideMark/>
          </w:tcPr>
          <w:p w14:paraId="3C3F1FA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FC411E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46B750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5975643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CENTRE FOR Criminology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079331C9"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4</w:t>
            </w:r>
          </w:p>
        </w:tc>
        <w:tc>
          <w:tcPr>
            <w:tcW w:w="390" w:type="dxa"/>
            <w:vMerge/>
            <w:tcBorders>
              <w:top w:val="single" w:sz="4" w:space="0" w:color="auto"/>
              <w:left w:val="single" w:sz="4" w:space="0" w:color="auto"/>
              <w:bottom w:val="single" w:sz="4" w:space="0" w:color="auto"/>
              <w:right w:val="single" w:sz="4" w:space="0" w:color="auto"/>
            </w:tcBorders>
            <w:hideMark/>
          </w:tcPr>
          <w:p w14:paraId="34E99348"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619812E0"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1FEF1E6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36E802E"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Economics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1383CFA"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8</w:t>
            </w:r>
          </w:p>
        </w:tc>
        <w:tc>
          <w:tcPr>
            <w:tcW w:w="390" w:type="dxa"/>
            <w:vMerge/>
            <w:tcBorders>
              <w:top w:val="single" w:sz="4" w:space="0" w:color="auto"/>
              <w:left w:val="single" w:sz="4" w:space="0" w:color="auto"/>
              <w:bottom w:val="single" w:sz="4" w:space="0" w:color="auto"/>
              <w:right w:val="single" w:sz="4" w:space="0" w:color="auto"/>
            </w:tcBorders>
            <w:hideMark/>
          </w:tcPr>
          <w:p w14:paraId="55881B9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211A29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219081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558701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Education</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1CCFEC82"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15</w:t>
            </w:r>
          </w:p>
        </w:tc>
        <w:tc>
          <w:tcPr>
            <w:tcW w:w="390" w:type="dxa"/>
            <w:vMerge/>
            <w:tcBorders>
              <w:top w:val="single" w:sz="4" w:space="0" w:color="auto"/>
              <w:left w:val="single" w:sz="4" w:space="0" w:color="auto"/>
              <w:bottom w:val="single" w:sz="4" w:space="0" w:color="auto"/>
              <w:right w:val="single" w:sz="4" w:space="0" w:color="auto"/>
            </w:tcBorders>
            <w:hideMark/>
          </w:tcPr>
          <w:p w14:paraId="6FB0F0C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2DCE27E8" w14:textId="77777777" w:rsidTr="00043827">
        <w:trPr>
          <w:gridAfter w:val="2"/>
          <w:wAfter w:w="954" w:type="dxa"/>
          <w:trHeight w:val="261"/>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2997396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2982B17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SCHOOL OF Geography and the Environment</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15DFC64E"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11</w:t>
            </w:r>
          </w:p>
        </w:tc>
        <w:tc>
          <w:tcPr>
            <w:tcW w:w="390" w:type="dxa"/>
            <w:vMerge/>
            <w:tcBorders>
              <w:top w:val="single" w:sz="4" w:space="0" w:color="auto"/>
              <w:left w:val="single" w:sz="4" w:space="0" w:color="auto"/>
              <w:bottom w:val="single" w:sz="4" w:space="0" w:color="auto"/>
              <w:right w:val="single" w:sz="4" w:space="0" w:color="auto"/>
            </w:tcBorders>
            <w:hideMark/>
          </w:tcPr>
          <w:p w14:paraId="44C7532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E48885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8DDCB3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FC9F85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SCHOOL OF Global and Area Studies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1247EE28"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14</w:t>
            </w:r>
          </w:p>
        </w:tc>
        <w:tc>
          <w:tcPr>
            <w:tcW w:w="390" w:type="dxa"/>
            <w:vMerge/>
            <w:tcBorders>
              <w:top w:val="single" w:sz="4" w:space="0" w:color="auto"/>
              <w:left w:val="single" w:sz="4" w:space="0" w:color="auto"/>
              <w:bottom w:val="single" w:sz="4" w:space="0" w:color="auto"/>
              <w:right w:val="single" w:sz="4" w:space="0" w:color="auto"/>
            </w:tcBorders>
            <w:hideMark/>
          </w:tcPr>
          <w:p w14:paraId="6C8826E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73A0F946"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FA33C2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3447C07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BLAVATNIK SCHOOL OF Government</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3FAF91D6"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tcBorders>
              <w:top w:val="single" w:sz="4" w:space="0" w:color="auto"/>
              <w:left w:val="single" w:sz="4" w:space="0" w:color="auto"/>
              <w:bottom w:val="single" w:sz="4" w:space="0" w:color="auto"/>
              <w:right w:val="single" w:sz="4" w:space="0" w:color="auto"/>
            </w:tcBorders>
            <w:hideMark/>
          </w:tcPr>
          <w:p w14:paraId="4D7A9B3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2FBC109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31"/>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187D50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5304959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OXFORD DEPARTMENT OF International Development</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1EC4541"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9</w:t>
            </w:r>
          </w:p>
        </w:tc>
        <w:tc>
          <w:tcPr>
            <w:tcW w:w="390" w:type="dxa"/>
            <w:vMerge/>
            <w:tcBorders>
              <w:top w:val="single" w:sz="4" w:space="0" w:color="auto"/>
              <w:left w:val="single" w:sz="4" w:space="0" w:color="auto"/>
              <w:bottom w:val="single" w:sz="4" w:space="0" w:color="auto"/>
              <w:right w:val="single" w:sz="4" w:space="0" w:color="auto"/>
            </w:tcBorders>
            <w:hideMark/>
          </w:tcPr>
          <w:p w14:paraId="1029D42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6A14DB6F"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5CD459F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598B9FD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OXFORD Internet Institute</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C8099EE"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10</w:t>
            </w:r>
          </w:p>
        </w:tc>
        <w:tc>
          <w:tcPr>
            <w:tcW w:w="390" w:type="dxa"/>
            <w:vMerge/>
            <w:tcBorders>
              <w:top w:val="single" w:sz="4" w:space="0" w:color="auto"/>
              <w:left w:val="single" w:sz="4" w:space="0" w:color="auto"/>
              <w:bottom w:val="single" w:sz="4" w:space="0" w:color="auto"/>
              <w:right w:val="single" w:sz="4" w:space="0" w:color="auto"/>
            </w:tcBorders>
            <w:hideMark/>
          </w:tcPr>
          <w:p w14:paraId="4C9E259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762109F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3D33196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6C62435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FACULTY OF Law</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10BEEA14"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15</w:t>
            </w:r>
          </w:p>
        </w:tc>
        <w:tc>
          <w:tcPr>
            <w:tcW w:w="390" w:type="dxa"/>
            <w:vMerge/>
            <w:tcBorders>
              <w:top w:val="single" w:sz="4" w:space="0" w:color="auto"/>
              <w:left w:val="single" w:sz="4" w:space="0" w:color="auto"/>
              <w:bottom w:val="single" w:sz="4" w:space="0" w:color="auto"/>
              <w:right w:val="single" w:sz="4" w:space="0" w:color="auto"/>
            </w:tcBorders>
            <w:hideMark/>
          </w:tcPr>
          <w:p w14:paraId="0726CA0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1CC2F4C3" w14:textId="77777777" w:rsidTr="00043827">
        <w:trPr>
          <w:gridAfter w:val="2"/>
          <w:wAfter w:w="954" w:type="dxa"/>
          <w:trHeight w:val="214"/>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C88350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0662CF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DEPARTMENT OF Politics and International Relations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2AD81C8F"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10</w:t>
            </w:r>
          </w:p>
        </w:tc>
        <w:tc>
          <w:tcPr>
            <w:tcW w:w="390" w:type="dxa"/>
            <w:vMerge/>
            <w:tcBorders>
              <w:top w:val="single" w:sz="4" w:space="0" w:color="auto"/>
              <w:left w:val="single" w:sz="4" w:space="0" w:color="auto"/>
              <w:bottom w:val="single" w:sz="4" w:space="0" w:color="auto"/>
              <w:right w:val="single" w:sz="4" w:space="0" w:color="auto"/>
            </w:tcBorders>
            <w:hideMark/>
          </w:tcPr>
          <w:p w14:paraId="3FCC541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33CD5F8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33"/>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7E34A0B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4406C8C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en-US" w:eastAsia="pt-BR"/>
              </w:rPr>
            </w:pPr>
            <w:r w:rsidRPr="00485F85">
              <w:rPr>
                <w:rFonts w:asciiTheme="majorHAnsi" w:eastAsia="Times New Roman" w:hAnsiTheme="majorHAnsi" w:cstheme="majorHAnsi"/>
                <w:color w:val="000000"/>
                <w:sz w:val="20"/>
                <w:szCs w:val="20"/>
                <w:lang w:val="en-US" w:eastAsia="pt-BR"/>
              </w:rPr>
              <w:t>DEPARTMENT OF Social Policy and Intervention</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53513F9A"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8</w:t>
            </w:r>
          </w:p>
        </w:tc>
        <w:tc>
          <w:tcPr>
            <w:tcW w:w="390" w:type="dxa"/>
            <w:vMerge/>
            <w:tcBorders>
              <w:top w:val="single" w:sz="4" w:space="0" w:color="auto"/>
              <w:left w:val="single" w:sz="4" w:space="0" w:color="auto"/>
              <w:bottom w:val="single" w:sz="4" w:space="0" w:color="auto"/>
              <w:right w:val="single" w:sz="4" w:space="0" w:color="auto"/>
            </w:tcBorders>
            <w:hideMark/>
          </w:tcPr>
          <w:p w14:paraId="6F01D17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7B6C54A1"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68D698C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BB0093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CENTRE FOR Socio-Legal Studies</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7B5E9E01"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3</w:t>
            </w:r>
          </w:p>
        </w:tc>
        <w:tc>
          <w:tcPr>
            <w:tcW w:w="390" w:type="dxa"/>
            <w:vMerge/>
            <w:tcBorders>
              <w:top w:val="single" w:sz="4" w:space="0" w:color="auto"/>
              <w:left w:val="single" w:sz="4" w:space="0" w:color="auto"/>
              <w:bottom w:val="single" w:sz="4" w:space="0" w:color="auto"/>
              <w:right w:val="single" w:sz="4" w:space="0" w:color="auto"/>
            </w:tcBorders>
            <w:hideMark/>
          </w:tcPr>
          <w:p w14:paraId="77E0857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9C02E6" w:rsidRPr="00485F85" w14:paraId="43856B4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2688" w:type="dxa"/>
            <w:gridSpan w:val="2"/>
            <w:vMerge/>
            <w:tcBorders>
              <w:top w:val="single" w:sz="4" w:space="0" w:color="auto"/>
              <w:left w:val="single" w:sz="4" w:space="0" w:color="auto"/>
              <w:bottom w:val="single" w:sz="4" w:space="0" w:color="auto"/>
              <w:right w:val="single" w:sz="4" w:space="0" w:color="auto"/>
            </w:tcBorders>
            <w:hideMark/>
          </w:tcPr>
          <w:p w14:paraId="05F7AC3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sz w:val="20"/>
                <w:szCs w:val="20"/>
                <w:lang w:eastAsia="pt-BR"/>
              </w:rPr>
            </w:pPr>
          </w:p>
        </w:tc>
        <w:tc>
          <w:tcPr>
            <w:tcW w:w="5251" w:type="dxa"/>
            <w:gridSpan w:val="11"/>
            <w:tcBorders>
              <w:top w:val="single" w:sz="4" w:space="0" w:color="auto"/>
              <w:left w:val="single" w:sz="4" w:space="0" w:color="auto"/>
              <w:bottom w:val="single" w:sz="4" w:space="0" w:color="auto"/>
              <w:right w:val="single" w:sz="4" w:space="0" w:color="auto"/>
            </w:tcBorders>
            <w:hideMark/>
          </w:tcPr>
          <w:p w14:paraId="09955F1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DEPARTMENT OF Sociology</w:t>
            </w:r>
          </w:p>
        </w:tc>
        <w:tc>
          <w:tcPr>
            <w:tcW w:w="1418" w:type="dxa"/>
            <w:gridSpan w:val="3"/>
            <w:tcBorders>
              <w:top w:val="single" w:sz="4" w:space="0" w:color="auto"/>
              <w:left w:val="single" w:sz="4" w:space="0" w:color="auto"/>
              <w:bottom w:val="single" w:sz="4" w:space="0" w:color="auto"/>
              <w:right w:val="single" w:sz="4" w:space="0" w:color="auto"/>
            </w:tcBorders>
            <w:noWrap/>
            <w:hideMark/>
          </w:tcPr>
          <w:p w14:paraId="426EC5C9" w14:textId="77777777" w:rsidR="001C5F76" w:rsidRPr="00485F85" w:rsidRDefault="001C5F76" w:rsidP="009C02E6">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485F85">
              <w:rPr>
                <w:rFonts w:asciiTheme="majorHAnsi" w:eastAsia="Times New Roman" w:hAnsiTheme="majorHAnsi" w:cstheme="majorHAnsi"/>
                <w:color w:val="000000"/>
                <w:sz w:val="20"/>
                <w:szCs w:val="20"/>
                <w:lang w:eastAsia="pt-BR"/>
              </w:rPr>
              <w:t>5</w:t>
            </w:r>
          </w:p>
        </w:tc>
        <w:tc>
          <w:tcPr>
            <w:tcW w:w="390" w:type="dxa"/>
            <w:vMerge/>
            <w:tcBorders>
              <w:top w:val="single" w:sz="4" w:space="0" w:color="auto"/>
              <w:left w:val="single" w:sz="4" w:space="0" w:color="auto"/>
              <w:bottom w:val="single" w:sz="4" w:space="0" w:color="auto"/>
              <w:right w:val="single" w:sz="4" w:space="0" w:color="auto"/>
            </w:tcBorders>
            <w:hideMark/>
          </w:tcPr>
          <w:p w14:paraId="2EA6793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p>
        </w:tc>
      </w:tr>
      <w:tr w:rsidR="001C5F76" w:rsidRPr="00485F85" w14:paraId="41C79B8A"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707262E1"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 xml:space="preserve">Observações: </w:t>
            </w:r>
          </w:p>
        </w:tc>
        <w:tc>
          <w:tcPr>
            <w:tcW w:w="7625" w:type="dxa"/>
            <w:gridSpan w:val="16"/>
            <w:tcBorders>
              <w:top w:val="single" w:sz="4" w:space="0" w:color="auto"/>
              <w:left w:val="single" w:sz="4" w:space="0" w:color="auto"/>
              <w:bottom w:val="single" w:sz="4" w:space="0" w:color="auto"/>
              <w:right w:val="single" w:sz="4" w:space="0" w:color="auto"/>
            </w:tcBorders>
          </w:tcPr>
          <w:p w14:paraId="6F483FE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rPr>
              <w:t xml:space="preserve">Informações retiradas da página </w:t>
            </w:r>
            <w:hyperlink r:id="rId153" w:history="1">
              <w:r w:rsidRPr="00485F85">
                <w:rPr>
                  <w:rFonts w:asciiTheme="majorHAnsi" w:hAnsiTheme="majorHAnsi" w:cstheme="majorHAnsi"/>
                  <w:color w:val="4875BD" w:themeColor="accent1"/>
                  <w:u w:val="single"/>
                </w:rPr>
                <w:t>https://www.ox.ac.uk/admissions/graduate/courses/courses-a-z-listing</w:t>
              </w:r>
            </w:hyperlink>
            <w:r w:rsidRPr="00485F85">
              <w:rPr>
                <w:rFonts w:asciiTheme="majorHAnsi" w:hAnsiTheme="majorHAnsi" w:cstheme="majorHAnsi"/>
              </w:rPr>
              <w:t xml:space="preserve"> . Devido a organização da Universidade a pesquisadora optou por organizar os dados a partir da Divisão Acadêmica e a quantidade de cursos por institutos/departamentos/escolas. Coleta realizada no dia 31 de julho.</w:t>
            </w:r>
          </w:p>
        </w:tc>
      </w:tr>
      <w:tr w:rsidR="001C5F76" w:rsidRPr="00485F85" w14:paraId="19F6501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21A6E044"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t>4.3. Programas de Bolsas e Assistência Estudantil</w:t>
            </w:r>
          </w:p>
        </w:tc>
      </w:tr>
      <w:tr w:rsidR="001C5F76" w:rsidRPr="00485F85" w14:paraId="4A93CF9B"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196B75D3"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4.3.1 Relação e número de bolsas da Graduação e Agência de Fomento</w:t>
            </w:r>
          </w:p>
        </w:tc>
      </w:tr>
      <w:tr w:rsidR="00043827" w:rsidRPr="00485F85" w14:paraId="520E695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4531" w:type="dxa"/>
            <w:gridSpan w:val="8"/>
            <w:tcBorders>
              <w:top w:val="single" w:sz="4" w:space="0" w:color="auto"/>
              <w:left w:val="single" w:sz="4" w:space="0" w:color="auto"/>
              <w:bottom w:val="single" w:sz="4" w:space="0" w:color="auto"/>
              <w:right w:val="single" w:sz="4" w:space="0" w:color="auto"/>
            </w:tcBorders>
          </w:tcPr>
          <w:p w14:paraId="239050BE" w14:textId="77777777" w:rsidR="001C5F76" w:rsidRPr="00485F85" w:rsidRDefault="001C5F76" w:rsidP="009C02E6">
            <w:pPr>
              <w:spacing w:line="360" w:lineRule="auto"/>
              <w:jc w:val="center"/>
              <w:rPr>
                <w:rFonts w:asciiTheme="majorHAnsi" w:hAnsiTheme="majorHAnsi" w:cstheme="majorHAnsi"/>
                <w:b w:val="0"/>
              </w:rPr>
            </w:pPr>
            <w:r w:rsidRPr="00485F85">
              <w:rPr>
                <w:rFonts w:asciiTheme="majorHAnsi" w:hAnsiTheme="majorHAnsi" w:cstheme="majorHAnsi"/>
              </w:rPr>
              <w:t>Nome do Programa</w:t>
            </w:r>
          </w:p>
        </w:tc>
        <w:tc>
          <w:tcPr>
            <w:tcW w:w="2591" w:type="dxa"/>
            <w:gridSpan w:val="4"/>
            <w:tcBorders>
              <w:top w:val="single" w:sz="4" w:space="0" w:color="auto"/>
              <w:left w:val="single" w:sz="4" w:space="0" w:color="auto"/>
              <w:bottom w:val="single" w:sz="4" w:space="0" w:color="auto"/>
              <w:right w:val="single" w:sz="4" w:space="0" w:color="auto"/>
            </w:tcBorders>
          </w:tcPr>
          <w:p w14:paraId="72763DEC"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Número de estudantes atendidos/por área</w:t>
            </w:r>
          </w:p>
        </w:tc>
        <w:tc>
          <w:tcPr>
            <w:tcW w:w="2625" w:type="dxa"/>
            <w:gridSpan w:val="5"/>
            <w:tcBorders>
              <w:top w:val="single" w:sz="4" w:space="0" w:color="auto"/>
              <w:left w:val="single" w:sz="4" w:space="0" w:color="auto"/>
              <w:bottom w:val="single" w:sz="4" w:space="0" w:color="auto"/>
              <w:right w:val="single" w:sz="4" w:space="0" w:color="auto"/>
            </w:tcBorders>
          </w:tcPr>
          <w:p w14:paraId="3D3269B7"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Agência de Fomento</w:t>
            </w:r>
          </w:p>
        </w:tc>
      </w:tr>
      <w:tr w:rsidR="001C5F76" w:rsidRPr="00485F85" w14:paraId="2B233EEE"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noWrap/>
            <w:hideMark/>
          </w:tcPr>
          <w:p w14:paraId="0DED3DD4" w14:textId="77777777" w:rsidR="001C5F76" w:rsidRPr="00485F85" w:rsidRDefault="001C5F76" w:rsidP="009C02E6">
            <w:pPr>
              <w:tabs>
                <w:tab w:val="clear" w:pos="1615"/>
              </w:tabs>
              <w:spacing w:line="360" w:lineRule="auto"/>
              <w:rPr>
                <w:rFonts w:asciiTheme="majorHAnsi" w:eastAsia="Times New Roman" w:hAnsiTheme="majorHAnsi" w:cstheme="majorHAnsi"/>
                <w:b w:val="0"/>
                <w:bCs w:val="0"/>
                <w:color w:val="000000"/>
                <w:lang w:eastAsia="pt-BR"/>
              </w:rPr>
            </w:pPr>
            <w:r w:rsidRPr="00485F85">
              <w:rPr>
                <w:rFonts w:asciiTheme="majorHAnsi" w:eastAsia="Times New Roman" w:hAnsiTheme="majorHAnsi" w:cstheme="majorHAnsi"/>
                <w:color w:val="000000"/>
                <w:lang w:eastAsia="pt-BR"/>
              </w:rPr>
              <w:t>Nome do Programa de Bolsas</w:t>
            </w:r>
          </w:p>
        </w:tc>
        <w:tc>
          <w:tcPr>
            <w:tcW w:w="5068" w:type="dxa"/>
            <w:gridSpan w:val="8"/>
            <w:tcBorders>
              <w:top w:val="single" w:sz="4" w:space="0" w:color="auto"/>
              <w:left w:val="single" w:sz="4" w:space="0" w:color="auto"/>
              <w:bottom w:val="single" w:sz="4" w:space="0" w:color="auto"/>
              <w:right w:val="single" w:sz="4" w:space="0" w:color="auto"/>
            </w:tcBorders>
            <w:noWrap/>
            <w:hideMark/>
          </w:tcPr>
          <w:p w14:paraId="6169991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Origem do Fomento</w:t>
            </w:r>
          </w:p>
        </w:tc>
      </w:tr>
      <w:tr w:rsidR="001C5F76" w:rsidRPr="00485F85" w14:paraId="7FEC9F3C"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98"/>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02320B0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Crankstart Scholarships </w:t>
            </w:r>
          </w:p>
        </w:tc>
        <w:tc>
          <w:tcPr>
            <w:tcW w:w="5068" w:type="dxa"/>
            <w:gridSpan w:val="8"/>
            <w:tcBorders>
              <w:top w:val="single" w:sz="4" w:space="0" w:color="auto"/>
              <w:left w:val="single" w:sz="4" w:space="0" w:color="auto"/>
              <w:bottom w:val="single" w:sz="4" w:space="0" w:color="auto"/>
              <w:right w:val="single" w:sz="4" w:space="0" w:color="auto"/>
            </w:tcBorders>
            <w:hideMark/>
          </w:tcPr>
          <w:p w14:paraId="54DEBC5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de Sir Michael Moritz e Sra. Harriet Heyman</w:t>
            </w:r>
          </w:p>
        </w:tc>
      </w:tr>
      <w:tr w:rsidR="001C5F76" w:rsidRPr="00485F85" w14:paraId="450883A9" w14:textId="77777777" w:rsidTr="00043827">
        <w:trPr>
          <w:gridAfter w:val="2"/>
          <w:wAfter w:w="954" w:type="dxa"/>
          <w:trHeight w:val="95"/>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3A5D02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 Bursaries</w:t>
            </w:r>
          </w:p>
        </w:tc>
        <w:tc>
          <w:tcPr>
            <w:tcW w:w="5068" w:type="dxa"/>
            <w:gridSpan w:val="8"/>
            <w:tcBorders>
              <w:top w:val="single" w:sz="4" w:space="0" w:color="auto"/>
              <w:left w:val="single" w:sz="4" w:space="0" w:color="auto"/>
              <w:bottom w:val="single" w:sz="4" w:space="0" w:color="auto"/>
              <w:right w:val="single" w:sz="4" w:space="0" w:color="auto"/>
            </w:tcBorders>
            <w:hideMark/>
          </w:tcPr>
          <w:p w14:paraId="7B2E949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do Reino Unido</w:t>
            </w:r>
          </w:p>
        </w:tc>
      </w:tr>
      <w:tr w:rsidR="001C5F76" w:rsidRPr="00485F85" w14:paraId="3CDD44A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7"/>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72AFB37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Apoio governamental para entrada em 2021</w:t>
            </w:r>
          </w:p>
        </w:tc>
        <w:tc>
          <w:tcPr>
            <w:tcW w:w="5068" w:type="dxa"/>
            <w:gridSpan w:val="8"/>
            <w:tcBorders>
              <w:top w:val="single" w:sz="4" w:space="0" w:color="auto"/>
              <w:left w:val="single" w:sz="4" w:space="0" w:color="auto"/>
              <w:bottom w:val="single" w:sz="4" w:space="0" w:color="auto"/>
              <w:right w:val="single" w:sz="4" w:space="0" w:color="auto"/>
            </w:tcBorders>
            <w:hideMark/>
          </w:tcPr>
          <w:p w14:paraId="5984207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do Reino Unido</w:t>
            </w:r>
          </w:p>
        </w:tc>
      </w:tr>
      <w:tr w:rsidR="001C5F76" w:rsidRPr="00485F85" w14:paraId="6816C5EA" w14:textId="77777777" w:rsidTr="00043827">
        <w:trPr>
          <w:gridAfter w:val="2"/>
          <w:wAfter w:w="954" w:type="dxa"/>
          <w:trHeight w:val="274"/>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0F9E831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lastRenderedPageBreak/>
              <w:t>Reembolsos (Financiamento estudantil)</w:t>
            </w:r>
          </w:p>
        </w:tc>
        <w:tc>
          <w:tcPr>
            <w:tcW w:w="5068" w:type="dxa"/>
            <w:gridSpan w:val="8"/>
            <w:tcBorders>
              <w:top w:val="single" w:sz="4" w:space="0" w:color="auto"/>
              <w:left w:val="single" w:sz="4" w:space="0" w:color="auto"/>
              <w:bottom w:val="single" w:sz="4" w:space="0" w:color="auto"/>
              <w:right w:val="single" w:sz="4" w:space="0" w:color="auto"/>
            </w:tcBorders>
            <w:hideMark/>
          </w:tcPr>
          <w:p w14:paraId="4F1808C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do Reino Unido</w:t>
            </w:r>
          </w:p>
        </w:tc>
      </w:tr>
      <w:tr w:rsidR="001C5F76" w:rsidRPr="00485F85" w14:paraId="7DE43BC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CB37E3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Hill Foundation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1CFF015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Hill Foundation </w:t>
            </w:r>
          </w:p>
        </w:tc>
      </w:tr>
      <w:tr w:rsidR="001C5F76" w:rsidRPr="00485F85" w14:paraId="01BF55E9" w14:textId="77777777" w:rsidTr="00043827">
        <w:trPr>
          <w:gridAfter w:val="2"/>
          <w:wAfter w:w="954" w:type="dxa"/>
          <w:trHeight w:val="357"/>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7D5355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Bright Oceans Corporation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096BA5A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Bright Oceans Corporation</w:t>
            </w:r>
          </w:p>
        </w:tc>
      </w:tr>
      <w:tr w:rsidR="001C5F76" w:rsidRPr="00485F85" w14:paraId="7C78906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7"/>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244F756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 Centre for Islamic Studies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1756EAC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Centro de Estudos Islâmicos de Oxford </w:t>
            </w:r>
          </w:p>
        </w:tc>
      </w:tr>
      <w:tr w:rsidR="001C5F76" w:rsidRPr="00485F85" w14:paraId="52FA7CFC" w14:textId="77777777" w:rsidTr="00043827">
        <w:trPr>
          <w:gridAfter w:val="2"/>
          <w:wAfter w:w="954" w:type="dxa"/>
          <w:trHeight w:val="267"/>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849AD2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Palgrave Brown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7D842E8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Fundo de Bolsas Palgrave Brown</w:t>
            </w:r>
          </w:p>
        </w:tc>
      </w:tr>
      <w:tr w:rsidR="001C5F76" w:rsidRPr="00485F85" w14:paraId="0B697425"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13"/>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E99BE5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Palgrave Brown UK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1B28E86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Palgrave Brown Bursary Fund</w:t>
            </w:r>
          </w:p>
        </w:tc>
      </w:tr>
      <w:tr w:rsidR="001C5F76" w:rsidRPr="00485F85" w14:paraId="14BE47DE"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7995B0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Reach Oxford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0146D0A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w:t>
            </w:r>
          </w:p>
        </w:tc>
      </w:tr>
      <w:tr w:rsidR="001C5F76" w:rsidRPr="00485F85" w14:paraId="2182E78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2D7DCE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Lloyds Scholars Programme</w:t>
            </w:r>
          </w:p>
        </w:tc>
        <w:tc>
          <w:tcPr>
            <w:tcW w:w="5068" w:type="dxa"/>
            <w:gridSpan w:val="8"/>
            <w:tcBorders>
              <w:top w:val="single" w:sz="4" w:space="0" w:color="auto"/>
              <w:left w:val="single" w:sz="4" w:space="0" w:color="auto"/>
              <w:bottom w:val="single" w:sz="4" w:space="0" w:color="auto"/>
              <w:right w:val="single" w:sz="4" w:space="0" w:color="auto"/>
            </w:tcBorders>
            <w:hideMark/>
          </w:tcPr>
          <w:p w14:paraId="0E42535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Lloyds Banking Group</w:t>
            </w:r>
          </w:p>
        </w:tc>
      </w:tr>
      <w:tr w:rsidR="001C5F76" w:rsidRPr="00485F85" w14:paraId="135BFC7D" w14:textId="77777777" w:rsidTr="00043827">
        <w:trPr>
          <w:gridAfter w:val="2"/>
          <w:wAfter w:w="954" w:type="dxa"/>
          <w:trHeight w:val="371"/>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5F7DF4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Simon and June Li Undergraduate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013CC4F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de Simon e June Li</w:t>
            </w:r>
          </w:p>
        </w:tc>
      </w:tr>
      <w:tr w:rsidR="001C5F76" w:rsidRPr="00485F85" w14:paraId="1D6951C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719"/>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AF1FDF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Oxford-Arlan Hamilton &amp; Earline Butler Sims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40A88E5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Financiado por  Arlan Hamilton, um empresário internacional que auxilia fundadores de empresas pouco representadas.</w:t>
            </w:r>
          </w:p>
        </w:tc>
      </w:tr>
      <w:tr w:rsidR="001C5F76" w:rsidRPr="00485F85" w14:paraId="7061EF90" w14:textId="77777777" w:rsidTr="00043827">
        <w:trPr>
          <w:gridAfter w:val="2"/>
          <w:wAfter w:w="954" w:type="dxa"/>
          <w:trHeight w:val="588"/>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C74407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 Engineering Schlolarship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42DB413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filantrópica da indústria do automobilismo como parte de seu esforço para melhorar a diversidade.</w:t>
            </w:r>
          </w:p>
        </w:tc>
      </w:tr>
      <w:tr w:rsidR="001C5F76" w:rsidRPr="00C71F33" w14:paraId="582B327C"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94"/>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7830489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Agency for Science, Technology and Research (A*STAR)</w:t>
            </w:r>
          </w:p>
        </w:tc>
        <w:tc>
          <w:tcPr>
            <w:tcW w:w="5068" w:type="dxa"/>
            <w:gridSpan w:val="8"/>
            <w:tcBorders>
              <w:top w:val="single" w:sz="4" w:space="0" w:color="auto"/>
              <w:left w:val="single" w:sz="4" w:space="0" w:color="auto"/>
              <w:bottom w:val="single" w:sz="4" w:space="0" w:color="auto"/>
              <w:right w:val="single" w:sz="4" w:space="0" w:color="auto"/>
            </w:tcBorders>
            <w:hideMark/>
          </w:tcPr>
          <w:p w14:paraId="6F5CDA2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Agency for Science, Technology and Research (A*STAR), Singapura</w:t>
            </w:r>
          </w:p>
        </w:tc>
      </w:tr>
      <w:tr w:rsidR="001C5F76" w:rsidRPr="00485F85" w14:paraId="3FC332AE" w14:textId="77777777" w:rsidTr="00043827">
        <w:trPr>
          <w:gridAfter w:val="2"/>
          <w:wAfter w:w="954" w:type="dxa"/>
          <w:trHeight w:val="375"/>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0C3CB12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Association of Commonwealth Universities (ACU)</w:t>
            </w:r>
          </w:p>
        </w:tc>
        <w:tc>
          <w:tcPr>
            <w:tcW w:w="5068" w:type="dxa"/>
            <w:gridSpan w:val="8"/>
            <w:tcBorders>
              <w:top w:val="single" w:sz="4" w:space="0" w:color="auto"/>
              <w:left w:val="single" w:sz="4" w:space="0" w:color="auto"/>
              <w:bottom w:val="single" w:sz="4" w:space="0" w:color="auto"/>
              <w:right w:val="single" w:sz="4" w:space="0" w:color="auto"/>
            </w:tcBorders>
            <w:hideMark/>
          </w:tcPr>
          <w:p w14:paraId="0F65643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ACU para cidadãos da Commonwealth</w:t>
            </w:r>
          </w:p>
        </w:tc>
      </w:tr>
      <w:tr w:rsidR="001C5F76" w:rsidRPr="00485F85" w14:paraId="6072E0D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09"/>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E7C11B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British Council Mexico</w:t>
            </w:r>
          </w:p>
        </w:tc>
        <w:tc>
          <w:tcPr>
            <w:tcW w:w="5068" w:type="dxa"/>
            <w:gridSpan w:val="8"/>
            <w:tcBorders>
              <w:top w:val="single" w:sz="4" w:space="0" w:color="auto"/>
              <w:left w:val="single" w:sz="4" w:space="0" w:color="auto"/>
              <w:bottom w:val="single" w:sz="4" w:space="0" w:color="auto"/>
              <w:right w:val="single" w:sz="4" w:space="0" w:color="auto"/>
            </w:tcBorders>
            <w:hideMark/>
          </w:tcPr>
          <w:p w14:paraId="38C1089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pt-BR"/>
              </w:rPr>
            </w:pPr>
            <w:r w:rsidRPr="00485F85">
              <w:rPr>
                <w:rFonts w:asciiTheme="majorHAnsi" w:eastAsia="Times New Roman" w:hAnsiTheme="majorHAnsi" w:cstheme="majorHAnsi"/>
                <w:color w:val="000000"/>
                <w:lang w:val="es-ES" w:eastAsia="pt-BR"/>
              </w:rPr>
              <w:t>British Council Mexico, para Mexicanos</w:t>
            </w:r>
          </w:p>
        </w:tc>
      </w:tr>
      <w:tr w:rsidR="001C5F76" w:rsidRPr="00C71F33" w14:paraId="3AA449AF" w14:textId="77777777" w:rsidTr="00043827">
        <w:trPr>
          <w:gridAfter w:val="2"/>
          <w:wAfter w:w="954" w:type="dxa"/>
          <w:trHeight w:val="414"/>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228987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Canadian Bureau for International Education</w:t>
            </w:r>
          </w:p>
        </w:tc>
        <w:tc>
          <w:tcPr>
            <w:tcW w:w="5068" w:type="dxa"/>
            <w:gridSpan w:val="8"/>
            <w:tcBorders>
              <w:top w:val="single" w:sz="4" w:space="0" w:color="auto"/>
              <w:left w:val="single" w:sz="4" w:space="0" w:color="auto"/>
              <w:bottom w:val="single" w:sz="4" w:space="0" w:color="auto"/>
              <w:right w:val="single" w:sz="4" w:space="0" w:color="auto"/>
            </w:tcBorders>
            <w:hideMark/>
          </w:tcPr>
          <w:p w14:paraId="5A6DA01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Canadian Bureau for International Education, para Canadenses</w:t>
            </w:r>
          </w:p>
        </w:tc>
      </w:tr>
      <w:tr w:rsidR="001C5F76" w:rsidRPr="00485F85" w14:paraId="42497FF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54"/>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BAB8D8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The Charles Wallace Trusts</w:t>
            </w:r>
          </w:p>
        </w:tc>
        <w:tc>
          <w:tcPr>
            <w:tcW w:w="5068" w:type="dxa"/>
            <w:gridSpan w:val="8"/>
            <w:tcBorders>
              <w:top w:val="single" w:sz="4" w:space="0" w:color="auto"/>
              <w:left w:val="single" w:sz="4" w:space="0" w:color="auto"/>
              <w:bottom w:val="single" w:sz="4" w:space="0" w:color="auto"/>
              <w:right w:val="single" w:sz="4" w:space="0" w:color="auto"/>
            </w:tcBorders>
            <w:hideMark/>
          </w:tcPr>
          <w:p w14:paraId="0F621EE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Charles Wallace Trusts  para a Índia, Paquistão, Bangladesh e Burma</w:t>
            </w:r>
          </w:p>
        </w:tc>
      </w:tr>
      <w:tr w:rsidR="001C5F76" w:rsidRPr="00485F85" w14:paraId="6F4601B3"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18BE984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Cusanuswerk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62E466B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Cusanuswerk </w:t>
            </w:r>
          </w:p>
        </w:tc>
      </w:tr>
      <w:tr w:rsidR="001C5F76" w:rsidRPr="00485F85" w14:paraId="53CAE67A"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63"/>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BBC343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EDAAD Scholarship Programme</w:t>
            </w:r>
          </w:p>
        </w:tc>
        <w:tc>
          <w:tcPr>
            <w:tcW w:w="5068" w:type="dxa"/>
            <w:gridSpan w:val="8"/>
            <w:tcBorders>
              <w:top w:val="single" w:sz="4" w:space="0" w:color="auto"/>
              <w:left w:val="single" w:sz="4" w:space="0" w:color="auto"/>
              <w:bottom w:val="single" w:sz="4" w:space="0" w:color="auto"/>
              <w:right w:val="single" w:sz="4" w:space="0" w:color="auto"/>
            </w:tcBorders>
            <w:hideMark/>
          </w:tcPr>
          <w:p w14:paraId="2E2B724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EDAAD, Emirados Árabes Unidos</w:t>
            </w:r>
          </w:p>
        </w:tc>
      </w:tr>
      <w:tr w:rsidR="001C5F76" w:rsidRPr="00485F85" w14:paraId="119219DF" w14:textId="77777777" w:rsidTr="00043827">
        <w:trPr>
          <w:gridAfter w:val="2"/>
          <w:wAfter w:w="954" w:type="dxa"/>
          <w:trHeight w:val="409"/>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29F8BF5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Google Europe Scholarship for Students with Disabilities</w:t>
            </w:r>
          </w:p>
        </w:tc>
        <w:tc>
          <w:tcPr>
            <w:tcW w:w="5068" w:type="dxa"/>
            <w:gridSpan w:val="8"/>
            <w:tcBorders>
              <w:top w:val="single" w:sz="4" w:space="0" w:color="auto"/>
              <w:left w:val="single" w:sz="4" w:space="0" w:color="auto"/>
              <w:bottom w:val="single" w:sz="4" w:space="0" w:color="auto"/>
              <w:right w:val="single" w:sz="4" w:space="0" w:color="auto"/>
            </w:tcBorders>
            <w:noWrap/>
            <w:hideMark/>
          </w:tcPr>
          <w:p w14:paraId="46D26C5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Google </w:t>
            </w:r>
          </w:p>
        </w:tc>
      </w:tr>
      <w:tr w:rsidR="001C5F76" w:rsidRPr="00485F85" w14:paraId="67EA34F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99"/>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2CF74D9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Indian Department of Higher Education</w:t>
            </w:r>
          </w:p>
        </w:tc>
        <w:tc>
          <w:tcPr>
            <w:tcW w:w="5068" w:type="dxa"/>
            <w:gridSpan w:val="8"/>
            <w:tcBorders>
              <w:top w:val="single" w:sz="4" w:space="0" w:color="auto"/>
              <w:left w:val="single" w:sz="4" w:space="0" w:color="auto"/>
              <w:bottom w:val="single" w:sz="4" w:space="0" w:color="auto"/>
              <w:right w:val="single" w:sz="4" w:space="0" w:color="auto"/>
            </w:tcBorders>
            <w:hideMark/>
          </w:tcPr>
          <w:p w14:paraId="2667671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Departamento de Educação Superior da Índia , para Indianos</w:t>
            </w:r>
          </w:p>
        </w:tc>
      </w:tr>
      <w:tr w:rsidR="001C5F76" w:rsidRPr="00485F85" w14:paraId="2EFF5F2C"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1EFEEB9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King Abdullah Scholarships Program</w:t>
            </w:r>
          </w:p>
        </w:tc>
        <w:tc>
          <w:tcPr>
            <w:tcW w:w="5068" w:type="dxa"/>
            <w:gridSpan w:val="8"/>
            <w:tcBorders>
              <w:top w:val="single" w:sz="4" w:space="0" w:color="auto"/>
              <w:left w:val="single" w:sz="4" w:space="0" w:color="auto"/>
              <w:bottom w:val="single" w:sz="4" w:space="0" w:color="auto"/>
              <w:right w:val="single" w:sz="4" w:space="0" w:color="auto"/>
            </w:tcBorders>
            <w:hideMark/>
          </w:tcPr>
          <w:p w14:paraId="34A1672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King Abdullah, para Sauditas</w:t>
            </w:r>
          </w:p>
        </w:tc>
      </w:tr>
      <w:tr w:rsidR="001C5F76" w:rsidRPr="00C71F33" w14:paraId="70B0FFA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1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15F2D53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Kwok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1FEA0AE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Kwok Scholars Association (fundada pelo Dr. Walter Kwok)</w:t>
            </w:r>
          </w:p>
        </w:tc>
      </w:tr>
      <w:tr w:rsidR="001C5F76" w:rsidRPr="00485F85" w14:paraId="3CF10591"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514DA62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Lanekassen</w:t>
            </w:r>
          </w:p>
        </w:tc>
        <w:tc>
          <w:tcPr>
            <w:tcW w:w="5068" w:type="dxa"/>
            <w:gridSpan w:val="8"/>
            <w:tcBorders>
              <w:top w:val="single" w:sz="4" w:space="0" w:color="auto"/>
              <w:left w:val="single" w:sz="4" w:space="0" w:color="auto"/>
              <w:bottom w:val="single" w:sz="4" w:space="0" w:color="auto"/>
              <w:right w:val="single" w:sz="4" w:space="0" w:color="auto"/>
            </w:tcBorders>
            <w:hideMark/>
          </w:tcPr>
          <w:p w14:paraId="2AEC0E6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Norueguês</w:t>
            </w:r>
          </w:p>
        </w:tc>
      </w:tr>
      <w:tr w:rsidR="001C5F76" w:rsidRPr="00485F85" w14:paraId="48E2A52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056F737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The Leathersellers' Company</w:t>
            </w:r>
          </w:p>
        </w:tc>
        <w:tc>
          <w:tcPr>
            <w:tcW w:w="5068" w:type="dxa"/>
            <w:gridSpan w:val="8"/>
            <w:tcBorders>
              <w:top w:val="single" w:sz="4" w:space="0" w:color="auto"/>
              <w:left w:val="single" w:sz="4" w:space="0" w:color="auto"/>
              <w:bottom w:val="single" w:sz="4" w:space="0" w:color="auto"/>
              <w:right w:val="single" w:sz="4" w:space="0" w:color="auto"/>
            </w:tcBorders>
            <w:hideMark/>
          </w:tcPr>
          <w:p w14:paraId="1FACF29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Leathersellers 'Company </w:t>
            </w:r>
          </w:p>
        </w:tc>
      </w:tr>
      <w:tr w:rsidR="001C5F76" w:rsidRPr="00485F85" w14:paraId="520E7CCE"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9E79CE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Nestpick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057AC61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Nestpick</w:t>
            </w:r>
          </w:p>
        </w:tc>
      </w:tr>
      <w:tr w:rsidR="001C5F76" w:rsidRPr="00C71F33" w14:paraId="5123F2D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16"/>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10D6CED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lastRenderedPageBreak/>
              <w:t>OCSI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1BCAE0E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Oxford e Cambridge Society of India </w:t>
            </w:r>
          </w:p>
        </w:tc>
      </w:tr>
      <w:tr w:rsidR="001C5F76" w:rsidRPr="00485F85" w14:paraId="3D88A084" w14:textId="77777777" w:rsidTr="00043827">
        <w:trPr>
          <w:gridAfter w:val="2"/>
          <w:wAfter w:w="954" w:type="dxa"/>
          <w:trHeight w:val="421"/>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B27D68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Open Society Foundations</w:t>
            </w:r>
          </w:p>
        </w:tc>
        <w:tc>
          <w:tcPr>
            <w:tcW w:w="5068" w:type="dxa"/>
            <w:gridSpan w:val="8"/>
            <w:tcBorders>
              <w:top w:val="single" w:sz="4" w:space="0" w:color="auto"/>
              <w:left w:val="single" w:sz="4" w:space="0" w:color="auto"/>
              <w:bottom w:val="single" w:sz="4" w:space="0" w:color="auto"/>
              <w:right w:val="single" w:sz="4" w:space="0" w:color="auto"/>
            </w:tcBorders>
            <w:hideMark/>
          </w:tcPr>
          <w:p w14:paraId="725EE51E"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Fundações de Sociedade Aberta </w:t>
            </w:r>
          </w:p>
        </w:tc>
      </w:tr>
      <w:tr w:rsidR="001C5F76" w:rsidRPr="00C71F33" w14:paraId="71203BD2"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1"/>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3D82C21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Oxford and Cambridge Society of India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5C5CD9E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Oxford e Cambridge Society of India </w:t>
            </w:r>
          </w:p>
        </w:tc>
      </w:tr>
      <w:tr w:rsidR="001C5F76" w:rsidRPr="00C71F33" w14:paraId="3A4D7DA4" w14:textId="77777777" w:rsidTr="00043827">
        <w:trPr>
          <w:gridAfter w:val="2"/>
          <w:wAfter w:w="954" w:type="dxa"/>
          <w:trHeight w:val="434"/>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7CA3DD5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Oxford &amp; Cambridge Society, Karachi Educational Trust (OCSKET)</w:t>
            </w:r>
          </w:p>
        </w:tc>
        <w:tc>
          <w:tcPr>
            <w:tcW w:w="5068" w:type="dxa"/>
            <w:gridSpan w:val="8"/>
            <w:tcBorders>
              <w:top w:val="single" w:sz="4" w:space="0" w:color="auto"/>
              <w:left w:val="single" w:sz="4" w:space="0" w:color="auto"/>
              <w:bottom w:val="single" w:sz="4" w:space="0" w:color="auto"/>
              <w:right w:val="single" w:sz="4" w:space="0" w:color="auto"/>
            </w:tcBorders>
            <w:hideMark/>
          </w:tcPr>
          <w:p w14:paraId="35708FE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Oxford &amp; Cambridge Society, Karachi Educational Trust (OCSKET) </w:t>
            </w:r>
          </w:p>
        </w:tc>
      </w:tr>
      <w:tr w:rsidR="001C5F76" w:rsidRPr="00485F85" w14:paraId="4A1CD47C"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42"/>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9D9C58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Public Service Commission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427CD5A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de Singapura</w:t>
            </w:r>
          </w:p>
        </w:tc>
      </w:tr>
      <w:tr w:rsidR="001C5F76" w:rsidRPr="00485F85" w14:paraId="7B573C1C" w14:textId="77777777" w:rsidTr="00043827">
        <w:trPr>
          <w:gridAfter w:val="2"/>
          <w:wAfter w:w="954" w:type="dxa"/>
          <w:trHeight w:val="293"/>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F10861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Royal Television Society Bursary Programme</w:t>
            </w:r>
          </w:p>
        </w:tc>
        <w:tc>
          <w:tcPr>
            <w:tcW w:w="5068" w:type="dxa"/>
            <w:gridSpan w:val="8"/>
            <w:tcBorders>
              <w:top w:val="single" w:sz="4" w:space="0" w:color="auto"/>
              <w:left w:val="single" w:sz="4" w:space="0" w:color="auto"/>
              <w:bottom w:val="single" w:sz="4" w:space="0" w:color="auto"/>
              <w:right w:val="single" w:sz="4" w:space="0" w:color="auto"/>
            </w:tcBorders>
            <w:hideMark/>
          </w:tcPr>
          <w:p w14:paraId="47F41F0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Royal Television Society (RTS)</w:t>
            </w:r>
          </w:p>
        </w:tc>
      </w:tr>
      <w:tr w:rsidR="001C5F76" w:rsidRPr="00485F85" w14:paraId="4381ED35"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5CAA05F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Sleeknote Scholarship</w:t>
            </w:r>
          </w:p>
        </w:tc>
        <w:tc>
          <w:tcPr>
            <w:tcW w:w="5068" w:type="dxa"/>
            <w:gridSpan w:val="8"/>
            <w:tcBorders>
              <w:top w:val="single" w:sz="4" w:space="0" w:color="auto"/>
              <w:left w:val="single" w:sz="4" w:space="0" w:color="auto"/>
              <w:bottom w:val="single" w:sz="4" w:space="0" w:color="auto"/>
              <w:right w:val="single" w:sz="4" w:space="0" w:color="auto"/>
            </w:tcBorders>
            <w:hideMark/>
          </w:tcPr>
          <w:p w14:paraId="01B2CD7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Sleeknote</w:t>
            </w:r>
          </w:p>
        </w:tc>
      </w:tr>
      <w:tr w:rsidR="001C5F76" w:rsidRPr="00485F85" w14:paraId="5695D1BA" w14:textId="77777777" w:rsidTr="00043827">
        <w:trPr>
          <w:gridAfter w:val="2"/>
          <w:wAfter w:w="954" w:type="dxa"/>
          <w:trHeight w:val="245"/>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A75D7F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US Department of Veterans Affairs</w:t>
            </w:r>
          </w:p>
        </w:tc>
        <w:tc>
          <w:tcPr>
            <w:tcW w:w="5068" w:type="dxa"/>
            <w:gridSpan w:val="8"/>
            <w:tcBorders>
              <w:top w:val="single" w:sz="4" w:space="0" w:color="auto"/>
              <w:left w:val="single" w:sz="4" w:space="0" w:color="auto"/>
              <w:bottom w:val="single" w:sz="4" w:space="0" w:color="auto"/>
              <w:right w:val="single" w:sz="4" w:space="0" w:color="auto"/>
            </w:tcBorders>
            <w:hideMark/>
          </w:tcPr>
          <w:p w14:paraId="45EAAA5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Governo dos Estados Unidos (agência de empréstimos)</w:t>
            </w:r>
          </w:p>
        </w:tc>
      </w:tr>
      <w:tr w:rsidR="001C5F76" w:rsidRPr="00485F85" w14:paraId="427DAEA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91"/>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4C9BABA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Vincent's Club Scholarships and Bursaries</w:t>
            </w:r>
          </w:p>
        </w:tc>
        <w:tc>
          <w:tcPr>
            <w:tcW w:w="5068" w:type="dxa"/>
            <w:gridSpan w:val="8"/>
            <w:tcBorders>
              <w:top w:val="single" w:sz="4" w:space="0" w:color="auto"/>
              <w:left w:val="single" w:sz="4" w:space="0" w:color="auto"/>
              <w:bottom w:val="single" w:sz="4" w:space="0" w:color="auto"/>
              <w:right w:val="single" w:sz="4" w:space="0" w:color="auto"/>
            </w:tcBorders>
            <w:hideMark/>
          </w:tcPr>
          <w:p w14:paraId="0B1512C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Vincent's Club</w:t>
            </w:r>
          </w:p>
        </w:tc>
      </w:tr>
      <w:tr w:rsidR="001C5F76" w:rsidRPr="00485F85" w14:paraId="27FE6BAA"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AA271D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The Westheimer Scholarships</w:t>
            </w:r>
          </w:p>
        </w:tc>
        <w:tc>
          <w:tcPr>
            <w:tcW w:w="5068" w:type="dxa"/>
            <w:gridSpan w:val="8"/>
            <w:tcBorders>
              <w:top w:val="single" w:sz="4" w:space="0" w:color="auto"/>
              <w:left w:val="single" w:sz="4" w:space="0" w:color="auto"/>
              <w:bottom w:val="single" w:sz="4" w:space="0" w:color="auto"/>
              <w:right w:val="single" w:sz="4" w:space="0" w:color="auto"/>
            </w:tcBorders>
            <w:hideMark/>
          </w:tcPr>
          <w:p w14:paraId="74F64D3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Westheimer </w:t>
            </w:r>
          </w:p>
        </w:tc>
      </w:tr>
      <w:tr w:rsidR="001C5F76" w:rsidRPr="00485F85" w14:paraId="2B3EDA4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73"/>
        </w:trPr>
        <w:tc>
          <w:tcPr>
            <w:cnfStyle w:val="001000000000" w:firstRow="0" w:lastRow="0" w:firstColumn="1" w:lastColumn="0" w:oddVBand="0" w:evenVBand="0" w:oddHBand="0" w:evenHBand="0" w:firstRowFirstColumn="0" w:firstRowLastColumn="0" w:lastRowFirstColumn="0" w:lastRowLastColumn="0"/>
            <w:tcW w:w="4679" w:type="dxa"/>
            <w:gridSpan w:val="9"/>
            <w:tcBorders>
              <w:top w:val="single" w:sz="4" w:space="0" w:color="auto"/>
              <w:left w:val="single" w:sz="4" w:space="0" w:color="auto"/>
              <w:bottom w:val="single" w:sz="4" w:space="0" w:color="auto"/>
              <w:right w:val="single" w:sz="4" w:space="0" w:color="auto"/>
            </w:tcBorders>
            <w:hideMark/>
          </w:tcPr>
          <w:p w14:paraId="6675234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Women Techmakers Scholars Program (formerly the Google Anita Borg Memorial Scholarship)</w:t>
            </w:r>
          </w:p>
        </w:tc>
        <w:tc>
          <w:tcPr>
            <w:tcW w:w="5068" w:type="dxa"/>
            <w:gridSpan w:val="8"/>
            <w:tcBorders>
              <w:top w:val="single" w:sz="4" w:space="0" w:color="auto"/>
              <w:left w:val="single" w:sz="4" w:space="0" w:color="auto"/>
              <w:bottom w:val="single" w:sz="4" w:space="0" w:color="auto"/>
              <w:right w:val="single" w:sz="4" w:space="0" w:color="auto"/>
            </w:tcBorders>
            <w:noWrap/>
            <w:hideMark/>
          </w:tcPr>
          <w:p w14:paraId="36D883A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Google </w:t>
            </w:r>
          </w:p>
        </w:tc>
      </w:tr>
      <w:tr w:rsidR="001C5F76" w:rsidRPr="00485F85" w14:paraId="2C291068"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3114" w:type="dxa"/>
            <w:gridSpan w:val="4"/>
            <w:tcBorders>
              <w:top w:val="single" w:sz="4" w:space="0" w:color="auto"/>
              <w:left w:val="single" w:sz="4" w:space="0" w:color="auto"/>
              <w:bottom w:val="single" w:sz="4" w:space="0" w:color="auto"/>
              <w:right w:val="single" w:sz="4" w:space="0" w:color="auto"/>
            </w:tcBorders>
          </w:tcPr>
          <w:p w14:paraId="2549D73A" w14:textId="77777777" w:rsidR="001C5F76" w:rsidRPr="00485F85" w:rsidRDefault="001C5F76" w:rsidP="009C02E6">
            <w:pPr>
              <w:spacing w:line="360" w:lineRule="auto"/>
              <w:jc w:val="both"/>
              <w:rPr>
                <w:rFonts w:asciiTheme="majorHAnsi" w:hAnsiTheme="majorHAnsi" w:cstheme="majorHAnsi"/>
              </w:rPr>
            </w:pPr>
          </w:p>
          <w:p w14:paraId="1CD28D5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Observações: </w:t>
            </w:r>
          </w:p>
          <w:p w14:paraId="5484D7BC" w14:textId="77777777" w:rsidR="001C5F76" w:rsidRPr="00485F85" w:rsidRDefault="001C5F76" w:rsidP="009C02E6">
            <w:pPr>
              <w:spacing w:line="360" w:lineRule="auto"/>
              <w:jc w:val="both"/>
              <w:rPr>
                <w:rFonts w:asciiTheme="majorHAnsi" w:hAnsiTheme="majorHAnsi" w:cstheme="majorHAnsi"/>
              </w:rPr>
            </w:pPr>
          </w:p>
        </w:tc>
        <w:tc>
          <w:tcPr>
            <w:tcW w:w="6633" w:type="dxa"/>
            <w:gridSpan w:val="13"/>
            <w:tcBorders>
              <w:top w:val="single" w:sz="4" w:space="0" w:color="auto"/>
              <w:left w:val="single" w:sz="4" w:space="0" w:color="auto"/>
              <w:bottom w:val="single" w:sz="4" w:space="0" w:color="auto"/>
              <w:right w:val="single" w:sz="4" w:space="0" w:color="auto"/>
            </w:tcBorders>
          </w:tcPr>
          <w:p w14:paraId="075529A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92CBEA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49A8FE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Mais informações sobre as bolsas de graduação podem ser encontradas no link:</w:t>
            </w:r>
          </w:p>
          <w:p w14:paraId="688EF066" w14:textId="77777777" w:rsidR="001C5F76" w:rsidRPr="00485F85" w:rsidRDefault="00A515B3"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54" w:history="1">
              <w:r w:rsidR="001C5F76" w:rsidRPr="00485F85">
                <w:rPr>
                  <w:rFonts w:asciiTheme="majorHAnsi" w:hAnsiTheme="majorHAnsi" w:cstheme="majorHAnsi"/>
                  <w:color w:val="4875BD" w:themeColor="accent1"/>
                  <w:u w:val="single"/>
                </w:rPr>
                <w:t>https://www.ox.ac.uk/admissions/undergraduate/fees-and-funding/oxford-support</w:t>
              </w:r>
            </w:hyperlink>
            <w:r w:rsidR="001C5F76" w:rsidRPr="00485F85">
              <w:rPr>
                <w:rFonts w:asciiTheme="majorHAnsi" w:hAnsiTheme="majorHAnsi" w:cstheme="majorHAnsi"/>
              </w:rPr>
              <w:t xml:space="preserve"> </w:t>
            </w:r>
          </w:p>
          <w:p w14:paraId="4EA9597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Coleta de dados realizada em 1 de agosto</w:t>
            </w:r>
          </w:p>
          <w:p w14:paraId="51DAE17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5091A0D"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oferece um dos pacotes de apoio financeiro mais generosos disponíveis para estudantes do Reino Unido.</w:t>
            </w:r>
          </w:p>
          <w:p w14:paraId="593953EA"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Bolsas Oxford de entre £ 3.200 e £ 500 são fornecidas a alunos de graduação elegíveis das famílias de renda mais baixa todos os anos.</w:t>
            </w:r>
          </w:p>
          <w:p w14:paraId="07552721"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oferece bolsas não reembolsáveis ​​de até £ 5.000 por ano para estudantes elegíveis do Reino Unido como parte de seu programa de bolsas Crankstart.</w:t>
            </w:r>
          </w:p>
          <w:p w14:paraId="68CADEC6"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Bolsas não reembolsáveis ​​de até £ 7.200 por ano estarão disponíveis para apoiar os alunos elegíveis do Reino Unido que estão abandonando os cuidados ou afastados (estudando sem apoio familiar).</w:t>
            </w:r>
          </w:p>
          <w:p w14:paraId="49D13E33"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A bolsa de estudos Oxford-Arlan Hamilton e Earline Butler Sims é uma </w:t>
            </w:r>
            <w:r w:rsidRPr="00485F85">
              <w:rPr>
                <w:rFonts w:asciiTheme="majorHAnsi" w:hAnsiTheme="majorHAnsi" w:cstheme="majorHAnsi"/>
              </w:rPr>
              <w:lastRenderedPageBreak/>
              <w:t>bolsa integral de taxas e custos de vida para um residente no Reino Unido de ascendência negra africana ou negra do Caribe proveniente de uma família desfavorecida.</w:t>
            </w:r>
          </w:p>
          <w:p w14:paraId="7B4C166C" w14:textId="77777777" w:rsidR="001C5F76" w:rsidRPr="00485F85" w:rsidRDefault="001C5F76" w:rsidP="009C02E6">
            <w:pPr>
              <w:numPr>
                <w:ilvl w:val="0"/>
                <w:numId w:val="23"/>
              </w:numPr>
              <w:spacing w:line="360" w:lineRule="auto"/>
              <w:ind w:left="184" w:hanging="141"/>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gasta centralmente cerca de £ 8 milhões anualmente em apoio financeiro para alunos de graduação.</w:t>
            </w:r>
          </w:p>
          <w:p w14:paraId="31051CA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43827" w:rsidRPr="00485F85" w14:paraId="0BCB920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3114" w:type="dxa"/>
            <w:gridSpan w:val="4"/>
            <w:tcBorders>
              <w:top w:val="single" w:sz="4" w:space="0" w:color="auto"/>
              <w:left w:val="single" w:sz="4" w:space="0" w:color="auto"/>
              <w:bottom w:val="single" w:sz="4" w:space="0" w:color="auto"/>
              <w:right w:val="single" w:sz="4" w:space="0" w:color="auto"/>
            </w:tcBorders>
          </w:tcPr>
          <w:p w14:paraId="3E67222D" w14:textId="77777777" w:rsidR="001C5F76" w:rsidRPr="00485F85" w:rsidRDefault="001C5F76" w:rsidP="009C02E6">
            <w:pPr>
              <w:spacing w:line="360" w:lineRule="auto"/>
              <w:jc w:val="both"/>
              <w:rPr>
                <w:rFonts w:asciiTheme="majorHAnsi" w:hAnsiTheme="majorHAnsi" w:cstheme="majorHAnsi"/>
              </w:rPr>
            </w:pPr>
          </w:p>
        </w:tc>
        <w:tc>
          <w:tcPr>
            <w:tcW w:w="4008" w:type="dxa"/>
            <w:gridSpan w:val="8"/>
            <w:tcBorders>
              <w:top w:val="single" w:sz="4" w:space="0" w:color="auto"/>
              <w:left w:val="single" w:sz="4" w:space="0" w:color="auto"/>
              <w:bottom w:val="single" w:sz="4" w:space="0" w:color="auto"/>
              <w:right w:val="single" w:sz="4" w:space="0" w:color="auto"/>
            </w:tcBorders>
          </w:tcPr>
          <w:p w14:paraId="1596DB4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625" w:type="dxa"/>
            <w:gridSpan w:val="5"/>
            <w:tcBorders>
              <w:top w:val="single" w:sz="4" w:space="0" w:color="auto"/>
              <w:left w:val="single" w:sz="4" w:space="0" w:color="auto"/>
              <w:bottom w:val="single" w:sz="4" w:space="0" w:color="auto"/>
              <w:right w:val="single" w:sz="4" w:space="0" w:color="auto"/>
            </w:tcBorders>
          </w:tcPr>
          <w:p w14:paraId="576654A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DBFE8F8"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1BAD987E"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4.3.2. Relação e número de bolsas da Pós-Graduação e Agência de Fomento</w:t>
            </w:r>
          </w:p>
        </w:tc>
      </w:tr>
      <w:tr w:rsidR="009C02E6" w:rsidRPr="00485F85" w14:paraId="41F9C65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3114" w:type="dxa"/>
            <w:gridSpan w:val="4"/>
            <w:tcBorders>
              <w:top w:val="single" w:sz="4" w:space="0" w:color="auto"/>
              <w:left w:val="single" w:sz="4" w:space="0" w:color="auto"/>
              <w:bottom w:val="single" w:sz="4" w:space="0" w:color="auto"/>
              <w:right w:val="single" w:sz="4" w:space="0" w:color="auto"/>
            </w:tcBorders>
          </w:tcPr>
          <w:p w14:paraId="7659721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Nome do Programa</w:t>
            </w:r>
          </w:p>
        </w:tc>
        <w:tc>
          <w:tcPr>
            <w:tcW w:w="4008" w:type="dxa"/>
            <w:gridSpan w:val="8"/>
            <w:tcBorders>
              <w:top w:val="single" w:sz="4" w:space="0" w:color="auto"/>
              <w:left w:val="single" w:sz="4" w:space="0" w:color="auto"/>
              <w:bottom w:val="single" w:sz="4" w:space="0" w:color="auto"/>
              <w:right w:val="single" w:sz="4" w:space="0" w:color="auto"/>
            </w:tcBorders>
          </w:tcPr>
          <w:p w14:paraId="6079FFA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rPr>
              <w:t>Número de estudantes atendidos/por área</w:t>
            </w:r>
          </w:p>
        </w:tc>
        <w:tc>
          <w:tcPr>
            <w:tcW w:w="2625" w:type="dxa"/>
            <w:gridSpan w:val="5"/>
            <w:tcBorders>
              <w:top w:val="single" w:sz="4" w:space="0" w:color="auto"/>
              <w:left w:val="single" w:sz="4" w:space="0" w:color="auto"/>
              <w:bottom w:val="single" w:sz="4" w:space="0" w:color="auto"/>
              <w:right w:val="single" w:sz="4" w:space="0" w:color="auto"/>
            </w:tcBorders>
          </w:tcPr>
          <w:p w14:paraId="435228F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rPr>
              <w:t>Agência de Fomento</w:t>
            </w:r>
          </w:p>
        </w:tc>
      </w:tr>
      <w:tr w:rsidR="001C5F76" w:rsidRPr="00485F85" w14:paraId="6E4B8892"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63B1688" w14:textId="77777777" w:rsidR="001C5F76" w:rsidRPr="00485F85" w:rsidRDefault="001C5F76" w:rsidP="009C02E6">
            <w:pPr>
              <w:tabs>
                <w:tab w:val="clear" w:pos="1615"/>
              </w:tabs>
              <w:spacing w:line="360" w:lineRule="auto"/>
              <w:jc w:val="center"/>
              <w:rPr>
                <w:rFonts w:asciiTheme="majorHAnsi" w:eastAsia="Times New Roman" w:hAnsiTheme="majorHAnsi" w:cstheme="majorHAnsi"/>
                <w:b w:val="0"/>
                <w:bCs w:val="0"/>
                <w:color w:val="000000"/>
                <w:sz w:val="24"/>
                <w:szCs w:val="24"/>
                <w:lang w:eastAsia="pt-BR"/>
              </w:rPr>
            </w:pPr>
            <w:r w:rsidRPr="00485F85">
              <w:rPr>
                <w:rFonts w:asciiTheme="majorHAnsi" w:eastAsia="Times New Roman" w:hAnsiTheme="majorHAnsi" w:cstheme="majorHAnsi"/>
                <w:color w:val="000000"/>
                <w:sz w:val="24"/>
                <w:szCs w:val="24"/>
                <w:lang w:eastAsia="pt-BR"/>
              </w:rPr>
              <w:t>Bolsas Automáticas de Pós-Graduação</w:t>
            </w:r>
          </w:p>
        </w:tc>
        <w:tc>
          <w:tcPr>
            <w:tcW w:w="5493" w:type="dxa"/>
            <w:gridSpan w:val="11"/>
            <w:tcBorders>
              <w:top w:val="single" w:sz="4" w:space="0" w:color="auto"/>
              <w:left w:val="single" w:sz="4" w:space="0" w:color="auto"/>
              <w:bottom w:val="single" w:sz="4" w:space="0" w:color="auto"/>
              <w:right w:val="single" w:sz="4" w:space="0" w:color="auto"/>
            </w:tcBorders>
            <w:hideMark/>
          </w:tcPr>
          <w:p w14:paraId="43DC1CD9"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485F85">
              <w:rPr>
                <w:rFonts w:asciiTheme="majorHAnsi" w:eastAsia="Times New Roman" w:hAnsiTheme="majorHAnsi" w:cstheme="majorHAnsi"/>
                <w:b/>
                <w:bCs/>
                <w:color w:val="000000"/>
                <w:sz w:val="24"/>
                <w:szCs w:val="24"/>
                <w:lang w:eastAsia="pt-BR"/>
              </w:rPr>
              <w:t>Financiadores</w:t>
            </w:r>
          </w:p>
        </w:tc>
      </w:tr>
      <w:tr w:rsidR="001C5F76" w:rsidRPr="00485F85" w14:paraId="016E4B0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2C33DC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All Souls Hugh Springer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725D52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All Souls College, Oxford</w:t>
            </w:r>
          </w:p>
        </w:tc>
      </w:tr>
      <w:tr w:rsidR="001C5F76" w:rsidRPr="00C71F33" w14:paraId="60C4DCC6" w14:textId="77777777" w:rsidTr="00043827">
        <w:trPr>
          <w:gridAfter w:val="2"/>
          <w:wAfter w:w="954" w:type="dxa"/>
          <w:trHeight w:val="53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F40FEB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Black Academic Futures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7B78B50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St Cross, Kellogg, Linacre, Green Templeton, Mansfield, Harris Manchester, Keble, Lady Margaret Hall, St Peter's.</w:t>
            </w:r>
          </w:p>
        </w:tc>
      </w:tr>
      <w:tr w:rsidR="001C5F76" w:rsidRPr="00485F85" w14:paraId="4ACB564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B568A0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Clarendon Fund</w:t>
            </w:r>
          </w:p>
        </w:tc>
        <w:tc>
          <w:tcPr>
            <w:tcW w:w="5493" w:type="dxa"/>
            <w:gridSpan w:val="11"/>
            <w:tcBorders>
              <w:top w:val="single" w:sz="4" w:space="0" w:color="auto"/>
              <w:left w:val="single" w:sz="4" w:space="0" w:color="auto"/>
              <w:bottom w:val="single" w:sz="4" w:space="0" w:color="auto"/>
              <w:right w:val="single" w:sz="4" w:space="0" w:color="auto"/>
            </w:tcBorders>
            <w:hideMark/>
          </w:tcPr>
          <w:p w14:paraId="41FABA5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Fundo Clarendon</w:t>
            </w:r>
          </w:p>
        </w:tc>
      </w:tr>
      <w:tr w:rsidR="001C5F76" w:rsidRPr="00485F85" w14:paraId="08DB428E" w14:textId="77777777" w:rsidTr="00043827">
        <w:trPr>
          <w:gridAfter w:val="2"/>
          <w:wAfter w:w="954" w:type="dxa"/>
          <w:trHeight w:val="26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5B99DE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Crankstart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6CEADAD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de Sir Michael Moritz e Sra. Harriet Heyman</w:t>
            </w:r>
          </w:p>
        </w:tc>
      </w:tr>
      <w:tr w:rsidR="001C5F76" w:rsidRPr="00485F85" w14:paraId="15329A3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94"/>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E94F53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Duke Of Cambridge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38FF83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a Fundação da Família Blavatnik e o University College em homenagem ao Duque de Cambridge, que inaugurou a nova Escola de Governo Blavatnik em 2016</w:t>
            </w:r>
          </w:p>
        </w:tc>
      </w:tr>
      <w:tr w:rsidR="001C5F76" w:rsidRPr="00485F85" w14:paraId="02E71AA2"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153255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Dulverton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DCB7F7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Dulverton Trust </w:t>
            </w:r>
          </w:p>
        </w:tc>
      </w:tr>
      <w:tr w:rsidR="001C5F76" w:rsidRPr="00C54403" w14:paraId="6BC8462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5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6F5771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Felix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41E7919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University of Oxford, na University of Reading e na School of Oriental and African Studies da University of London (SOAS) e  o apoio dos Curadores Felix</w:t>
            </w:r>
          </w:p>
        </w:tc>
      </w:tr>
      <w:tr w:rsidR="001C5F76" w:rsidRPr="00C71F33" w14:paraId="608D0FD3" w14:textId="77777777" w:rsidTr="00043827">
        <w:trPr>
          <w:gridAfter w:val="2"/>
          <w:wAfter w:w="954" w:type="dxa"/>
          <w:trHeight w:val="58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D386E9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The Hong Kong Jockey Club Graduate Scholarships at the University of Oxford</w:t>
            </w:r>
          </w:p>
        </w:tc>
        <w:tc>
          <w:tcPr>
            <w:tcW w:w="5493" w:type="dxa"/>
            <w:gridSpan w:val="11"/>
            <w:tcBorders>
              <w:top w:val="single" w:sz="4" w:space="0" w:color="auto"/>
              <w:left w:val="single" w:sz="4" w:space="0" w:color="auto"/>
              <w:bottom w:val="single" w:sz="4" w:space="0" w:color="auto"/>
              <w:right w:val="single" w:sz="4" w:space="0" w:color="auto"/>
            </w:tcBorders>
            <w:hideMark/>
          </w:tcPr>
          <w:p w14:paraId="78F816B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 The Hong Kong Jockey Club Charities Trust </w:t>
            </w:r>
          </w:p>
        </w:tc>
      </w:tr>
      <w:tr w:rsidR="001C5F76" w:rsidRPr="00485F85" w14:paraId="61C9F1C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EA4F04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Jardine-Oxford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38A30A2B"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Fundação Jardine </w:t>
            </w:r>
          </w:p>
        </w:tc>
      </w:tr>
      <w:tr w:rsidR="001C5F76" w:rsidRPr="00485F85" w14:paraId="002F3AAB" w14:textId="77777777" w:rsidTr="00043827">
        <w:trPr>
          <w:gridAfter w:val="2"/>
          <w:wAfter w:w="954" w:type="dxa"/>
          <w:trHeight w:val="423"/>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B4E520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Lady Allen and Linares Rivas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26AE1A2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val="en-US" w:eastAsia="pt-BR"/>
              </w:rPr>
              <w:t xml:space="preserve"> </w:t>
            </w:r>
            <w:r w:rsidRPr="00485F85">
              <w:rPr>
                <w:rFonts w:asciiTheme="majorHAnsi" w:eastAsia="Times New Roman" w:hAnsiTheme="majorHAnsi" w:cstheme="majorHAnsi"/>
                <w:color w:val="000000"/>
                <w:lang w:eastAsia="pt-BR"/>
              </w:rPr>
              <w:t>Curadores da falecida Lady Consuelo Maria Allen</w:t>
            </w:r>
          </w:p>
        </w:tc>
      </w:tr>
      <w:tr w:rsidR="001C5F76" w:rsidRPr="00485F85" w14:paraId="127CB01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43"/>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EEA717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Michael Wills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730E9BD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 Dulverton Trust e o Departamento de Desenvolvimento Internacional de Oxford </w:t>
            </w:r>
          </w:p>
        </w:tc>
      </w:tr>
      <w:tr w:rsidR="001C5F76" w:rsidRPr="00485F85" w14:paraId="6C963BB0" w14:textId="77777777" w:rsidTr="00043827">
        <w:trPr>
          <w:gridAfter w:val="2"/>
          <w:wAfter w:w="954" w:type="dxa"/>
          <w:trHeight w:val="3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47D26D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Oppenheimer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604906C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Fundo Oppenheimer </w:t>
            </w:r>
          </w:p>
        </w:tc>
      </w:tr>
      <w:tr w:rsidR="001C5F76" w:rsidRPr="00485F85" w14:paraId="2FAAF64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71"/>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A7CB3A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 Kobe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D04793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Financiadas por uma doação ao  St Catherine's College </w:t>
            </w:r>
          </w:p>
        </w:tc>
      </w:tr>
      <w:tr w:rsidR="001C5F76" w:rsidRPr="00485F85" w14:paraId="4B711273" w14:textId="77777777" w:rsidTr="00043827">
        <w:trPr>
          <w:gridAfter w:val="2"/>
          <w:wAfter w:w="954" w:type="dxa"/>
          <w:trHeight w:val="54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CB66D0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lastRenderedPageBreak/>
              <w:t>Oxford Refugee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0D81E66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Doações de estudantes, faculdades, doadores externos e da Universidade central.</w:t>
            </w:r>
          </w:p>
        </w:tc>
      </w:tr>
      <w:tr w:rsidR="001C5F76" w:rsidRPr="00C71F33" w14:paraId="2872801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BDDAA7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Oxford-Adara Foundation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1E20F52"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7810A7B5"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BA8371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Oxford-Anderson Graduate Scholarship in History</w:t>
            </w:r>
          </w:p>
        </w:tc>
        <w:tc>
          <w:tcPr>
            <w:tcW w:w="5493" w:type="dxa"/>
            <w:gridSpan w:val="11"/>
            <w:tcBorders>
              <w:top w:val="single" w:sz="4" w:space="0" w:color="auto"/>
              <w:left w:val="single" w:sz="4" w:space="0" w:color="auto"/>
              <w:bottom w:val="single" w:sz="4" w:space="0" w:color="auto"/>
              <w:right w:val="single" w:sz="4" w:space="0" w:color="auto"/>
            </w:tcBorders>
            <w:hideMark/>
          </w:tcPr>
          <w:p w14:paraId="0F562D3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James K. Anderson</w:t>
            </w:r>
          </w:p>
        </w:tc>
      </w:tr>
      <w:tr w:rsidR="001C5F76" w:rsidRPr="00485F85" w14:paraId="0FAB5F3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99"/>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1FED51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Oxford-Ashton Graduate Scholarship in Engineering</w:t>
            </w:r>
          </w:p>
        </w:tc>
        <w:tc>
          <w:tcPr>
            <w:tcW w:w="5493" w:type="dxa"/>
            <w:gridSpan w:val="11"/>
            <w:tcBorders>
              <w:top w:val="single" w:sz="4" w:space="0" w:color="auto"/>
              <w:left w:val="single" w:sz="4" w:space="0" w:color="auto"/>
              <w:bottom w:val="single" w:sz="4" w:space="0" w:color="auto"/>
              <w:right w:val="single" w:sz="4" w:space="0" w:color="auto"/>
            </w:tcBorders>
            <w:hideMark/>
          </w:tcPr>
          <w:p w14:paraId="1840F95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Antigos Membros anônimos (ex-alunos) do University College, em memória da Sra. JP Ashton</w:t>
            </w:r>
          </w:p>
        </w:tc>
      </w:tr>
      <w:tr w:rsidR="001C5F76" w:rsidRPr="00485F85" w14:paraId="25FEBCEE"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C70B98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Oxford-Bendich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4B8AC6F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w:t>
            </w:r>
          </w:p>
        </w:tc>
      </w:tr>
      <w:tr w:rsidR="001C5F76" w:rsidRPr="00485F85" w14:paraId="03D0A91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1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8A2C4D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Oxford-Berman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57661F6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por um grupo de Antigos Membros (ex-alunos) em reconhecimento à valiosa e muito apreciada contribuição do Dr. Robert 'Bobby' Berman para a vida no University College</w:t>
            </w:r>
          </w:p>
        </w:tc>
      </w:tr>
      <w:tr w:rsidR="001C5F76" w:rsidRPr="00485F85" w14:paraId="39475BC1" w14:textId="77777777" w:rsidTr="00043827">
        <w:trPr>
          <w:gridAfter w:val="2"/>
          <w:wAfter w:w="954" w:type="dxa"/>
          <w:trHeight w:val="59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6F2861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Oxford-Bob Thomas Graduate Scholarship in Chemistry</w:t>
            </w:r>
          </w:p>
        </w:tc>
        <w:tc>
          <w:tcPr>
            <w:tcW w:w="5493" w:type="dxa"/>
            <w:gridSpan w:val="11"/>
            <w:tcBorders>
              <w:top w:val="single" w:sz="4" w:space="0" w:color="auto"/>
              <w:left w:val="single" w:sz="4" w:space="0" w:color="auto"/>
              <w:bottom w:val="single" w:sz="4" w:space="0" w:color="auto"/>
              <w:right w:val="single" w:sz="4" w:space="0" w:color="auto"/>
            </w:tcBorders>
            <w:hideMark/>
          </w:tcPr>
          <w:p w14:paraId="510EA11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Co-financiada pelo Departamento de Química, bem como pelos antigos membros da University College</w:t>
            </w:r>
          </w:p>
        </w:tc>
      </w:tr>
      <w:tr w:rsidR="001C5F76" w:rsidRPr="00485F85" w14:paraId="2109063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5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0197D7E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Oxford-Bounden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3941814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Jesus College</w:t>
            </w:r>
          </w:p>
        </w:tc>
      </w:tr>
      <w:tr w:rsidR="001C5F76" w:rsidRPr="00485F85" w14:paraId="78D0C597" w14:textId="77777777" w:rsidTr="00043827">
        <w:trPr>
          <w:gridAfter w:val="2"/>
          <w:wAfter w:w="954" w:type="dxa"/>
          <w:trHeight w:val="56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23F47B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Oxford-Brunsfield ASEAN Human Rights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00AFF18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pela Fundação Brunsfield da Malásia</w:t>
            </w:r>
          </w:p>
        </w:tc>
      </w:tr>
      <w:tr w:rsidR="001C5F76" w:rsidRPr="00485F85" w14:paraId="1F558D0B"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838"/>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C3928F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Oxford-Cawkwell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37E6764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uma coleção de agradecidos membros antigos da University College e amigos, em celebração à vida de Pat e George Law Cawkwell</w:t>
            </w:r>
          </w:p>
        </w:tc>
      </w:tr>
      <w:tr w:rsidR="001C5F76" w:rsidRPr="00485F85" w14:paraId="7BFC903D" w14:textId="77777777" w:rsidTr="00043827">
        <w:trPr>
          <w:gridAfter w:val="2"/>
          <w:wAfter w:w="954" w:type="dxa"/>
          <w:trHeight w:val="41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010986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Oxford-Cecil Lubbock Memorial Graduate Scholarships </w:t>
            </w:r>
          </w:p>
        </w:tc>
        <w:tc>
          <w:tcPr>
            <w:tcW w:w="5493" w:type="dxa"/>
            <w:gridSpan w:val="11"/>
            <w:tcBorders>
              <w:top w:val="single" w:sz="4" w:space="0" w:color="auto"/>
              <w:left w:val="single" w:sz="4" w:space="0" w:color="auto"/>
              <w:bottom w:val="single" w:sz="4" w:space="0" w:color="auto"/>
              <w:right w:val="single" w:sz="4" w:space="0" w:color="auto"/>
            </w:tcBorders>
            <w:hideMark/>
          </w:tcPr>
          <w:p w14:paraId="07B3136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Sir Charles Chadwyck-Healey</w:t>
            </w:r>
          </w:p>
        </w:tc>
      </w:tr>
      <w:tr w:rsidR="001C5F76" w:rsidRPr="00485F85" w14:paraId="2713F08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71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3365FF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Oxford-Chellgren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80D08B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Paul Chellgren, que estudou no University College em 1966</w:t>
            </w:r>
          </w:p>
        </w:tc>
      </w:tr>
      <w:tr w:rsidR="001C5F76" w:rsidRPr="00485F85" w14:paraId="1EF68FB4"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2FE5C4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Oxford-Christopher and Sharyn Brooks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3327F53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Linacre College</w:t>
            </w:r>
          </w:p>
        </w:tc>
      </w:tr>
      <w:tr w:rsidR="001C5F76" w:rsidRPr="00485F85" w14:paraId="35F574B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81"/>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3F3AEA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Oxford-Cocker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667F1FD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por Tony Cocker</w:t>
            </w:r>
          </w:p>
        </w:tc>
      </w:tr>
      <w:tr w:rsidR="001C5F76" w:rsidRPr="00485F85" w14:paraId="602FCA4C" w14:textId="77777777" w:rsidTr="00043827">
        <w:trPr>
          <w:gridAfter w:val="2"/>
          <w:wAfter w:w="954" w:type="dxa"/>
          <w:trHeight w:val="33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48B62C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Oxford-Creat Group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12584A8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conjuntamente pela Universidade e pelo Creat Group de Pequim.</w:t>
            </w:r>
          </w:p>
        </w:tc>
      </w:tr>
      <w:tr w:rsidR="001C5F76" w:rsidRPr="00485F85" w14:paraId="19E5355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470BAB9"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Oxford-DeepMind Graduate Scholarship (Computer Science)</w:t>
            </w:r>
          </w:p>
        </w:tc>
        <w:tc>
          <w:tcPr>
            <w:tcW w:w="5493" w:type="dxa"/>
            <w:gridSpan w:val="11"/>
            <w:tcBorders>
              <w:top w:val="single" w:sz="4" w:space="0" w:color="auto"/>
              <w:left w:val="single" w:sz="4" w:space="0" w:color="auto"/>
              <w:bottom w:val="single" w:sz="4" w:space="0" w:color="auto"/>
              <w:right w:val="single" w:sz="4" w:space="0" w:color="auto"/>
            </w:tcBorders>
            <w:hideMark/>
          </w:tcPr>
          <w:p w14:paraId="13B8216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DeepMind</w:t>
            </w:r>
          </w:p>
        </w:tc>
      </w:tr>
      <w:tr w:rsidR="001C5F76" w:rsidRPr="00485F85" w14:paraId="5349286A" w14:textId="77777777" w:rsidTr="00043827">
        <w:trPr>
          <w:gridAfter w:val="2"/>
          <w:wAfter w:w="954" w:type="dxa"/>
          <w:trHeight w:val="22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093D3AA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Oxford-Dr H Y Mok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0CFFFAE7"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Edwin Mok, ex-aluno do Wadham College.</w:t>
            </w:r>
          </w:p>
        </w:tc>
      </w:tr>
      <w:tr w:rsidR="001C5F76" w:rsidRPr="00485F85" w14:paraId="5F79D22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8A042B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lastRenderedPageBreak/>
              <w:t>Oxford-Elizabeth Murphy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772B9ED9"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Apoio de um ex-aluno do Trinity College</w:t>
            </w:r>
          </w:p>
        </w:tc>
      </w:tr>
      <w:tr w:rsidR="001C5F76" w:rsidRPr="00485F85" w14:paraId="3EE74159" w14:textId="77777777" w:rsidTr="00043827">
        <w:trPr>
          <w:gridAfter w:val="2"/>
          <w:wAfter w:w="954" w:type="dxa"/>
          <w:trHeight w:val="77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F8034F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Oxford-Feltham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547C481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Magdalen College lançou um apelo de arrecadação de fundos a fim de criar e apoiar financeiramente uma bolsa de estudos para alunos do Bacharelado em Direito Civil (BCL)</w:t>
            </w:r>
          </w:p>
        </w:tc>
      </w:tr>
      <w:tr w:rsidR="001C5F76" w:rsidRPr="00485F85" w14:paraId="7EDC5BB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3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8C2D1B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Oxford-Finnis Graduate Scholarship in Law</w:t>
            </w:r>
          </w:p>
        </w:tc>
        <w:tc>
          <w:tcPr>
            <w:tcW w:w="5493" w:type="dxa"/>
            <w:gridSpan w:val="11"/>
            <w:tcBorders>
              <w:top w:val="single" w:sz="4" w:space="0" w:color="auto"/>
              <w:left w:val="single" w:sz="4" w:space="0" w:color="auto"/>
              <w:bottom w:val="single" w:sz="4" w:space="0" w:color="auto"/>
              <w:right w:val="single" w:sz="4" w:space="0" w:color="auto"/>
            </w:tcBorders>
            <w:hideMark/>
          </w:tcPr>
          <w:p w14:paraId="74F53AC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University College, financiada pelos ex-alunos de John Finnis e advogados da Universidade</w:t>
            </w:r>
          </w:p>
        </w:tc>
      </w:tr>
      <w:tr w:rsidR="001C5F76" w:rsidRPr="00485F85" w14:paraId="0535DBB0" w14:textId="77777777" w:rsidTr="00043827">
        <w:trPr>
          <w:gridAfter w:val="2"/>
          <w:wAfter w:w="954" w:type="dxa"/>
          <w:trHeight w:val="69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6B8B9F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Oxford-Hackney BCL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57C394F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pela Universidade e por uma coleção de ex-alunos do Wadham College, em homenagem a Jeffrey Hackney</w:t>
            </w:r>
          </w:p>
        </w:tc>
      </w:tr>
      <w:tr w:rsidR="001C5F76" w:rsidRPr="00485F85" w14:paraId="1B870BF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E39A542"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Oxford-Hoffmann Graduate Scholarships in Medical Sciences</w:t>
            </w:r>
          </w:p>
        </w:tc>
        <w:tc>
          <w:tcPr>
            <w:tcW w:w="5493" w:type="dxa"/>
            <w:gridSpan w:val="11"/>
            <w:tcBorders>
              <w:top w:val="single" w:sz="4" w:space="0" w:color="auto"/>
              <w:left w:val="single" w:sz="4" w:space="0" w:color="auto"/>
              <w:bottom w:val="single" w:sz="4" w:space="0" w:color="auto"/>
              <w:right w:val="single" w:sz="4" w:space="0" w:color="auto"/>
            </w:tcBorders>
            <w:hideMark/>
          </w:tcPr>
          <w:p w14:paraId="0485C945"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André Hoffmann, que é empresário, investidor e filantropo</w:t>
            </w:r>
          </w:p>
        </w:tc>
      </w:tr>
      <w:tr w:rsidR="001C5F76" w:rsidRPr="00485F85" w14:paraId="19371796" w14:textId="77777777" w:rsidTr="00043827">
        <w:trPr>
          <w:gridAfter w:val="2"/>
          <w:wAfter w:w="954" w:type="dxa"/>
          <w:trHeight w:val="51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6E21F6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Oxford-ID Travel Group Foundation Bonham-Carter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4BDA8542"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Sr. Maurice Bonham-Carter, um ex-aluno da Igreja de Cristo</w:t>
            </w:r>
          </w:p>
        </w:tc>
      </w:tr>
      <w:tr w:rsidR="001C5F76" w:rsidRPr="00485F85" w14:paraId="5BF7758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1908A77"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Oxford-Indira Gandhi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511CE12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Somerville College</w:t>
            </w:r>
          </w:p>
        </w:tc>
      </w:tr>
      <w:tr w:rsidR="001C5F76" w:rsidRPr="00C71F33" w14:paraId="63E6BD22" w14:textId="77777777" w:rsidTr="00043827">
        <w:trPr>
          <w:gridAfter w:val="2"/>
          <w:wAfter w:w="954" w:type="dxa"/>
          <w:trHeight w:val="26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F65AC3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Oxford-Intesa Sanpaolo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3A8D905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51259CA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94"/>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5F29A4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Oxford-James Martin Graduate Scholarship at Keble College</w:t>
            </w:r>
          </w:p>
        </w:tc>
        <w:tc>
          <w:tcPr>
            <w:tcW w:w="5493" w:type="dxa"/>
            <w:gridSpan w:val="11"/>
            <w:tcBorders>
              <w:top w:val="single" w:sz="4" w:space="0" w:color="auto"/>
              <w:left w:val="single" w:sz="4" w:space="0" w:color="auto"/>
              <w:bottom w:val="single" w:sz="4" w:space="0" w:color="auto"/>
              <w:right w:val="single" w:sz="4" w:space="0" w:color="auto"/>
            </w:tcBorders>
            <w:hideMark/>
          </w:tcPr>
          <w:p w14:paraId="6715FA0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James Martin 21st Century Research Trust em memória do Dr. James Martin (1933 - 2013), fundador da Oxford Martin School</w:t>
            </w:r>
          </w:p>
        </w:tc>
      </w:tr>
      <w:tr w:rsidR="001C5F76" w:rsidRPr="00485F85" w14:paraId="30707A7E" w14:textId="77777777" w:rsidTr="00043827">
        <w:trPr>
          <w:gridAfter w:val="2"/>
          <w:wAfter w:w="954" w:type="dxa"/>
          <w:trHeight w:val="41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AF7C92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Oxford-Jerry Hausman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7EEBA045"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uma generosa doação de ex-alunos da Nuffield e ilustre economista Jerry Hausman, e do Nuffield College</w:t>
            </w:r>
          </w:p>
        </w:tc>
      </w:tr>
      <w:tr w:rsidR="001C5F76" w:rsidRPr="00485F85" w14:paraId="19CAC47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55"/>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617FE5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Oxford-John and Pat Cuckney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4184AC1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legado de John e Pat Cuckney ao Lincoln College</w:t>
            </w:r>
          </w:p>
        </w:tc>
      </w:tr>
      <w:tr w:rsidR="001C5F76" w:rsidRPr="00485F85" w14:paraId="77D88A6F"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2DF3E4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Oxford-Kaifeng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965F79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conjuntamente pela Universidade e pela Fundação Kaifeng</w:t>
            </w:r>
          </w:p>
        </w:tc>
      </w:tr>
      <w:tr w:rsidR="001C5F76" w:rsidRPr="00485F85" w14:paraId="43388D4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28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943CD1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Oxford-Leon E and Iris L Beghian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491EF20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por uma doação do espólio de Leon e Iris Beghian</w:t>
            </w:r>
          </w:p>
        </w:tc>
      </w:tr>
      <w:tr w:rsidR="001C5F76" w:rsidRPr="00C71F33" w14:paraId="1458ACD7"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B90AB3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Oxford-Mary Frances Wagley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28064A2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0670E79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8EB7DB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Oxford-McCall MacBain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6D418AA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McCall MacBain Foundation</w:t>
            </w:r>
          </w:p>
        </w:tc>
      </w:tr>
      <w:tr w:rsidR="001C5F76" w:rsidRPr="00485F85" w14:paraId="49795F59"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472155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lastRenderedPageBreak/>
              <w:t>Oxford-NaturalMotion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7A9003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Financiado conjuntamente pela Universidade e pelo  NaturalMotion Ltd </w:t>
            </w:r>
          </w:p>
        </w:tc>
      </w:tr>
      <w:tr w:rsidR="001C5F76" w:rsidRPr="00485F85" w14:paraId="6A566F7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178"/>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04BA35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Oxford-Nizami Ganjavi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00C6EBF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conjuntamente pela Universidade e pelo Oxford Nizami Ganjavi Center.</w:t>
            </w:r>
          </w:p>
        </w:tc>
      </w:tr>
      <w:tr w:rsidR="001C5F76" w:rsidRPr="00485F85" w14:paraId="145BCBB2" w14:textId="77777777" w:rsidTr="00043827">
        <w:trPr>
          <w:gridAfter w:val="2"/>
          <w:wAfter w:w="954" w:type="dxa"/>
          <w:trHeight w:val="34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10000A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Oxford-Oxford Thai Foundation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4826D23A"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pela Oxford Thai Foundation</w:t>
            </w:r>
          </w:p>
        </w:tc>
      </w:tr>
      <w:tr w:rsidR="001C5F76" w:rsidRPr="00485F85" w14:paraId="4CAEE33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9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0A2303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Oxford-Patrick Duncan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0920DC4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pelo St Antony's College e pela família de Patrick Duncan (1918-67)</w:t>
            </w:r>
          </w:p>
        </w:tc>
      </w:tr>
      <w:tr w:rsidR="001C5F76" w:rsidRPr="00485F85" w14:paraId="6BDCD013" w14:textId="77777777" w:rsidTr="00043827">
        <w:trPr>
          <w:gridAfter w:val="2"/>
          <w:wAfter w:w="954" w:type="dxa"/>
          <w:trHeight w:val="54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C4F658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Oxford-Pearson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3CF7073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de antigo membro da Trinity, Stephen Pearson</w:t>
            </w:r>
          </w:p>
        </w:tc>
      </w:tr>
      <w:tr w:rsidR="001C5F76" w:rsidRPr="00C71F33" w14:paraId="23D973EA"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12755D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Oxford-Pershing Square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2D1543D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59FA9AC8" w14:textId="77777777" w:rsidTr="00043827">
        <w:trPr>
          <w:gridAfter w:val="2"/>
          <w:wAfter w:w="954" w:type="dxa"/>
          <w:trHeight w:val="50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840B0C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Oxford-Qatar-Thatcher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14CB655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Programa de Desenvolvimento Thatcher no Somerville College</w:t>
            </w:r>
          </w:p>
        </w:tc>
      </w:tr>
      <w:tr w:rsidR="001C5F76" w:rsidRPr="00485F85" w14:paraId="68C24E48"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8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E10D9F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Oxford-Radcliffe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678808B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University College , apoiadas por um presente histórico de £ 10 milhões de um grupo de Antigos Membros da Faculdade</w:t>
            </w:r>
          </w:p>
        </w:tc>
      </w:tr>
      <w:tr w:rsidR="001C5F76" w:rsidRPr="00485F85" w14:paraId="5E7274EE" w14:textId="77777777" w:rsidTr="00043827">
        <w:trPr>
          <w:gridAfter w:val="2"/>
          <w:wAfter w:w="954" w:type="dxa"/>
          <w:trHeight w:val="53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0142142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Oxford-Reuben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5F0BB02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Reuben College.</w:t>
            </w:r>
          </w:p>
        </w:tc>
      </w:tr>
      <w:tr w:rsidR="001C5F76" w:rsidRPr="00485F85" w14:paraId="40D829B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1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7FCB7C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Oxford-Richards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652468D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Apoio da Universidade e à generosa herança de David Richards</w:t>
            </w:r>
          </w:p>
        </w:tc>
      </w:tr>
      <w:tr w:rsidR="001C5F76" w:rsidRPr="00485F85" w14:paraId="29E269ED" w14:textId="77777777" w:rsidTr="00043827">
        <w:trPr>
          <w:gridAfter w:val="2"/>
          <w:wAfter w:w="954" w:type="dxa"/>
          <w:trHeight w:val="56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FC4871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Oxford-Robert and Soulla Kyprianou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17ED5F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Robert e Soulla Kyprianou</w:t>
            </w:r>
          </w:p>
        </w:tc>
      </w:tr>
      <w:tr w:rsidR="001C5F76" w:rsidRPr="00485F85" w14:paraId="791ACEE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68"/>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E0667C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Oxford-Rothermere American Institute Graduate Scholarship at University College</w:t>
            </w:r>
          </w:p>
        </w:tc>
        <w:tc>
          <w:tcPr>
            <w:tcW w:w="5493" w:type="dxa"/>
            <w:gridSpan w:val="11"/>
            <w:tcBorders>
              <w:top w:val="single" w:sz="4" w:space="0" w:color="auto"/>
              <w:left w:val="single" w:sz="4" w:space="0" w:color="auto"/>
              <w:bottom w:val="single" w:sz="4" w:space="0" w:color="auto"/>
              <w:right w:val="single" w:sz="4" w:space="0" w:color="auto"/>
            </w:tcBorders>
            <w:hideMark/>
          </w:tcPr>
          <w:p w14:paraId="06C971A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University College</w:t>
            </w:r>
          </w:p>
        </w:tc>
      </w:tr>
      <w:tr w:rsidR="001C5F76" w:rsidRPr="00485F85" w14:paraId="101690CE" w14:textId="77777777" w:rsidTr="00043827">
        <w:trPr>
          <w:gridAfter w:val="2"/>
          <w:wAfter w:w="954" w:type="dxa"/>
          <w:trHeight w:val="87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47FE0E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Oxford-Sheikh Mohammed bin Rashid Al Maktoum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08E33936"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conjuntamente pela Universidade e Sua Santidade Sheikh Mohammed bin Rashid Al Maktoum por meio da Fundação de Conhecimento Mohammed bin Rashid Al Maktoum.</w:t>
            </w:r>
          </w:p>
        </w:tc>
      </w:tr>
      <w:tr w:rsidR="001C5F76" w:rsidRPr="00485F85" w14:paraId="4DF2594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22"/>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4CBDED8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Oxford-Sir Anwar Pervez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2D4F155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Sir Anwar Pervez, fundador da Fundação Bestway</w:t>
            </w:r>
          </w:p>
        </w:tc>
      </w:tr>
      <w:tr w:rsidR="001C5F76" w:rsidRPr="00485F85" w14:paraId="69A46D08" w14:textId="77777777" w:rsidTr="00043827">
        <w:trPr>
          <w:gridAfter w:val="2"/>
          <w:wAfter w:w="954" w:type="dxa"/>
          <w:trHeight w:val="824"/>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558259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Oxford-Sir Ivor Roberts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01A6735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Apoio do Trinity College, que criou este prêmio para marcar a aposentadoria de Sir Ivor Roberts como Presidente da Trinity no final do ano acadêmico de 2016-17</w:t>
            </w:r>
          </w:p>
        </w:tc>
      </w:tr>
      <w:tr w:rsidR="001C5F76" w:rsidRPr="00485F85" w14:paraId="0E600AA1"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5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3F7B93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Oxford-Swire Graduate Scholarship in History</w:t>
            </w:r>
          </w:p>
        </w:tc>
        <w:tc>
          <w:tcPr>
            <w:tcW w:w="5493" w:type="dxa"/>
            <w:gridSpan w:val="11"/>
            <w:tcBorders>
              <w:top w:val="single" w:sz="4" w:space="0" w:color="auto"/>
              <w:left w:val="single" w:sz="4" w:space="0" w:color="auto"/>
              <w:bottom w:val="single" w:sz="4" w:space="0" w:color="auto"/>
              <w:right w:val="single" w:sz="4" w:space="0" w:color="auto"/>
            </w:tcBorders>
            <w:hideMark/>
          </w:tcPr>
          <w:p w14:paraId="3189CBE6"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Financiada conjuntamente pela Universidade e por Sir John Swire, que estudou História na University College desde 1948 e é um distinto membro antigo (ex-aluno) e membro honorário </w:t>
            </w:r>
            <w:r w:rsidRPr="00485F85">
              <w:rPr>
                <w:rFonts w:asciiTheme="majorHAnsi" w:eastAsia="Times New Roman" w:hAnsiTheme="majorHAnsi" w:cstheme="majorHAnsi"/>
                <w:color w:val="000000"/>
                <w:lang w:eastAsia="pt-BR"/>
              </w:rPr>
              <w:lastRenderedPageBreak/>
              <w:t>da University College.</w:t>
            </w:r>
          </w:p>
        </w:tc>
      </w:tr>
      <w:tr w:rsidR="001C5F76" w:rsidRPr="00485F85" w14:paraId="6C2755F5" w14:textId="77777777" w:rsidTr="00043827">
        <w:trPr>
          <w:gridAfter w:val="2"/>
          <w:wAfter w:w="954" w:type="dxa"/>
          <w:trHeight w:val="597"/>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5846E53"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lastRenderedPageBreak/>
              <w:t>Oxford-Terence Gorman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4892399"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val="en-US" w:eastAsia="pt-BR"/>
              </w:rPr>
              <w:t xml:space="preserve"> </w:t>
            </w:r>
            <w:r w:rsidRPr="00485F85">
              <w:rPr>
                <w:rFonts w:asciiTheme="majorHAnsi" w:eastAsia="Times New Roman" w:hAnsiTheme="majorHAnsi" w:cstheme="majorHAnsi"/>
                <w:color w:val="000000"/>
                <w:lang w:eastAsia="pt-BR"/>
              </w:rPr>
              <w:t>Financiada conjuntamente pela Universidade e por doadores generosos ao Nuffield College em memória de Terence Gorman, ilustre economista e ex-Nuffield Fellow</w:t>
            </w:r>
          </w:p>
        </w:tc>
      </w:tr>
      <w:tr w:rsidR="001C5F76" w:rsidRPr="00485F85" w14:paraId="1BC7A5F6"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23"/>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C198CB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Oxford-Thatcher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3B392ED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Programa de Desenvolvimento Thatcher no Somerville College</w:t>
            </w:r>
          </w:p>
        </w:tc>
      </w:tr>
      <w:tr w:rsidR="001C5F76" w:rsidRPr="00C71F33" w14:paraId="7DFE7C1F"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536816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Oxford-The Queen’s College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270ECDE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2E9CF84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26ECA39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Oxford-TrygFonden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5F4D2BFA"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pelo  TrygFonden</w:t>
            </w:r>
          </w:p>
        </w:tc>
      </w:tr>
      <w:tr w:rsidR="001C5F76" w:rsidRPr="00485F85" w14:paraId="4A0CF938" w14:textId="77777777" w:rsidTr="00043827">
        <w:trPr>
          <w:gridAfter w:val="2"/>
          <w:wAfter w:w="954" w:type="dxa"/>
          <w:trHeight w:val="478"/>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56ED893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Oxford-Ullendorff Graduate Scholarship in Semitic Philology</w:t>
            </w:r>
          </w:p>
        </w:tc>
        <w:tc>
          <w:tcPr>
            <w:tcW w:w="5493" w:type="dxa"/>
            <w:gridSpan w:val="11"/>
            <w:tcBorders>
              <w:top w:val="single" w:sz="4" w:space="0" w:color="auto"/>
              <w:left w:val="single" w:sz="4" w:space="0" w:color="auto"/>
              <w:bottom w:val="single" w:sz="4" w:space="0" w:color="auto"/>
              <w:right w:val="single" w:sz="4" w:space="0" w:color="auto"/>
            </w:tcBorders>
            <w:hideMark/>
          </w:tcPr>
          <w:p w14:paraId="71B50EF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com o apoio da Universidade e da falecida Sra. Dina Ullendorff em memória de seu marido, o Professor Edward Ullendorff</w:t>
            </w:r>
          </w:p>
        </w:tc>
      </w:tr>
      <w:tr w:rsidR="001C5F76" w:rsidRPr="00485F85" w14:paraId="23457B8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5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EC1B62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Oxford-University College-Burma Graduate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1876DE93"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um sindicato de doadores generosos ao University College</w:t>
            </w:r>
          </w:p>
        </w:tc>
      </w:tr>
      <w:tr w:rsidR="001C5F76" w:rsidRPr="00485F85" w14:paraId="35CA702E" w14:textId="77777777" w:rsidTr="00043827">
        <w:trPr>
          <w:gridAfter w:val="2"/>
          <w:wAfter w:w="954" w:type="dxa"/>
          <w:trHeight w:val="9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BA1BB5F"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Oxford-Wolfson College-Reginald Campbell Thompson Graduate Scholarship in Assyriology</w:t>
            </w:r>
          </w:p>
        </w:tc>
        <w:tc>
          <w:tcPr>
            <w:tcW w:w="5493" w:type="dxa"/>
            <w:gridSpan w:val="11"/>
            <w:tcBorders>
              <w:top w:val="single" w:sz="4" w:space="0" w:color="auto"/>
              <w:left w:val="single" w:sz="4" w:space="0" w:color="auto"/>
              <w:bottom w:val="single" w:sz="4" w:space="0" w:color="auto"/>
              <w:right w:val="single" w:sz="4" w:space="0" w:color="auto"/>
            </w:tcBorders>
            <w:hideMark/>
          </w:tcPr>
          <w:p w14:paraId="469DFB9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pela Universidade e um doador anônimo do Wolfson College</w:t>
            </w:r>
          </w:p>
        </w:tc>
      </w:tr>
      <w:tr w:rsidR="001C5F76" w:rsidRPr="00C71F33" w14:paraId="46108534"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323E6CC1"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Oxford-Wolfson-Marriott Graduate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1FDEEC0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619793C9" w14:textId="77777777" w:rsidTr="00043827">
        <w:trPr>
          <w:gridAfter w:val="2"/>
          <w:wAfter w:w="954" w:type="dxa"/>
          <w:trHeight w:val="1679"/>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02D3077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Saven European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74D319F4"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Presente do Sr. Bjorn Saven para apoiar alunos de graduação normalmente residentes nos seguintes países europeus que estão se candidatando a Oxford para realizar um mestrado em tempo integral ou curso DPhil em qualquer uma de mais de 140 disciplinas. Países: Áustria, Bélgica, Bulgária, Estônia, Finlândia, França, Alemanha, Luxemburgo, Noruega, Polônia, Portugal e Suécia.</w:t>
            </w:r>
          </w:p>
        </w:tc>
      </w:tr>
      <w:tr w:rsidR="001C5F76" w:rsidRPr="00485F85" w14:paraId="1A9C1E47"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0F0D776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Scatcherd European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12A9E3FD"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Parceria com outras bolsas Oxford</w:t>
            </w:r>
          </w:p>
        </w:tc>
      </w:tr>
      <w:tr w:rsidR="001C5F76" w:rsidRPr="00C71F33" w14:paraId="7019545F"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72425A90"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Standard Bank Africa Chairmans' Scholarship</w:t>
            </w:r>
          </w:p>
        </w:tc>
        <w:tc>
          <w:tcPr>
            <w:tcW w:w="5493" w:type="dxa"/>
            <w:gridSpan w:val="11"/>
            <w:tcBorders>
              <w:top w:val="single" w:sz="4" w:space="0" w:color="auto"/>
              <w:left w:val="single" w:sz="4" w:space="0" w:color="auto"/>
              <w:bottom w:val="single" w:sz="4" w:space="0" w:color="auto"/>
              <w:right w:val="single" w:sz="4" w:space="0" w:color="auto"/>
            </w:tcBorders>
            <w:hideMark/>
          </w:tcPr>
          <w:p w14:paraId="76993F2B"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79592443"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96"/>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16C6B52E"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Vicky Noon Educational Foundation Oxford Scholarships</w:t>
            </w:r>
          </w:p>
        </w:tc>
        <w:tc>
          <w:tcPr>
            <w:tcW w:w="5493" w:type="dxa"/>
            <w:gridSpan w:val="11"/>
            <w:tcBorders>
              <w:top w:val="single" w:sz="4" w:space="0" w:color="auto"/>
              <w:left w:val="single" w:sz="4" w:space="0" w:color="auto"/>
              <w:bottom w:val="single" w:sz="4" w:space="0" w:color="auto"/>
              <w:right w:val="single" w:sz="4" w:space="0" w:color="auto"/>
            </w:tcBorders>
            <w:hideMark/>
          </w:tcPr>
          <w:p w14:paraId="60215224"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pela Universidade e pela Fundação Educacional Vicky Noon</w:t>
            </w:r>
          </w:p>
        </w:tc>
      </w:tr>
      <w:tr w:rsidR="001C5F76" w:rsidRPr="00485F85" w14:paraId="55643A25"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254" w:type="dxa"/>
            <w:gridSpan w:val="6"/>
            <w:tcBorders>
              <w:top w:val="single" w:sz="4" w:space="0" w:color="auto"/>
              <w:left w:val="single" w:sz="4" w:space="0" w:color="auto"/>
              <w:bottom w:val="single" w:sz="4" w:space="0" w:color="auto"/>
              <w:right w:val="single" w:sz="4" w:space="0" w:color="auto"/>
            </w:tcBorders>
            <w:hideMark/>
          </w:tcPr>
          <w:p w14:paraId="6BD121D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Wolfson Postgraduate Scholarships in the Humanities</w:t>
            </w:r>
          </w:p>
        </w:tc>
        <w:tc>
          <w:tcPr>
            <w:tcW w:w="5493" w:type="dxa"/>
            <w:gridSpan w:val="11"/>
            <w:tcBorders>
              <w:top w:val="single" w:sz="4" w:space="0" w:color="auto"/>
              <w:left w:val="single" w:sz="4" w:space="0" w:color="auto"/>
              <w:bottom w:val="single" w:sz="4" w:space="0" w:color="auto"/>
              <w:right w:val="single" w:sz="4" w:space="0" w:color="auto"/>
            </w:tcBorders>
            <w:hideMark/>
          </w:tcPr>
          <w:p w14:paraId="510C068D"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Fundação Wolfson</w:t>
            </w:r>
          </w:p>
        </w:tc>
      </w:tr>
      <w:tr w:rsidR="009C02E6" w:rsidRPr="00485F85" w14:paraId="34DF206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3114" w:type="dxa"/>
            <w:gridSpan w:val="4"/>
            <w:tcBorders>
              <w:top w:val="single" w:sz="4" w:space="0" w:color="auto"/>
              <w:left w:val="single" w:sz="4" w:space="0" w:color="auto"/>
              <w:bottom w:val="single" w:sz="4" w:space="0" w:color="auto"/>
              <w:right w:val="single" w:sz="4" w:space="0" w:color="auto"/>
            </w:tcBorders>
          </w:tcPr>
          <w:p w14:paraId="01177F01" w14:textId="77777777" w:rsidR="001C5F76" w:rsidRPr="00485F85" w:rsidRDefault="001C5F76" w:rsidP="009C02E6">
            <w:pPr>
              <w:spacing w:line="360" w:lineRule="auto"/>
              <w:jc w:val="both"/>
              <w:rPr>
                <w:rFonts w:asciiTheme="majorHAnsi" w:hAnsiTheme="majorHAnsi" w:cstheme="majorHAnsi"/>
              </w:rPr>
            </w:pPr>
          </w:p>
        </w:tc>
        <w:tc>
          <w:tcPr>
            <w:tcW w:w="4008" w:type="dxa"/>
            <w:gridSpan w:val="8"/>
            <w:tcBorders>
              <w:top w:val="single" w:sz="4" w:space="0" w:color="auto"/>
              <w:left w:val="single" w:sz="4" w:space="0" w:color="auto"/>
              <w:bottom w:val="single" w:sz="4" w:space="0" w:color="auto"/>
              <w:right w:val="single" w:sz="4" w:space="0" w:color="auto"/>
            </w:tcBorders>
          </w:tcPr>
          <w:p w14:paraId="7D6FE98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625" w:type="dxa"/>
            <w:gridSpan w:val="5"/>
            <w:tcBorders>
              <w:top w:val="single" w:sz="4" w:space="0" w:color="auto"/>
              <w:left w:val="single" w:sz="4" w:space="0" w:color="auto"/>
              <w:bottom w:val="single" w:sz="4" w:space="0" w:color="auto"/>
              <w:right w:val="single" w:sz="4" w:space="0" w:color="auto"/>
            </w:tcBorders>
          </w:tcPr>
          <w:p w14:paraId="495DF72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31B1BD7D"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6EEBFB91" w14:textId="77777777" w:rsidR="001C5F76" w:rsidRPr="00485F85" w:rsidRDefault="001C5F76" w:rsidP="009C02E6">
            <w:pPr>
              <w:tabs>
                <w:tab w:val="clear" w:pos="1615"/>
              </w:tabs>
              <w:spacing w:line="360" w:lineRule="auto"/>
              <w:jc w:val="center"/>
              <w:rPr>
                <w:rFonts w:asciiTheme="majorHAnsi" w:eastAsia="Times New Roman" w:hAnsiTheme="majorHAnsi" w:cstheme="majorHAnsi"/>
                <w:b w:val="0"/>
                <w:bCs w:val="0"/>
                <w:color w:val="000000"/>
                <w:sz w:val="24"/>
                <w:szCs w:val="24"/>
                <w:lang w:eastAsia="pt-BR"/>
              </w:rPr>
            </w:pPr>
            <w:r w:rsidRPr="00485F85">
              <w:rPr>
                <w:rFonts w:asciiTheme="majorHAnsi" w:eastAsia="Times New Roman" w:hAnsiTheme="majorHAnsi" w:cstheme="majorHAnsi"/>
                <w:color w:val="000000"/>
                <w:sz w:val="24"/>
                <w:szCs w:val="24"/>
                <w:lang w:eastAsia="pt-BR"/>
              </w:rPr>
              <w:t>Bolsas  de Pós-Graduação (requerem inscrição)</w:t>
            </w:r>
          </w:p>
        </w:tc>
        <w:tc>
          <w:tcPr>
            <w:tcW w:w="4926" w:type="dxa"/>
            <w:gridSpan w:val="7"/>
            <w:tcBorders>
              <w:top w:val="single" w:sz="4" w:space="0" w:color="auto"/>
              <w:left w:val="single" w:sz="4" w:space="0" w:color="auto"/>
              <w:bottom w:val="single" w:sz="4" w:space="0" w:color="auto"/>
              <w:right w:val="single" w:sz="4" w:space="0" w:color="auto"/>
            </w:tcBorders>
            <w:hideMark/>
          </w:tcPr>
          <w:p w14:paraId="6E1EE12F" w14:textId="77777777" w:rsidR="001C5F76" w:rsidRPr="00485F85" w:rsidRDefault="001C5F76" w:rsidP="009C02E6">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lang w:eastAsia="pt-BR"/>
              </w:rPr>
            </w:pPr>
            <w:r w:rsidRPr="00485F85">
              <w:rPr>
                <w:rFonts w:asciiTheme="majorHAnsi" w:eastAsia="Times New Roman" w:hAnsiTheme="majorHAnsi" w:cstheme="majorHAnsi"/>
                <w:b/>
                <w:bCs/>
                <w:color w:val="000000"/>
                <w:sz w:val="24"/>
                <w:szCs w:val="24"/>
                <w:lang w:eastAsia="pt-BR"/>
              </w:rPr>
              <w:t>Financiadores</w:t>
            </w:r>
          </w:p>
        </w:tc>
      </w:tr>
      <w:tr w:rsidR="001C5F76" w:rsidRPr="00485F85" w14:paraId="2CFBE9AE"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ABF302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China Oxford Scholarship Fund</w:t>
            </w:r>
          </w:p>
        </w:tc>
        <w:tc>
          <w:tcPr>
            <w:tcW w:w="4926" w:type="dxa"/>
            <w:gridSpan w:val="7"/>
            <w:tcBorders>
              <w:top w:val="single" w:sz="4" w:space="0" w:color="auto"/>
              <w:left w:val="single" w:sz="4" w:space="0" w:color="auto"/>
              <w:bottom w:val="single" w:sz="4" w:space="0" w:color="auto"/>
              <w:right w:val="single" w:sz="4" w:space="0" w:color="auto"/>
            </w:tcBorders>
            <w:hideMark/>
          </w:tcPr>
          <w:p w14:paraId="63A7873C"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 China Oxford Scholarship Fund</w:t>
            </w:r>
          </w:p>
        </w:tc>
      </w:tr>
      <w:tr w:rsidR="001C5F76" w:rsidRPr="00C71F33" w14:paraId="268673D8"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57408CBB"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China Scholarship Council-University of Oxford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6263B793"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China Scholarship Council-University of Oxford Scholarships</w:t>
            </w:r>
          </w:p>
        </w:tc>
      </w:tr>
      <w:tr w:rsidR="001C5F76" w:rsidRPr="00485F85" w14:paraId="0CDE28B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474"/>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F16FF76"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Commonwealth Shared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00530B1E"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 conjuntamente pelo UK Foreign, Commonwealth and Development Office e pela Universidade</w:t>
            </w:r>
          </w:p>
        </w:tc>
      </w:tr>
      <w:tr w:rsidR="001C5F76" w:rsidRPr="00485F85" w14:paraId="62CA661C" w14:textId="77777777" w:rsidTr="00043827">
        <w:trPr>
          <w:gridAfter w:val="2"/>
          <w:wAfter w:w="954" w:type="dxa"/>
          <w:trHeight w:val="482"/>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41CB908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Ertegun Graduate Scholarship Programme in the Humanities</w:t>
            </w:r>
          </w:p>
        </w:tc>
        <w:tc>
          <w:tcPr>
            <w:tcW w:w="4926" w:type="dxa"/>
            <w:gridSpan w:val="7"/>
            <w:tcBorders>
              <w:top w:val="single" w:sz="4" w:space="0" w:color="auto"/>
              <w:left w:val="single" w:sz="4" w:space="0" w:color="auto"/>
              <w:bottom w:val="single" w:sz="4" w:space="0" w:color="auto"/>
              <w:right w:val="single" w:sz="4" w:space="0" w:color="auto"/>
            </w:tcBorders>
            <w:hideMark/>
          </w:tcPr>
          <w:p w14:paraId="3975444F"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Doação de Mica Ertegun</w:t>
            </w:r>
          </w:p>
        </w:tc>
      </w:tr>
      <w:tr w:rsidR="001C5F76" w:rsidRPr="00485F85" w14:paraId="7DAD968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3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9BC3118"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Hill Foundation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13B40EEF"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Hill Foundation</w:t>
            </w:r>
          </w:p>
        </w:tc>
      </w:tr>
      <w:tr w:rsidR="001C5F76" w:rsidRPr="00C71F33" w14:paraId="0FACBCF8"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775941D"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 Centre for Islamic Studies (OCIS) Graduate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44BFDDCC"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xml:space="preserve"> Oxford Centre for Islamic Studies</w:t>
            </w:r>
          </w:p>
        </w:tc>
      </w:tr>
      <w:tr w:rsidR="001C5F76" w:rsidRPr="00C71F33" w14:paraId="7B19220A"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99"/>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70DA321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Oxford-E P Abraham Research Fund Graduate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7DC148F7"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Financiada conjuntamente pela University e Edward Penley Abraham Research Fund da Sir William Dunn School of Pathology e está associada ao Lincoln College</w:t>
            </w:r>
          </w:p>
        </w:tc>
      </w:tr>
      <w:tr w:rsidR="001C5F76" w:rsidRPr="00485F85" w14:paraId="0CEABE45" w14:textId="77777777" w:rsidTr="00043827">
        <w:trPr>
          <w:gridAfter w:val="2"/>
          <w:wAfter w:w="954" w:type="dxa"/>
          <w:trHeight w:val="416"/>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E3BD2A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Oxford-Taiwan Graduate Scholarships </w:t>
            </w:r>
          </w:p>
        </w:tc>
        <w:tc>
          <w:tcPr>
            <w:tcW w:w="4926" w:type="dxa"/>
            <w:gridSpan w:val="7"/>
            <w:tcBorders>
              <w:top w:val="single" w:sz="4" w:space="0" w:color="auto"/>
              <w:left w:val="single" w:sz="4" w:space="0" w:color="auto"/>
              <w:bottom w:val="single" w:sz="4" w:space="0" w:color="auto"/>
              <w:right w:val="single" w:sz="4" w:space="0" w:color="auto"/>
            </w:tcBorders>
            <w:hideMark/>
          </w:tcPr>
          <w:p w14:paraId="280CC4E8"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Financiadas conjuntamente pela Universidade e pelo Ministério da Educação da República da China (Taiwan)</w:t>
            </w:r>
          </w:p>
        </w:tc>
      </w:tr>
      <w:tr w:rsidR="001C5F76" w:rsidRPr="00485F85" w14:paraId="44798879"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6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24920335"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Oxford-The Simcox Family Graduate Scholarship</w:t>
            </w:r>
          </w:p>
        </w:tc>
        <w:tc>
          <w:tcPr>
            <w:tcW w:w="4926" w:type="dxa"/>
            <w:gridSpan w:val="7"/>
            <w:tcBorders>
              <w:top w:val="single" w:sz="4" w:space="0" w:color="auto"/>
              <w:left w:val="single" w:sz="4" w:space="0" w:color="auto"/>
              <w:bottom w:val="single" w:sz="4" w:space="0" w:color="auto"/>
              <w:right w:val="single" w:sz="4" w:space="0" w:color="auto"/>
            </w:tcBorders>
            <w:hideMark/>
          </w:tcPr>
          <w:p w14:paraId="1091CD31"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val="en-US" w:eastAsia="pt-BR"/>
              </w:rPr>
              <w:t xml:space="preserve"> </w:t>
            </w:r>
            <w:r w:rsidRPr="00485F85">
              <w:rPr>
                <w:rFonts w:asciiTheme="majorHAnsi" w:eastAsia="Times New Roman" w:hAnsiTheme="majorHAnsi" w:cstheme="majorHAnsi"/>
                <w:color w:val="000000"/>
                <w:lang w:eastAsia="pt-BR"/>
              </w:rPr>
              <w:t>Financiada conjuntamente pela Universidade e pela família Simcox</w:t>
            </w:r>
          </w:p>
        </w:tc>
      </w:tr>
      <w:tr w:rsidR="001C5F76" w:rsidRPr="00485F85" w14:paraId="2F1AD458" w14:textId="77777777" w:rsidTr="00043827">
        <w:trPr>
          <w:gridAfter w:val="2"/>
          <w:wAfter w:w="954" w:type="dxa"/>
          <w:trHeight w:val="403"/>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0575623A"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Oxford-Weidenfeld and Hoffmann Scholarships and Leadership Programme</w:t>
            </w:r>
          </w:p>
        </w:tc>
        <w:tc>
          <w:tcPr>
            <w:tcW w:w="4926" w:type="dxa"/>
            <w:gridSpan w:val="7"/>
            <w:tcBorders>
              <w:top w:val="single" w:sz="4" w:space="0" w:color="auto"/>
              <w:left w:val="single" w:sz="4" w:space="0" w:color="auto"/>
              <w:bottom w:val="single" w:sz="4" w:space="0" w:color="auto"/>
              <w:right w:val="single" w:sz="4" w:space="0" w:color="auto"/>
            </w:tcBorders>
            <w:hideMark/>
          </w:tcPr>
          <w:p w14:paraId="0345FD80"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Doações de vários doadores para marcar o 95º aniversário de Lord Weidenfeld</w:t>
            </w:r>
          </w:p>
        </w:tc>
      </w:tr>
      <w:tr w:rsidR="001C5F76" w:rsidRPr="00485F85" w14:paraId="540A2420"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Height w:val="141"/>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3350FA54"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Saïd Foundation Oxford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44A04880" w14:textId="77777777" w:rsidR="001C5F76" w:rsidRPr="00485F85" w:rsidRDefault="001C5F76" w:rsidP="009C02E6">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Fundação Saïd</w:t>
            </w:r>
          </w:p>
        </w:tc>
      </w:tr>
      <w:tr w:rsidR="001C5F76" w:rsidRPr="00C71F33" w14:paraId="42421440" w14:textId="77777777" w:rsidTr="00043827">
        <w:trPr>
          <w:gridAfter w:val="2"/>
          <w:wAfter w:w="954" w:type="dxa"/>
          <w:trHeight w:val="600"/>
        </w:trPr>
        <w:tc>
          <w:tcPr>
            <w:cnfStyle w:val="001000000000" w:firstRow="0" w:lastRow="0" w:firstColumn="1" w:lastColumn="0" w:oddVBand="0" w:evenVBand="0" w:oddHBand="0" w:evenHBand="0" w:firstRowFirstColumn="0" w:firstRowLastColumn="0" w:lastRowFirstColumn="0" w:lastRowLastColumn="0"/>
            <w:tcW w:w="4821" w:type="dxa"/>
            <w:gridSpan w:val="10"/>
            <w:tcBorders>
              <w:top w:val="single" w:sz="4" w:space="0" w:color="auto"/>
              <w:left w:val="single" w:sz="4" w:space="0" w:color="auto"/>
              <w:bottom w:val="single" w:sz="4" w:space="0" w:color="auto"/>
              <w:right w:val="single" w:sz="4" w:space="0" w:color="auto"/>
            </w:tcBorders>
            <w:hideMark/>
          </w:tcPr>
          <w:p w14:paraId="2418C05C" w14:textId="77777777" w:rsidR="001C5F76" w:rsidRPr="00485F85" w:rsidRDefault="001C5F76" w:rsidP="009C02E6">
            <w:pPr>
              <w:tabs>
                <w:tab w:val="clear" w:pos="1615"/>
              </w:tabs>
              <w:spacing w:line="360" w:lineRule="auto"/>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University of Oxford Croucher Scholarships</w:t>
            </w:r>
          </w:p>
        </w:tc>
        <w:tc>
          <w:tcPr>
            <w:tcW w:w="4926" w:type="dxa"/>
            <w:gridSpan w:val="7"/>
            <w:tcBorders>
              <w:top w:val="single" w:sz="4" w:space="0" w:color="auto"/>
              <w:left w:val="single" w:sz="4" w:space="0" w:color="auto"/>
              <w:bottom w:val="single" w:sz="4" w:space="0" w:color="auto"/>
              <w:right w:val="single" w:sz="4" w:space="0" w:color="auto"/>
            </w:tcBorders>
            <w:hideMark/>
          </w:tcPr>
          <w:p w14:paraId="64985001" w14:textId="77777777" w:rsidR="001C5F76" w:rsidRPr="00485F85" w:rsidRDefault="001C5F76" w:rsidP="009C02E6">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US" w:eastAsia="pt-BR"/>
              </w:rPr>
            </w:pPr>
            <w:r w:rsidRPr="00485F85">
              <w:rPr>
                <w:rFonts w:asciiTheme="majorHAnsi" w:eastAsia="Times New Roman" w:hAnsiTheme="majorHAnsi" w:cstheme="majorHAnsi"/>
                <w:color w:val="000000"/>
                <w:lang w:val="en-US" w:eastAsia="pt-BR"/>
              </w:rPr>
              <w:t> </w:t>
            </w:r>
          </w:p>
        </w:tc>
      </w:tr>
      <w:tr w:rsidR="001C5F76" w:rsidRPr="00485F85" w14:paraId="37F6687D"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3114" w:type="dxa"/>
            <w:gridSpan w:val="4"/>
            <w:tcBorders>
              <w:top w:val="single" w:sz="4" w:space="0" w:color="auto"/>
              <w:left w:val="single" w:sz="4" w:space="0" w:color="auto"/>
              <w:bottom w:val="single" w:sz="4" w:space="0" w:color="auto"/>
              <w:right w:val="single" w:sz="4" w:space="0" w:color="auto"/>
            </w:tcBorders>
          </w:tcPr>
          <w:p w14:paraId="7C0FA593" w14:textId="77777777" w:rsidR="001C5F76" w:rsidRPr="00485F85" w:rsidRDefault="001C5F76" w:rsidP="009C02E6">
            <w:pPr>
              <w:spacing w:line="360" w:lineRule="auto"/>
              <w:jc w:val="both"/>
              <w:rPr>
                <w:rFonts w:asciiTheme="majorHAnsi" w:hAnsiTheme="majorHAnsi" w:cstheme="majorHAnsi"/>
                <w:lang w:val="en-US"/>
              </w:rPr>
            </w:pPr>
          </w:p>
          <w:p w14:paraId="7F4FFFCB"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 xml:space="preserve">Observações: </w:t>
            </w:r>
          </w:p>
        </w:tc>
        <w:tc>
          <w:tcPr>
            <w:tcW w:w="6633" w:type="dxa"/>
            <w:gridSpan w:val="13"/>
            <w:tcBorders>
              <w:top w:val="single" w:sz="4" w:space="0" w:color="auto"/>
              <w:left w:val="single" w:sz="4" w:space="0" w:color="auto"/>
              <w:bottom w:val="single" w:sz="4" w:space="0" w:color="auto"/>
              <w:right w:val="single" w:sz="4" w:space="0" w:color="auto"/>
            </w:tcBorders>
          </w:tcPr>
          <w:p w14:paraId="3B1517A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38C30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As bolsas expostas nas tabelas acima para a pós-graduação são acionadas automaticamente ou requerem inscrição por parte do candidato. Ao todo são 77 possibilidades de bolsas para os alunos de pós-graduação.</w:t>
            </w:r>
          </w:p>
          <w:p w14:paraId="239E8BD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Fonte: </w:t>
            </w:r>
            <w:hyperlink r:id="rId155" w:history="1">
              <w:r w:rsidRPr="00485F85">
                <w:rPr>
                  <w:rFonts w:asciiTheme="majorHAnsi" w:hAnsiTheme="majorHAnsi" w:cstheme="majorHAnsi"/>
                  <w:color w:val="4875BD" w:themeColor="accent1"/>
                  <w:u w:val="single"/>
                </w:rPr>
                <w:t>https://www.ox.ac.uk/admissions/graduate/fees-and-funding/fees-funding-and-scholarship-search/scholarships-a-z-listing</w:t>
              </w:r>
            </w:hyperlink>
            <w:r w:rsidRPr="00485F85">
              <w:rPr>
                <w:rFonts w:asciiTheme="majorHAnsi" w:hAnsiTheme="majorHAnsi" w:cstheme="majorHAnsi"/>
              </w:rPr>
              <w:t xml:space="preserve"> </w:t>
            </w:r>
          </w:p>
          <w:p w14:paraId="14681FC3" w14:textId="38F46361"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Coleta de dados realizada em 1 de agosto</w:t>
            </w:r>
          </w:p>
          <w:p w14:paraId="12955F7A" w14:textId="7D6A2C96"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D3D7797" w14:textId="5F3D3821"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A Universidade de Oxford possui diversas formas de financiamentos.</w:t>
            </w:r>
          </w:p>
          <w:p w14:paraId="4A9F2879" w14:textId="63F1C553" w:rsidR="007B641C" w:rsidRPr="00485F85" w:rsidRDefault="00A515B3"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56" w:history="1">
              <w:r w:rsidR="007B641C" w:rsidRPr="00485F85">
                <w:rPr>
                  <w:rStyle w:val="Hyperlink"/>
                  <w:rFonts w:asciiTheme="majorHAnsi" w:hAnsiTheme="majorHAnsi" w:cstheme="majorHAnsi"/>
                </w:rPr>
                <w:t>https://www.ox.ac.uk/admissions/graduate/fees-and-funding/oxford-funding</w:t>
              </w:r>
            </w:hyperlink>
            <w:r w:rsidR="007B641C" w:rsidRPr="00485F85">
              <w:rPr>
                <w:rFonts w:asciiTheme="majorHAnsi" w:hAnsiTheme="majorHAnsi" w:cstheme="majorHAnsi"/>
              </w:rPr>
              <w:t xml:space="preserve"> </w:t>
            </w:r>
          </w:p>
          <w:p w14:paraId="4D2BF55E" w14:textId="2A70E66D"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537541F" w14:textId="77777777"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Conselhos de Pesquisa</w:t>
            </w:r>
          </w:p>
          <w:p w14:paraId="16A31FCD" w14:textId="77777777"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Existem sete Conselhos de Pesquisa do Reino Unido, órgãos com financiamento público que apoiam pesquisas e bolsas de estudo em uma variedade de áreas temáticas. Um grande número de prêmios já foi recebido pelos alunos de pós-graduação em reconhecimento à qualidade da pesquisa de classe mundial realizada em Oxford. Algumas faculdades também oferecem prêmios de parceria vinculados aos prêmios do Conselho de Pesquisa, cujos detalhes estão disponíveis no College Partnership Awards.</w:t>
            </w:r>
          </w:p>
          <w:p w14:paraId="5DBE5BC1" w14:textId="77777777" w:rsidR="007B641C" w:rsidRPr="00485F85" w:rsidRDefault="007B641C"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9972F1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w:t>
            </w:r>
          </w:p>
        </w:tc>
      </w:tr>
      <w:tr w:rsidR="001C5F76" w:rsidRPr="00485F85" w14:paraId="14F95F73" w14:textId="77777777" w:rsidTr="00043827">
        <w:trPr>
          <w:gridAfter w:val="2"/>
          <w:wAfter w:w="954" w:type="dxa"/>
          <w:trHeight w:val="348"/>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031342E1"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lastRenderedPageBreak/>
              <w:t>4.4. Estratégias para a modernização do ensino</w:t>
            </w:r>
          </w:p>
        </w:tc>
      </w:tr>
      <w:tr w:rsidR="001C5F76" w:rsidRPr="00485F85" w14:paraId="5939DD7A"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3DCF6A9D"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4.4.1.Metodologias de Ensino</w:t>
            </w:r>
          </w:p>
        </w:tc>
      </w:tr>
      <w:tr w:rsidR="001C5F76" w:rsidRPr="00485F85" w14:paraId="06E0820C"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1BF2865C" w14:textId="77777777" w:rsidR="001C5F76" w:rsidRPr="00485F85" w:rsidRDefault="001C5F76" w:rsidP="009C02E6">
            <w:pPr>
              <w:spacing w:line="360" w:lineRule="auto"/>
              <w:jc w:val="both"/>
              <w:rPr>
                <w:rFonts w:asciiTheme="majorHAnsi" w:hAnsiTheme="majorHAnsi" w:cstheme="majorHAnsi"/>
              </w:rPr>
            </w:pPr>
          </w:p>
          <w:p w14:paraId="4219469F"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APRENDIZAGEM</w:t>
            </w:r>
          </w:p>
          <w:p w14:paraId="5EB71B6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Aprender em Oxford é estimulante, exigente e potencialmente transformador. As oportunidades de ensino, pesquisa e aprendizagem são excepcionais e o ambiente inspirador. A premissa é que os estudos desenvolverão  clareza de pensamentos aos estudantes. Dependendo do curso escolhido, o aluno terá acesso individual a especialistas acadêmicos de nível mundial por meio de uma combinação de tutoriais, palestras, aulas ou trabalhos de laboratório. </w:t>
            </w:r>
          </w:p>
          <w:p w14:paraId="31A21502" w14:textId="77777777" w:rsidR="001C5F76" w:rsidRPr="00485F85" w:rsidRDefault="001C5F76" w:rsidP="009C02E6">
            <w:pPr>
              <w:spacing w:line="360" w:lineRule="auto"/>
              <w:jc w:val="both"/>
              <w:rPr>
                <w:rFonts w:asciiTheme="majorHAnsi" w:hAnsiTheme="majorHAnsi" w:cstheme="majorHAnsi"/>
              </w:rPr>
            </w:pPr>
          </w:p>
          <w:p w14:paraId="320CAD1E"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Basicamente o ensino é dividido em: </w:t>
            </w:r>
          </w:p>
          <w:p w14:paraId="2B5A2500" w14:textId="77777777" w:rsidR="001C5F76" w:rsidRPr="00485F85" w:rsidRDefault="001C5F76" w:rsidP="009C02E6">
            <w:pPr>
              <w:spacing w:line="360" w:lineRule="auto"/>
              <w:jc w:val="both"/>
              <w:rPr>
                <w:rFonts w:asciiTheme="majorHAnsi" w:hAnsiTheme="majorHAnsi" w:cstheme="majorHAnsi"/>
              </w:rPr>
            </w:pPr>
          </w:p>
          <w:p w14:paraId="3C4A4751"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PERSONALISED TUTORIALS</w:t>
            </w:r>
          </w:p>
          <w:p w14:paraId="089ED1D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Os tutoriais são fundamentais para o ensino. São conversas, normalmente entre dois ou três alunos e seu tutor, que oferece um raro nível de atenção personalizada de especialistas acadêmicos. Os tutoriais são discussões acadêmicas regulares e rigorosas e fornecem feedback individual sobre o trabalho.</w:t>
            </w:r>
          </w:p>
          <w:p w14:paraId="4FE599D2" w14:textId="77777777" w:rsidR="001C5F76" w:rsidRPr="00485F85" w:rsidRDefault="001C5F76" w:rsidP="009C02E6">
            <w:pPr>
              <w:spacing w:line="360" w:lineRule="auto"/>
              <w:jc w:val="both"/>
              <w:rPr>
                <w:rFonts w:asciiTheme="majorHAnsi" w:hAnsiTheme="majorHAnsi" w:cstheme="majorHAnsi"/>
              </w:rPr>
            </w:pPr>
          </w:p>
          <w:p w14:paraId="364AF045" w14:textId="77777777" w:rsidR="001C5F76" w:rsidRPr="00485F85" w:rsidRDefault="001C5F76" w:rsidP="009C02E6">
            <w:pPr>
              <w:spacing w:line="360" w:lineRule="auto"/>
              <w:jc w:val="both"/>
              <w:rPr>
                <w:rFonts w:asciiTheme="majorHAnsi" w:hAnsiTheme="majorHAnsi" w:cstheme="majorHAnsi"/>
                <w:b w:val="0"/>
                <w:bCs w:val="0"/>
                <w:lang w:val="en-US"/>
              </w:rPr>
            </w:pPr>
            <w:r w:rsidRPr="00485F85">
              <w:rPr>
                <w:rFonts w:asciiTheme="majorHAnsi" w:hAnsiTheme="majorHAnsi" w:cstheme="majorHAnsi"/>
                <w:lang w:val="en-US"/>
              </w:rPr>
              <w:t xml:space="preserve">WEEKLY CLASSES: SEMINARS, LABS, PRACTICAL SESSIONS </w:t>
            </w:r>
          </w:p>
          <w:p w14:paraId="73F05EE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Além do ensino em tutoriais, muitos cursos têm seminários ou sessões práticas, como trabalho de campo, </w:t>
            </w:r>
            <w:r w:rsidRPr="00485F85">
              <w:rPr>
                <w:rFonts w:asciiTheme="majorHAnsi" w:hAnsiTheme="majorHAnsi" w:cstheme="majorHAnsi"/>
              </w:rPr>
              <w:lastRenderedPageBreak/>
              <w:t>todas as semanas. Eles podem abranger áreas específicas do curso ou se concentrar no desenvolvimento de idioma ou outras habilidades. Essas aulas também podem dar a oportunidade do aluno descobrir sobre as pesquisas atuais realizadas por acadêmicos em seu departamento de disciplinas. O estudante também terá algumas palestras para assistir que abordarão tópicos importantes relacionados ao curso escolhido.</w:t>
            </w:r>
          </w:p>
          <w:p w14:paraId="6774D971"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LECTURES: EXTENDING YOUR LEARNING</w:t>
            </w:r>
          </w:p>
          <w:p w14:paraId="08C6C01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As palestras cobrem tópicos importantes relacionados ao seu curso e são organizadas por seu departamento de assuntos. Os diferentes cursos variam no número de palestras que os alunos devem assistir a cada semana e em cada etapa do curso. As disciplinas de ciências tendem a ter muito mais palestras do que as disciplinas de artes ou humanidades e normalmente são obrigatórias. As palestras têm como objetivo complementar e apoiar o seu estudo independente e fornecer informações que serão relevantes para o que você está estudando naquele semestre.</w:t>
            </w:r>
          </w:p>
          <w:p w14:paraId="4BC2CA87" w14:textId="77777777" w:rsidR="001C5F76" w:rsidRPr="00485F85" w:rsidRDefault="001C5F76" w:rsidP="009C02E6">
            <w:pPr>
              <w:spacing w:line="360" w:lineRule="auto"/>
              <w:jc w:val="both"/>
              <w:rPr>
                <w:rFonts w:asciiTheme="majorHAnsi" w:hAnsiTheme="majorHAnsi" w:cstheme="majorHAnsi"/>
                <w:b w:val="0"/>
                <w:bCs w:val="0"/>
              </w:rPr>
            </w:pPr>
          </w:p>
          <w:p w14:paraId="0AE07709"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INDEPENDENT STUDY</w:t>
            </w:r>
          </w:p>
          <w:p w14:paraId="60434D83"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Espera-se que os alunos de Oxford passem a maior parte do tempo trabalhando de forma independente. Todos os cursos de graduação são em tempo integral e, em média, os alunos passam cerca de 40 horas semanais estudando. Espera-se que os alunos façam suas próprias pesquisas e desenvolvam seus próprios conhecimentos e compreensão, geralmente trabalhando através de uma lista de leitura para preencher uma folha de problemas ou ensaio. Muitos cursos também oferecem a oportunidade de seguir sua própria pesquisa aprofundada para uma dissertação ou projeto. Essas pesquisas independentes geralmente ocorrem no final do curso e permitem que o aluno se concentre em um assunto que achou particularmente interessante e desenvolva excelentes habilidades de pesquisa.</w:t>
            </w:r>
          </w:p>
          <w:p w14:paraId="1101921B" w14:textId="77777777" w:rsidR="001C5F76" w:rsidRPr="00485F85" w:rsidRDefault="001C5F76" w:rsidP="009C02E6">
            <w:pPr>
              <w:spacing w:line="360" w:lineRule="auto"/>
              <w:jc w:val="both"/>
              <w:rPr>
                <w:rFonts w:asciiTheme="majorHAnsi" w:hAnsiTheme="majorHAnsi" w:cstheme="majorHAnsi"/>
              </w:rPr>
            </w:pPr>
          </w:p>
          <w:p w14:paraId="044EBE6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Fonte: </w:t>
            </w:r>
            <w:hyperlink r:id="rId157" w:history="1">
              <w:r w:rsidRPr="00485F85">
                <w:rPr>
                  <w:rFonts w:asciiTheme="majorHAnsi" w:hAnsiTheme="majorHAnsi" w:cstheme="majorHAnsi"/>
                  <w:color w:val="4875BD" w:themeColor="accent1"/>
                  <w:u w:val="single"/>
                </w:rPr>
                <w:t>https://www.ox.ac.uk/admissions/undergraduate/student-life/exceptional-education/personalised-learning</w:t>
              </w:r>
            </w:hyperlink>
            <w:r w:rsidRPr="00485F85">
              <w:rPr>
                <w:rFonts w:asciiTheme="majorHAnsi" w:hAnsiTheme="majorHAnsi" w:cstheme="majorHAnsi"/>
              </w:rPr>
              <w:t xml:space="preserve"> </w:t>
            </w:r>
          </w:p>
          <w:p w14:paraId="5BEBF9F1"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3C2905CB"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6DE9C49F"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lastRenderedPageBreak/>
              <w:t>4.4.2. Identificação e Relação de mecanismos para a modernização do ensino</w:t>
            </w:r>
          </w:p>
        </w:tc>
      </w:tr>
      <w:tr w:rsidR="001C5F76" w:rsidRPr="00485F85" w14:paraId="6409808C"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0CD0044E" w14:textId="77777777" w:rsidR="001C5F76" w:rsidRPr="00485F85" w:rsidRDefault="001C5F76" w:rsidP="009C02E6">
            <w:pPr>
              <w:spacing w:line="360" w:lineRule="auto"/>
              <w:jc w:val="both"/>
              <w:rPr>
                <w:rFonts w:asciiTheme="majorHAnsi" w:hAnsiTheme="majorHAnsi" w:cstheme="majorHAnsi"/>
                <w:b w:val="0"/>
              </w:rPr>
            </w:pPr>
          </w:p>
          <w:p w14:paraId="2341E9B9" w14:textId="77777777" w:rsidR="001C5F76" w:rsidRPr="00485F85" w:rsidRDefault="001C5F76" w:rsidP="009C02E6">
            <w:pPr>
              <w:spacing w:line="360" w:lineRule="auto"/>
              <w:jc w:val="both"/>
              <w:rPr>
                <w:rFonts w:asciiTheme="majorHAnsi" w:hAnsiTheme="majorHAnsi" w:cstheme="majorHAnsi"/>
                <w:bCs w:val="0"/>
              </w:rPr>
            </w:pPr>
            <w:r w:rsidRPr="00485F85">
              <w:rPr>
                <w:rFonts w:asciiTheme="majorHAnsi" w:hAnsiTheme="majorHAnsi" w:cstheme="majorHAnsi"/>
              </w:rPr>
              <w:t>Planejamento Estratégico para educação</w:t>
            </w:r>
          </w:p>
          <w:p w14:paraId="32B01954" w14:textId="77777777" w:rsidR="001C5F76" w:rsidRPr="00485F85" w:rsidRDefault="00A515B3" w:rsidP="009C02E6">
            <w:pPr>
              <w:spacing w:line="360" w:lineRule="auto"/>
              <w:jc w:val="both"/>
              <w:rPr>
                <w:rFonts w:asciiTheme="majorHAnsi" w:hAnsiTheme="majorHAnsi" w:cstheme="majorHAnsi"/>
                <w:b w:val="0"/>
              </w:rPr>
            </w:pPr>
            <w:hyperlink r:id="rId158" w:history="1">
              <w:r w:rsidR="001C5F76" w:rsidRPr="00485F85">
                <w:rPr>
                  <w:rFonts w:asciiTheme="majorHAnsi" w:hAnsiTheme="majorHAnsi" w:cstheme="majorHAnsi"/>
                  <w:color w:val="4875BD" w:themeColor="accent1"/>
                  <w:u w:val="single"/>
                </w:rPr>
                <w:t>https://www.ox.ac.uk/about/organisation/strategic-plan-2018-23/education</w:t>
              </w:r>
            </w:hyperlink>
            <w:r w:rsidR="001C5F76" w:rsidRPr="00485F85">
              <w:rPr>
                <w:rFonts w:asciiTheme="majorHAnsi" w:hAnsiTheme="majorHAnsi" w:cstheme="majorHAnsi"/>
              </w:rPr>
              <w:t xml:space="preserve"> </w:t>
            </w:r>
          </w:p>
          <w:p w14:paraId="28C86B0E" w14:textId="77777777" w:rsidR="001C5F76" w:rsidRPr="00485F85" w:rsidRDefault="001C5F76" w:rsidP="009C02E6">
            <w:pPr>
              <w:spacing w:line="360" w:lineRule="auto"/>
              <w:jc w:val="both"/>
              <w:rPr>
                <w:rFonts w:asciiTheme="majorHAnsi" w:hAnsiTheme="majorHAnsi" w:cstheme="majorHAnsi"/>
                <w:b w:val="0"/>
              </w:rPr>
            </w:pPr>
          </w:p>
          <w:p w14:paraId="2BBFD320" w14:textId="77777777" w:rsidR="001C5F76" w:rsidRPr="00485F85" w:rsidRDefault="001C5F76" w:rsidP="009C02E6">
            <w:pPr>
              <w:spacing w:line="360" w:lineRule="auto"/>
              <w:jc w:val="both"/>
              <w:rPr>
                <w:rFonts w:asciiTheme="majorHAnsi" w:hAnsiTheme="majorHAnsi" w:cstheme="majorHAnsi"/>
                <w:bCs w:val="0"/>
              </w:rPr>
            </w:pPr>
            <w:r w:rsidRPr="00485F85">
              <w:rPr>
                <w:rFonts w:asciiTheme="majorHAnsi" w:hAnsiTheme="majorHAnsi" w:cstheme="majorHAnsi"/>
              </w:rPr>
              <w:t>Plano de Acesso e Participação</w:t>
            </w:r>
          </w:p>
          <w:p w14:paraId="791340B2" w14:textId="77777777" w:rsidR="001C5F76" w:rsidRPr="00485F85" w:rsidRDefault="00A515B3" w:rsidP="009C02E6">
            <w:pPr>
              <w:spacing w:line="360" w:lineRule="auto"/>
              <w:jc w:val="both"/>
              <w:rPr>
                <w:rFonts w:asciiTheme="majorHAnsi" w:hAnsiTheme="majorHAnsi" w:cstheme="majorHAnsi"/>
                <w:b w:val="0"/>
              </w:rPr>
            </w:pPr>
            <w:hyperlink r:id="rId159" w:history="1">
              <w:r w:rsidR="001C5F76" w:rsidRPr="00485F85">
                <w:rPr>
                  <w:rFonts w:asciiTheme="majorHAnsi" w:hAnsiTheme="majorHAnsi" w:cstheme="majorHAnsi"/>
                  <w:color w:val="4875BD" w:themeColor="accent1"/>
                  <w:u w:val="single"/>
                </w:rPr>
                <w:t>https://www.ox.ac.uk/sites/files/oxford/UniversityOfOxford_APP_2020-21.pdf</w:t>
              </w:r>
            </w:hyperlink>
            <w:r w:rsidR="001C5F76" w:rsidRPr="00485F85">
              <w:rPr>
                <w:rFonts w:asciiTheme="majorHAnsi" w:hAnsiTheme="majorHAnsi" w:cstheme="majorHAnsi"/>
              </w:rPr>
              <w:t xml:space="preserve"> </w:t>
            </w:r>
          </w:p>
          <w:p w14:paraId="72A5F734" w14:textId="77777777" w:rsidR="001C5F76" w:rsidRPr="00485F85" w:rsidRDefault="001C5F76" w:rsidP="009C02E6">
            <w:pPr>
              <w:spacing w:line="360" w:lineRule="auto"/>
              <w:jc w:val="both"/>
              <w:rPr>
                <w:rFonts w:asciiTheme="majorHAnsi" w:hAnsiTheme="majorHAnsi" w:cstheme="majorHAnsi"/>
                <w:b w:val="0"/>
              </w:rPr>
            </w:pPr>
          </w:p>
        </w:tc>
      </w:tr>
      <w:tr w:rsidR="001C5F76" w:rsidRPr="00485F85" w14:paraId="0CDED1AF" w14:textId="77777777" w:rsidTr="00043827">
        <w:trPr>
          <w:gridAfter w:val="2"/>
          <w:cnfStyle w:val="000000100000" w:firstRow="0" w:lastRow="0" w:firstColumn="0" w:lastColumn="0" w:oddVBand="0" w:evenVBand="0" w:oddHBand="1" w:evenHBand="0" w:firstRowFirstColumn="0" w:firstRowLastColumn="0" w:lastRowFirstColumn="0" w:lastRowLastColumn="0"/>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5B956209" w14:textId="77777777" w:rsidR="001C5F76" w:rsidRPr="00485F85" w:rsidRDefault="001C5F76" w:rsidP="009C02E6">
            <w:pPr>
              <w:spacing w:line="360" w:lineRule="auto"/>
              <w:jc w:val="both"/>
              <w:rPr>
                <w:rFonts w:asciiTheme="majorHAnsi" w:hAnsiTheme="majorHAnsi" w:cstheme="majorHAnsi"/>
                <w:b w:val="0"/>
              </w:rPr>
            </w:pPr>
          </w:p>
        </w:tc>
      </w:tr>
      <w:tr w:rsidR="001C5F76" w:rsidRPr="00485F85" w14:paraId="4E083984" w14:textId="77777777" w:rsidTr="00043827">
        <w:trPr>
          <w:gridAfter w:val="2"/>
          <w:wAfter w:w="954" w:type="dxa"/>
        </w:trPr>
        <w:tc>
          <w:tcPr>
            <w:cnfStyle w:val="001000000000" w:firstRow="0" w:lastRow="0" w:firstColumn="1" w:lastColumn="0" w:oddVBand="0" w:evenVBand="0" w:oddHBand="0" w:evenHBand="0" w:firstRowFirstColumn="0" w:firstRowLastColumn="0" w:lastRowFirstColumn="0" w:lastRowLastColumn="0"/>
            <w:tcW w:w="9747" w:type="dxa"/>
            <w:gridSpan w:val="17"/>
            <w:tcBorders>
              <w:top w:val="single" w:sz="4" w:space="0" w:color="auto"/>
              <w:left w:val="single" w:sz="4" w:space="0" w:color="auto"/>
              <w:bottom w:val="single" w:sz="4" w:space="0" w:color="auto"/>
              <w:right w:val="single" w:sz="4" w:space="0" w:color="auto"/>
            </w:tcBorders>
          </w:tcPr>
          <w:p w14:paraId="5B1ED4F4"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lastRenderedPageBreak/>
              <w:t>Observações:</w:t>
            </w:r>
          </w:p>
          <w:p w14:paraId="48DC7F30" w14:textId="77777777" w:rsidR="001C5F76" w:rsidRPr="00485F85" w:rsidRDefault="001C5F76" w:rsidP="009C02E6">
            <w:pPr>
              <w:spacing w:line="360" w:lineRule="auto"/>
              <w:jc w:val="both"/>
              <w:rPr>
                <w:rFonts w:asciiTheme="majorHAnsi" w:hAnsiTheme="majorHAnsi" w:cstheme="majorHAnsi"/>
                <w:b w:val="0"/>
              </w:rPr>
            </w:pPr>
          </w:p>
        </w:tc>
      </w:tr>
    </w:tbl>
    <w:p w14:paraId="2C935811" w14:textId="77777777" w:rsidR="001C5F76" w:rsidRPr="00485F85" w:rsidRDefault="001C5F76" w:rsidP="001C5F76">
      <w:pPr>
        <w:jc w:val="both"/>
        <w:rPr>
          <w:rFonts w:asciiTheme="majorHAnsi" w:hAnsiTheme="majorHAnsi" w:cstheme="majorHAnsi"/>
          <w:i/>
          <w:sz w:val="24"/>
          <w:szCs w:val="24"/>
        </w:rPr>
      </w:pPr>
    </w:p>
    <w:p w14:paraId="2BA65939" w14:textId="77777777" w:rsidR="001C5F76" w:rsidRPr="00485F85" w:rsidRDefault="001C5F76" w:rsidP="001C5F76">
      <w:pPr>
        <w:jc w:val="both"/>
        <w:rPr>
          <w:rFonts w:asciiTheme="majorHAnsi" w:hAnsiTheme="majorHAnsi" w:cstheme="majorHAnsi"/>
          <w:b/>
          <w:i/>
          <w:sz w:val="24"/>
          <w:szCs w:val="24"/>
        </w:rPr>
      </w:pPr>
      <w:r w:rsidRPr="00485F85">
        <w:rPr>
          <w:rFonts w:asciiTheme="majorHAnsi" w:hAnsiTheme="majorHAnsi" w:cstheme="majorHAnsi"/>
          <w:b/>
          <w:i/>
          <w:sz w:val="24"/>
          <w:szCs w:val="24"/>
        </w:rPr>
        <w:t>Importante observar a coerência das metodologias de ensino e das atividades educacionais com o perfil do egresso.</w:t>
      </w:r>
    </w:p>
    <w:p w14:paraId="27B99967" w14:textId="03F8B81C" w:rsidR="009C02E6" w:rsidRDefault="009C02E6">
      <w:pPr>
        <w:tabs>
          <w:tab w:val="clear" w:pos="1615"/>
        </w:tabs>
        <w:spacing w:line="259" w:lineRule="auto"/>
        <w:rPr>
          <w:rFonts w:asciiTheme="majorHAnsi" w:hAnsiTheme="majorHAnsi" w:cstheme="majorHAnsi"/>
          <w:i/>
        </w:rPr>
      </w:pPr>
      <w:r>
        <w:rPr>
          <w:rFonts w:asciiTheme="majorHAnsi" w:hAnsiTheme="majorHAnsi" w:cstheme="majorHAnsi"/>
          <w:i/>
        </w:rPr>
        <w:br w:type="page"/>
      </w:r>
    </w:p>
    <w:tbl>
      <w:tblPr>
        <w:tblStyle w:val="TabeladeLista6Colorida-nfase3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06"/>
        <w:gridCol w:w="1007"/>
        <w:gridCol w:w="278"/>
        <w:gridCol w:w="755"/>
        <w:gridCol w:w="1435"/>
        <w:gridCol w:w="3531"/>
      </w:tblGrid>
      <w:tr w:rsidR="001C5F76" w:rsidRPr="00485F85" w14:paraId="6479FCAE" w14:textId="77777777" w:rsidTr="0004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Borders>
              <w:bottom w:val="none" w:sz="0" w:space="0" w:color="auto"/>
            </w:tcBorders>
          </w:tcPr>
          <w:p w14:paraId="168AC37B" w14:textId="77777777" w:rsidR="001C5F76" w:rsidRPr="00485F85" w:rsidRDefault="001C5F76" w:rsidP="009C02E6">
            <w:pPr>
              <w:spacing w:line="360" w:lineRule="auto"/>
              <w:jc w:val="both"/>
              <w:rPr>
                <w:rFonts w:asciiTheme="majorHAnsi" w:hAnsiTheme="majorHAnsi" w:cstheme="majorHAnsi"/>
                <w:b w:val="0"/>
              </w:rPr>
            </w:pPr>
            <w:r w:rsidRPr="00485F85">
              <w:rPr>
                <w:rFonts w:asciiTheme="majorHAnsi" w:hAnsiTheme="majorHAnsi" w:cstheme="majorHAnsi"/>
              </w:rPr>
              <w:lastRenderedPageBreak/>
              <w:t>Dimensão 5. Pesquisa e Desenvolvimento</w:t>
            </w:r>
          </w:p>
        </w:tc>
      </w:tr>
      <w:tr w:rsidR="001C5F76" w:rsidRPr="00485F85" w14:paraId="39CA201D" w14:textId="77777777" w:rsidTr="0004382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031" w:type="dxa"/>
            <w:gridSpan w:val="7"/>
          </w:tcPr>
          <w:p w14:paraId="36DF90FE"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5.1. Relação de Projetos aprovados por área de conhecimento</w:t>
            </w:r>
          </w:p>
        </w:tc>
      </w:tr>
      <w:tr w:rsidR="001C5F76" w:rsidRPr="00485F85" w14:paraId="1A5D3D31"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1A3EC91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Área </w:t>
            </w:r>
          </w:p>
        </w:tc>
        <w:tc>
          <w:tcPr>
            <w:tcW w:w="1298" w:type="dxa"/>
            <w:gridSpan w:val="2"/>
          </w:tcPr>
          <w:p w14:paraId="75B50E9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Número total de Projetos</w:t>
            </w:r>
          </w:p>
        </w:tc>
        <w:tc>
          <w:tcPr>
            <w:tcW w:w="1563" w:type="dxa"/>
            <w:gridSpan w:val="2"/>
          </w:tcPr>
          <w:p w14:paraId="3DFD4FC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Projetos com colaboradores Internacionais</w:t>
            </w:r>
          </w:p>
        </w:tc>
        <w:tc>
          <w:tcPr>
            <w:tcW w:w="3642" w:type="dxa"/>
          </w:tcPr>
          <w:p w14:paraId="39EB7E6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Principais Agências de Fomento</w:t>
            </w:r>
          </w:p>
        </w:tc>
      </w:tr>
      <w:tr w:rsidR="001C5F76" w:rsidRPr="00485F85" w14:paraId="1A74A2A1"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0601396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IA/ ROBÓTICA </w:t>
            </w:r>
          </w:p>
        </w:tc>
        <w:tc>
          <w:tcPr>
            <w:tcW w:w="1298" w:type="dxa"/>
            <w:gridSpan w:val="2"/>
          </w:tcPr>
          <w:p w14:paraId="7802D0A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6</w:t>
            </w:r>
          </w:p>
        </w:tc>
        <w:tc>
          <w:tcPr>
            <w:tcW w:w="1563" w:type="dxa"/>
            <w:gridSpan w:val="2"/>
          </w:tcPr>
          <w:p w14:paraId="1F0C243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2FD506D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88313D4"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078FAE4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ARTE/CULTURA</w:t>
            </w:r>
          </w:p>
        </w:tc>
        <w:tc>
          <w:tcPr>
            <w:tcW w:w="1298" w:type="dxa"/>
            <w:gridSpan w:val="2"/>
          </w:tcPr>
          <w:p w14:paraId="2E1D2DE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7</w:t>
            </w:r>
          </w:p>
        </w:tc>
        <w:tc>
          <w:tcPr>
            <w:tcW w:w="1563" w:type="dxa"/>
            <w:gridSpan w:val="2"/>
          </w:tcPr>
          <w:p w14:paraId="3076265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FAADA3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E238A13"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779C724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ATROFÍSICA E ESPAÇO</w:t>
            </w:r>
          </w:p>
        </w:tc>
        <w:tc>
          <w:tcPr>
            <w:tcW w:w="1298" w:type="dxa"/>
            <w:gridSpan w:val="2"/>
          </w:tcPr>
          <w:p w14:paraId="47D9B5F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w:t>
            </w:r>
          </w:p>
        </w:tc>
        <w:tc>
          <w:tcPr>
            <w:tcW w:w="1563" w:type="dxa"/>
            <w:gridSpan w:val="2"/>
          </w:tcPr>
          <w:p w14:paraId="06275F7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2F850BD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28A6ED74"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5474CE5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BUSINESS</w:t>
            </w:r>
          </w:p>
        </w:tc>
        <w:tc>
          <w:tcPr>
            <w:tcW w:w="1298" w:type="dxa"/>
            <w:gridSpan w:val="2"/>
          </w:tcPr>
          <w:p w14:paraId="201DF9B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w:t>
            </w:r>
          </w:p>
        </w:tc>
        <w:tc>
          <w:tcPr>
            <w:tcW w:w="1563" w:type="dxa"/>
            <w:gridSpan w:val="2"/>
          </w:tcPr>
          <w:p w14:paraId="3900B35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6AED321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6F6BCFC6"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26F03A0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CRIANÇAS</w:t>
            </w:r>
          </w:p>
        </w:tc>
        <w:tc>
          <w:tcPr>
            <w:tcW w:w="1298" w:type="dxa"/>
            <w:gridSpan w:val="2"/>
          </w:tcPr>
          <w:p w14:paraId="68EE216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33</w:t>
            </w:r>
          </w:p>
        </w:tc>
        <w:tc>
          <w:tcPr>
            <w:tcW w:w="1563" w:type="dxa"/>
            <w:gridSpan w:val="2"/>
          </w:tcPr>
          <w:p w14:paraId="1284AC5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06D3338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4376F07E"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160EDF0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CIDADES</w:t>
            </w:r>
          </w:p>
        </w:tc>
        <w:tc>
          <w:tcPr>
            <w:tcW w:w="1298" w:type="dxa"/>
            <w:gridSpan w:val="2"/>
          </w:tcPr>
          <w:p w14:paraId="53900D4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9</w:t>
            </w:r>
          </w:p>
        </w:tc>
        <w:tc>
          <w:tcPr>
            <w:tcW w:w="1563" w:type="dxa"/>
            <w:gridSpan w:val="2"/>
          </w:tcPr>
          <w:p w14:paraId="585B2E6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D10AAD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6B18E79"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44F4EB5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CONSERVAÇÃO</w:t>
            </w:r>
          </w:p>
        </w:tc>
        <w:tc>
          <w:tcPr>
            <w:tcW w:w="1298" w:type="dxa"/>
            <w:gridSpan w:val="2"/>
          </w:tcPr>
          <w:p w14:paraId="02F4383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w:t>
            </w:r>
          </w:p>
        </w:tc>
        <w:tc>
          <w:tcPr>
            <w:tcW w:w="1563" w:type="dxa"/>
            <w:gridSpan w:val="2"/>
          </w:tcPr>
          <w:p w14:paraId="6E1DCC9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083E3CD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09F94F83"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74B3ADE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CORONAVÍRUS (COVID-19)</w:t>
            </w:r>
          </w:p>
        </w:tc>
        <w:tc>
          <w:tcPr>
            <w:tcW w:w="1298" w:type="dxa"/>
            <w:gridSpan w:val="2"/>
          </w:tcPr>
          <w:p w14:paraId="2C23004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24</w:t>
            </w:r>
          </w:p>
        </w:tc>
        <w:tc>
          <w:tcPr>
            <w:tcW w:w="1563" w:type="dxa"/>
            <w:gridSpan w:val="2"/>
          </w:tcPr>
          <w:p w14:paraId="55CEBF1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7786D07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29CAAFDC"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3C6C110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DIGITAL /BIG DATA</w:t>
            </w:r>
          </w:p>
        </w:tc>
        <w:tc>
          <w:tcPr>
            <w:tcW w:w="1298" w:type="dxa"/>
            <w:gridSpan w:val="2"/>
          </w:tcPr>
          <w:p w14:paraId="18D7365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20</w:t>
            </w:r>
          </w:p>
        </w:tc>
        <w:tc>
          <w:tcPr>
            <w:tcW w:w="1563" w:type="dxa"/>
            <w:gridSpan w:val="2"/>
          </w:tcPr>
          <w:p w14:paraId="134C121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685F444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12B3606"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5FC9458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DOENÇA (INFECCIOSA)</w:t>
            </w:r>
          </w:p>
        </w:tc>
        <w:tc>
          <w:tcPr>
            <w:tcW w:w="1298" w:type="dxa"/>
            <w:gridSpan w:val="2"/>
          </w:tcPr>
          <w:p w14:paraId="477CB47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62</w:t>
            </w:r>
          </w:p>
        </w:tc>
        <w:tc>
          <w:tcPr>
            <w:tcW w:w="1563" w:type="dxa"/>
            <w:gridSpan w:val="2"/>
          </w:tcPr>
          <w:p w14:paraId="1623249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5D3EE6D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 xml:space="preserve">Não se aplica </w:t>
            </w:r>
          </w:p>
        </w:tc>
      </w:tr>
      <w:tr w:rsidR="001C5F76" w:rsidRPr="00485F85" w14:paraId="7353B5F0"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01C4758D"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DOENÇA (NÃO - INFECCIOSA)</w:t>
            </w:r>
          </w:p>
        </w:tc>
        <w:tc>
          <w:tcPr>
            <w:tcW w:w="1298" w:type="dxa"/>
            <w:gridSpan w:val="2"/>
          </w:tcPr>
          <w:p w14:paraId="68DE4EE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43</w:t>
            </w:r>
          </w:p>
        </w:tc>
        <w:tc>
          <w:tcPr>
            <w:tcW w:w="1563" w:type="dxa"/>
            <w:gridSpan w:val="2"/>
          </w:tcPr>
          <w:p w14:paraId="3384F17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0E30705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4D82C0F"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6D77B8B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EDUCAÇÃO</w:t>
            </w:r>
          </w:p>
        </w:tc>
        <w:tc>
          <w:tcPr>
            <w:tcW w:w="1298" w:type="dxa"/>
            <w:gridSpan w:val="2"/>
          </w:tcPr>
          <w:p w14:paraId="24F5258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26</w:t>
            </w:r>
          </w:p>
        </w:tc>
        <w:tc>
          <w:tcPr>
            <w:tcW w:w="1563" w:type="dxa"/>
            <w:gridSpan w:val="2"/>
          </w:tcPr>
          <w:p w14:paraId="6BAEAEE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2778802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36030804"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041F0C8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ENERGIA</w:t>
            </w:r>
          </w:p>
        </w:tc>
        <w:tc>
          <w:tcPr>
            <w:tcW w:w="1298" w:type="dxa"/>
            <w:gridSpan w:val="2"/>
          </w:tcPr>
          <w:p w14:paraId="363038B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5</w:t>
            </w:r>
          </w:p>
        </w:tc>
        <w:tc>
          <w:tcPr>
            <w:tcW w:w="1563" w:type="dxa"/>
            <w:gridSpan w:val="2"/>
          </w:tcPr>
          <w:p w14:paraId="72FB80C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587CE5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668F792A"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2D574E55" w14:textId="77777777" w:rsidR="001C5F76" w:rsidRPr="00485F85" w:rsidRDefault="001C5F76" w:rsidP="009C02E6">
            <w:pPr>
              <w:spacing w:line="360" w:lineRule="auto"/>
              <w:rPr>
                <w:rFonts w:asciiTheme="majorHAnsi" w:hAnsiTheme="majorHAnsi" w:cstheme="majorHAnsi"/>
              </w:rPr>
            </w:pPr>
            <w:r w:rsidRPr="00485F85">
              <w:rPr>
                <w:rFonts w:asciiTheme="majorHAnsi" w:hAnsiTheme="majorHAnsi" w:cstheme="majorHAnsi"/>
              </w:rPr>
              <w:t>MEIO AMBIENTE E SUSTENTABILIDADE</w:t>
            </w:r>
          </w:p>
        </w:tc>
        <w:tc>
          <w:tcPr>
            <w:tcW w:w="1298" w:type="dxa"/>
            <w:gridSpan w:val="2"/>
          </w:tcPr>
          <w:p w14:paraId="0964D44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23</w:t>
            </w:r>
          </w:p>
        </w:tc>
        <w:tc>
          <w:tcPr>
            <w:tcW w:w="1563" w:type="dxa"/>
            <w:gridSpan w:val="2"/>
          </w:tcPr>
          <w:p w14:paraId="7C310AA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007368FE"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4CEC73FB"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2928367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COMIDA</w:t>
            </w:r>
          </w:p>
        </w:tc>
        <w:tc>
          <w:tcPr>
            <w:tcW w:w="1298" w:type="dxa"/>
            <w:gridSpan w:val="2"/>
          </w:tcPr>
          <w:p w14:paraId="06BF7D3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w:t>
            </w:r>
          </w:p>
        </w:tc>
        <w:tc>
          <w:tcPr>
            <w:tcW w:w="1563" w:type="dxa"/>
            <w:gridSpan w:val="2"/>
          </w:tcPr>
          <w:p w14:paraId="7B331046"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71044C3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0592D181"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262A3F3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INOVAÇÃO/TECNOLOGIA</w:t>
            </w:r>
          </w:p>
        </w:tc>
        <w:tc>
          <w:tcPr>
            <w:tcW w:w="1298" w:type="dxa"/>
            <w:gridSpan w:val="2"/>
          </w:tcPr>
          <w:p w14:paraId="3DC83BC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23</w:t>
            </w:r>
          </w:p>
        </w:tc>
        <w:tc>
          <w:tcPr>
            <w:tcW w:w="1563" w:type="dxa"/>
            <w:gridSpan w:val="2"/>
          </w:tcPr>
          <w:p w14:paraId="45AA4BD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12C24F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6575F1B"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6C7BF70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LÍNGUAS</w:t>
            </w:r>
          </w:p>
        </w:tc>
        <w:tc>
          <w:tcPr>
            <w:tcW w:w="1298" w:type="dxa"/>
            <w:gridSpan w:val="2"/>
          </w:tcPr>
          <w:p w14:paraId="6AC1F94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17</w:t>
            </w:r>
          </w:p>
        </w:tc>
        <w:tc>
          <w:tcPr>
            <w:tcW w:w="1563" w:type="dxa"/>
            <w:gridSpan w:val="2"/>
          </w:tcPr>
          <w:p w14:paraId="2E85ECB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62D812D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7FFE6575"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30E84D9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CIÊNCIAS DA VIDA /SAÚDE - 60</w:t>
            </w:r>
          </w:p>
          <w:p w14:paraId="5AF5C8A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SAÚDE MENTAL</w:t>
            </w:r>
          </w:p>
        </w:tc>
        <w:tc>
          <w:tcPr>
            <w:tcW w:w="1298" w:type="dxa"/>
            <w:gridSpan w:val="2"/>
          </w:tcPr>
          <w:p w14:paraId="221FF2A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26</w:t>
            </w:r>
          </w:p>
        </w:tc>
        <w:tc>
          <w:tcPr>
            <w:tcW w:w="1563" w:type="dxa"/>
            <w:gridSpan w:val="2"/>
          </w:tcPr>
          <w:p w14:paraId="3EADDDA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2F1CD40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0C7345B5"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5D8728B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MIGRAÇÃO</w:t>
            </w:r>
          </w:p>
        </w:tc>
        <w:tc>
          <w:tcPr>
            <w:tcW w:w="1298" w:type="dxa"/>
            <w:gridSpan w:val="2"/>
          </w:tcPr>
          <w:p w14:paraId="253123C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9</w:t>
            </w:r>
          </w:p>
        </w:tc>
        <w:tc>
          <w:tcPr>
            <w:tcW w:w="1563" w:type="dxa"/>
            <w:gridSpan w:val="2"/>
          </w:tcPr>
          <w:p w14:paraId="693697C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6E6AA61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6709AA22"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3D45F9C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NEUROCIÊNCIA</w:t>
            </w:r>
          </w:p>
        </w:tc>
        <w:tc>
          <w:tcPr>
            <w:tcW w:w="1298" w:type="dxa"/>
            <w:gridSpan w:val="2"/>
          </w:tcPr>
          <w:p w14:paraId="408D57D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11</w:t>
            </w:r>
          </w:p>
        </w:tc>
        <w:tc>
          <w:tcPr>
            <w:tcW w:w="1563" w:type="dxa"/>
            <w:gridSpan w:val="2"/>
          </w:tcPr>
          <w:p w14:paraId="09706EB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954032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7C1A203C"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78D0D8AD"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POLÍTICA</w:t>
            </w:r>
          </w:p>
        </w:tc>
        <w:tc>
          <w:tcPr>
            <w:tcW w:w="1298" w:type="dxa"/>
            <w:gridSpan w:val="2"/>
          </w:tcPr>
          <w:p w14:paraId="7F156E7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17</w:t>
            </w:r>
          </w:p>
        </w:tc>
        <w:tc>
          <w:tcPr>
            <w:tcW w:w="1563" w:type="dxa"/>
            <w:gridSpan w:val="2"/>
          </w:tcPr>
          <w:p w14:paraId="743CA52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55997B4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288B141D"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1153A3C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SOCIEDADE</w:t>
            </w:r>
          </w:p>
        </w:tc>
        <w:tc>
          <w:tcPr>
            <w:tcW w:w="1298" w:type="dxa"/>
            <w:gridSpan w:val="2"/>
          </w:tcPr>
          <w:p w14:paraId="50BE8DB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60</w:t>
            </w:r>
          </w:p>
        </w:tc>
        <w:tc>
          <w:tcPr>
            <w:tcW w:w="1563" w:type="dxa"/>
            <w:gridSpan w:val="2"/>
          </w:tcPr>
          <w:p w14:paraId="394F747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3833713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396BCF11"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7A8F5AC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TRANSPORTE</w:t>
            </w:r>
          </w:p>
        </w:tc>
        <w:tc>
          <w:tcPr>
            <w:tcW w:w="1298" w:type="dxa"/>
            <w:gridSpan w:val="2"/>
          </w:tcPr>
          <w:p w14:paraId="689B422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5</w:t>
            </w:r>
          </w:p>
        </w:tc>
        <w:tc>
          <w:tcPr>
            <w:tcW w:w="1563" w:type="dxa"/>
            <w:gridSpan w:val="2"/>
          </w:tcPr>
          <w:p w14:paraId="274526A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22E8009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6B03F656"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77F37EB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ZOOLOGIA</w:t>
            </w:r>
          </w:p>
        </w:tc>
        <w:tc>
          <w:tcPr>
            <w:tcW w:w="1298" w:type="dxa"/>
            <w:gridSpan w:val="2"/>
          </w:tcPr>
          <w:p w14:paraId="53510D8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11</w:t>
            </w:r>
          </w:p>
        </w:tc>
        <w:tc>
          <w:tcPr>
            <w:tcW w:w="1563" w:type="dxa"/>
            <w:gridSpan w:val="2"/>
          </w:tcPr>
          <w:p w14:paraId="6780757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3642" w:type="dxa"/>
          </w:tcPr>
          <w:p w14:paraId="4627416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921B61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120E21C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Observações: </w:t>
            </w:r>
          </w:p>
        </w:tc>
        <w:tc>
          <w:tcPr>
            <w:tcW w:w="6503" w:type="dxa"/>
            <w:gridSpan w:val="5"/>
          </w:tcPr>
          <w:p w14:paraId="43319AC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Dados coletados do mapa da página de projetos de pesquisa da Universidade. Coleta realizada no dia 25 de julho 2021. </w:t>
            </w:r>
            <w:hyperlink r:id="rId160" w:history="1">
              <w:r w:rsidRPr="00485F85">
                <w:rPr>
                  <w:rFonts w:asciiTheme="majorHAnsi" w:hAnsiTheme="majorHAnsi" w:cstheme="majorHAnsi"/>
                  <w:color w:val="4875BD" w:themeColor="accent1"/>
                  <w:u w:val="single"/>
                </w:rPr>
                <w:t>https://www.research.ox.ac.uk/map</w:t>
              </w:r>
            </w:hyperlink>
            <w:r w:rsidRPr="00485F85">
              <w:rPr>
                <w:rFonts w:asciiTheme="majorHAnsi" w:hAnsiTheme="majorHAnsi" w:cstheme="majorHAnsi"/>
              </w:rPr>
              <w:t xml:space="preserve"> </w:t>
            </w:r>
          </w:p>
          <w:p w14:paraId="610C21A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9730D0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 foi possível identificar a titulação dos pesquisadores em cada grupo de pesquisa</w:t>
            </w:r>
          </w:p>
          <w:p w14:paraId="3DC8BDAF"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2F66FF49"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7D548B0A"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7D29FC1C"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1D5C68B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5.2. Bolsa Produtividade (por área de conhecimento)</w:t>
            </w:r>
          </w:p>
        </w:tc>
      </w:tr>
      <w:tr w:rsidR="001C5F76" w:rsidRPr="00485F85" w14:paraId="0246F8DF" w14:textId="77777777" w:rsidTr="00043827">
        <w:tc>
          <w:tcPr>
            <w:cnfStyle w:val="001000000000" w:firstRow="0" w:lastRow="0" w:firstColumn="1" w:lastColumn="0" w:oddVBand="0" w:evenVBand="0" w:oddHBand="0" w:evenHBand="0" w:firstRowFirstColumn="0" w:firstRowLastColumn="0" w:lastRowFirstColumn="0" w:lastRowLastColumn="0"/>
            <w:tcW w:w="2859" w:type="dxa"/>
          </w:tcPr>
          <w:p w14:paraId="4EB9B0E3"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Área</w:t>
            </w:r>
          </w:p>
        </w:tc>
        <w:tc>
          <w:tcPr>
            <w:tcW w:w="2506" w:type="dxa"/>
            <w:gridSpan w:val="4"/>
          </w:tcPr>
          <w:p w14:paraId="44C3D1E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Número de Docentes</w:t>
            </w:r>
          </w:p>
        </w:tc>
        <w:tc>
          <w:tcPr>
            <w:tcW w:w="4666" w:type="dxa"/>
            <w:gridSpan w:val="2"/>
            <w:vMerge w:val="restart"/>
          </w:tcPr>
          <w:p w14:paraId="275851C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Observações: (docentes com bolsas recorrentes)</w:t>
            </w:r>
          </w:p>
        </w:tc>
      </w:tr>
      <w:tr w:rsidR="001C5F76" w:rsidRPr="00485F85" w14:paraId="686E0D92"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77C63CDA"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0B198018"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666" w:type="dxa"/>
            <w:gridSpan w:val="2"/>
            <w:vMerge/>
          </w:tcPr>
          <w:p w14:paraId="6C53DDBA"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0276B83" w14:textId="77777777" w:rsidTr="00043827">
        <w:tc>
          <w:tcPr>
            <w:cnfStyle w:val="001000000000" w:firstRow="0" w:lastRow="0" w:firstColumn="1" w:lastColumn="0" w:oddVBand="0" w:evenVBand="0" w:oddHBand="0" w:evenHBand="0" w:firstRowFirstColumn="0" w:firstRowLastColumn="0" w:lastRowFirstColumn="0" w:lastRowLastColumn="0"/>
            <w:tcW w:w="2859" w:type="dxa"/>
          </w:tcPr>
          <w:p w14:paraId="610B948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Observações: </w:t>
            </w:r>
          </w:p>
        </w:tc>
        <w:tc>
          <w:tcPr>
            <w:tcW w:w="7172" w:type="dxa"/>
            <w:gridSpan w:val="6"/>
          </w:tcPr>
          <w:p w14:paraId="144E9807" w14:textId="74C0A548"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No site da Universidade não é possível encontrar uma lista com docentes e bolsas recorrentes.</w:t>
            </w:r>
          </w:p>
          <w:p w14:paraId="6DDDA990" w14:textId="45907346" w:rsidR="007B641C" w:rsidRPr="00485F85" w:rsidRDefault="007B641C"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Foram encontrados prêmios por reconhecimento à pesquisa, mas não uma bolsa produtividade conforme a nossa prática no Brasil.</w:t>
            </w:r>
          </w:p>
          <w:p w14:paraId="262AFDD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4DC3D4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715FFBCC"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13546C91" w14:textId="77777777" w:rsidR="001C5F76" w:rsidRPr="00485F85" w:rsidRDefault="001C5F76" w:rsidP="009C02E6">
            <w:pPr>
              <w:spacing w:line="360" w:lineRule="auto"/>
              <w:jc w:val="both"/>
              <w:rPr>
                <w:rFonts w:asciiTheme="majorHAnsi" w:hAnsiTheme="majorHAnsi" w:cstheme="majorHAnsi"/>
              </w:rPr>
            </w:pPr>
          </w:p>
          <w:p w14:paraId="28D5A056" w14:textId="77777777" w:rsidR="001C5F76" w:rsidRPr="00485F85" w:rsidRDefault="001C5F76" w:rsidP="009C02E6">
            <w:pPr>
              <w:spacing w:line="360" w:lineRule="auto"/>
              <w:jc w:val="both"/>
              <w:rPr>
                <w:rFonts w:asciiTheme="majorHAnsi" w:hAnsiTheme="majorHAnsi" w:cstheme="majorHAnsi"/>
              </w:rPr>
            </w:pPr>
          </w:p>
          <w:p w14:paraId="2674DCC9" w14:textId="77777777" w:rsidR="001C5F76" w:rsidRPr="00485F85" w:rsidRDefault="001C5F76" w:rsidP="009C02E6">
            <w:pPr>
              <w:spacing w:line="360" w:lineRule="auto"/>
              <w:jc w:val="both"/>
              <w:rPr>
                <w:rFonts w:asciiTheme="majorHAnsi" w:hAnsiTheme="majorHAnsi" w:cstheme="majorHAnsi"/>
              </w:rPr>
            </w:pPr>
          </w:p>
          <w:p w14:paraId="6C46C0D1"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154FC251"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0A4BB44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5.3. Grupos de Pesquisa por área (Diretório dos Grupos de Pesquisa – CNPq)</w:t>
            </w:r>
          </w:p>
        </w:tc>
      </w:tr>
      <w:tr w:rsidR="001C5F76" w:rsidRPr="00485F85" w14:paraId="0CF409DE" w14:textId="77777777" w:rsidTr="0004382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859" w:type="dxa"/>
          </w:tcPr>
          <w:p w14:paraId="2FDE4B95" w14:textId="77777777" w:rsidR="001C5F76" w:rsidRPr="00485F85" w:rsidRDefault="001C5F76" w:rsidP="009C02E6">
            <w:pPr>
              <w:spacing w:line="360" w:lineRule="auto"/>
              <w:jc w:val="both"/>
              <w:rPr>
                <w:rFonts w:asciiTheme="majorHAnsi" w:hAnsiTheme="majorHAnsi" w:cstheme="majorHAnsi"/>
                <w:b w:val="0"/>
                <w:bCs w:val="0"/>
              </w:rPr>
            </w:pPr>
            <w:bookmarkStart w:id="51" w:name="_Hlk78138455"/>
            <w:r w:rsidRPr="00485F85">
              <w:rPr>
                <w:rFonts w:asciiTheme="majorHAnsi" w:hAnsiTheme="majorHAnsi" w:cstheme="majorHAnsi"/>
              </w:rPr>
              <w:t>Área (TEMA)</w:t>
            </w:r>
          </w:p>
        </w:tc>
        <w:tc>
          <w:tcPr>
            <w:tcW w:w="2506" w:type="dxa"/>
            <w:gridSpan w:val="4"/>
          </w:tcPr>
          <w:p w14:paraId="7E0668C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Número de grupos</w:t>
            </w:r>
          </w:p>
        </w:tc>
        <w:tc>
          <w:tcPr>
            <w:tcW w:w="4666" w:type="dxa"/>
            <w:gridSpan w:val="2"/>
          </w:tcPr>
          <w:p w14:paraId="56EE3F0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Pesquisadores (por titulação)</w:t>
            </w:r>
          </w:p>
        </w:tc>
      </w:tr>
      <w:tr w:rsidR="001C5F76" w:rsidRPr="00485F85" w14:paraId="108CD28E" w14:textId="77777777" w:rsidTr="00043827">
        <w:tc>
          <w:tcPr>
            <w:cnfStyle w:val="001000000000" w:firstRow="0" w:lastRow="0" w:firstColumn="1" w:lastColumn="0" w:oddVBand="0" w:evenVBand="0" w:oddHBand="0" w:evenHBand="0" w:firstRowFirstColumn="0" w:firstRowLastColumn="0" w:lastRowFirstColumn="0" w:lastRowLastColumn="0"/>
            <w:tcW w:w="2859" w:type="dxa"/>
          </w:tcPr>
          <w:p w14:paraId="092B50D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Global challenges</w:t>
            </w:r>
          </w:p>
        </w:tc>
        <w:tc>
          <w:tcPr>
            <w:tcW w:w="2506" w:type="dxa"/>
            <w:gridSpan w:val="4"/>
          </w:tcPr>
          <w:p w14:paraId="5DC8C44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Martin School:</w:t>
            </w:r>
          </w:p>
        </w:tc>
        <w:tc>
          <w:tcPr>
            <w:tcW w:w="4666" w:type="dxa"/>
            <w:gridSpan w:val="2"/>
          </w:tcPr>
          <w:p w14:paraId="7A1EF43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Não se aplica</w:t>
            </w:r>
          </w:p>
        </w:tc>
      </w:tr>
      <w:tr w:rsidR="001C5F76" w:rsidRPr="00485F85" w14:paraId="5C0021BF"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val="restart"/>
          </w:tcPr>
          <w:p w14:paraId="057657F3"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Global governance</w:t>
            </w:r>
          </w:p>
          <w:p w14:paraId="2818A7E5"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54EDD2E2"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Centre for International Studies</w:t>
            </w:r>
          </w:p>
        </w:tc>
        <w:tc>
          <w:tcPr>
            <w:tcW w:w="4666" w:type="dxa"/>
            <w:gridSpan w:val="2"/>
          </w:tcPr>
          <w:p w14:paraId="42C0080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5B3E88B"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tcPr>
          <w:p w14:paraId="0C1B813E"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1639EDBC"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Global Economic Governance Programme</w:t>
            </w:r>
          </w:p>
        </w:tc>
        <w:tc>
          <w:tcPr>
            <w:tcW w:w="4666" w:type="dxa"/>
            <w:gridSpan w:val="2"/>
          </w:tcPr>
          <w:p w14:paraId="4762005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2AD11DC"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val="restart"/>
          </w:tcPr>
          <w:p w14:paraId="31ECD54B"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Global health</w:t>
            </w:r>
          </w:p>
        </w:tc>
        <w:tc>
          <w:tcPr>
            <w:tcW w:w="2506" w:type="dxa"/>
            <w:gridSpan w:val="4"/>
          </w:tcPr>
          <w:p w14:paraId="65BF6BF2"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Centre for Tropical Medicine and Global Health</w:t>
            </w:r>
          </w:p>
        </w:tc>
        <w:tc>
          <w:tcPr>
            <w:tcW w:w="4666" w:type="dxa"/>
            <w:gridSpan w:val="2"/>
          </w:tcPr>
          <w:p w14:paraId="7B9D0A9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38B05993"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tcPr>
          <w:p w14:paraId="54930341"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26F0C8C1"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Clinical Trial Service Unit</w:t>
            </w:r>
          </w:p>
        </w:tc>
        <w:tc>
          <w:tcPr>
            <w:tcW w:w="4666" w:type="dxa"/>
            <w:gridSpan w:val="2"/>
          </w:tcPr>
          <w:p w14:paraId="7E525C6A"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5AC9C7C9"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tcPr>
          <w:p w14:paraId="60693B09"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400AB1EB"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The Nuffield Department of </w:t>
            </w:r>
            <w:r w:rsidRPr="00485F85">
              <w:rPr>
                <w:rFonts w:asciiTheme="majorHAnsi" w:hAnsiTheme="majorHAnsi" w:cstheme="majorHAnsi"/>
                <w:lang w:val="en-US"/>
              </w:rPr>
              <w:lastRenderedPageBreak/>
              <w:t>Population Health (NDPH)</w:t>
            </w:r>
          </w:p>
        </w:tc>
        <w:tc>
          <w:tcPr>
            <w:tcW w:w="4666" w:type="dxa"/>
            <w:gridSpan w:val="2"/>
          </w:tcPr>
          <w:p w14:paraId="7558628E"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lastRenderedPageBreak/>
              <w:t>Não se aplica</w:t>
            </w:r>
          </w:p>
        </w:tc>
      </w:tr>
      <w:tr w:rsidR="001C5F76" w:rsidRPr="00485F85" w14:paraId="0B39FD93"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val="restart"/>
          </w:tcPr>
          <w:p w14:paraId="0A0260E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Demographics</w:t>
            </w:r>
          </w:p>
        </w:tc>
        <w:tc>
          <w:tcPr>
            <w:tcW w:w="2506" w:type="dxa"/>
            <w:gridSpan w:val="4"/>
          </w:tcPr>
          <w:p w14:paraId="184D6E6B"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MigrationOxford</w:t>
            </w:r>
          </w:p>
        </w:tc>
        <w:tc>
          <w:tcPr>
            <w:tcW w:w="4666" w:type="dxa"/>
            <w:gridSpan w:val="2"/>
          </w:tcPr>
          <w:p w14:paraId="6D91BE2F"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4CD2B89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tcPr>
          <w:p w14:paraId="4AC1A47A"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01CFBF61"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The Oxford Institute of Population Ageing</w:t>
            </w:r>
          </w:p>
        </w:tc>
        <w:tc>
          <w:tcPr>
            <w:tcW w:w="4666" w:type="dxa"/>
            <w:gridSpan w:val="2"/>
          </w:tcPr>
          <w:p w14:paraId="19EDA4A9"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03E6A380"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val="restart"/>
          </w:tcPr>
          <w:p w14:paraId="4B017258"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The developing world</w:t>
            </w:r>
          </w:p>
        </w:tc>
        <w:tc>
          <w:tcPr>
            <w:tcW w:w="2506" w:type="dxa"/>
            <w:gridSpan w:val="4"/>
          </w:tcPr>
          <w:p w14:paraId="118C77DB"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Department of International Development</w:t>
            </w:r>
          </w:p>
        </w:tc>
        <w:tc>
          <w:tcPr>
            <w:tcW w:w="4666" w:type="dxa"/>
            <w:gridSpan w:val="2"/>
          </w:tcPr>
          <w:p w14:paraId="54DED6E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58E0FC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tcPr>
          <w:p w14:paraId="421B2198"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25E4919F"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School of Interdisciplinary Area Studies</w:t>
            </w:r>
          </w:p>
        </w:tc>
        <w:tc>
          <w:tcPr>
            <w:tcW w:w="4666" w:type="dxa"/>
            <w:gridSpan w:val="2"/>
          </w:tcPr>
          <w:p w14:paraId="4CB34C97"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 xml:space="preserve">Não se aplica </w:t>
            </w:r>
          </w:p>
        </w:tc>
      </w:tr>
      <w:tr w:rsidR="001C5F76" w:rsidRPr="00485F85" w14:paraId="61E90E12"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val="restart"/>
          </w:tcPr>
          <w:p w14:paraId="0601083D"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The digital world</w:t>
            </w:r>
          </w:p>
        </w:tc>
        <w:tc>
          <w:tcPr>
            <w:tcW w:w="2506" w:type="dxa"/>
            <w:gridSpan w:val="4"/>
          </w:tcPr>
          <w:p w14:paraId="70A5BAB0"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Internet Institute</w:t>
            </w:r>
          </w:p>
        </w:tc>
        <w:tc>
          <w:tcPr>
            <w:tcW w:w="4666" w:type="dxa"/>
            <w:gridSpan w:val="2"/>
          </w:tcPr>
          <w:p w14:paraId="20F7EA6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00CA4F9"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tcPr>
          <w:p w14:paraId="44CDA467"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2028D16C"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Oxford e-Research Centre</w:t>
            </w:r>
          </w:p>
        </w:tc>
        <w:tc>
          <w:tcPr>
            <w:tcW w:w="4666" w:type="dxa"/>
            <w:gridSpan w:val="2"/>
          </w:tcPr>
          <w:p w14:paraId="58F6D31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1811AB4A" w14:textId="77777777" w:rsidTr="00043827">
        <w:tc>
          <w:tcPr>
            <w:cnfStyle w:val="001000000000" w:firstRow="0" w:lastRow="0" w:firstColumn="1" w:lastColumn="0" w:oddVBand="0" w:evenVBand="0" w:oddHBand="0" w:evenHBand="0" w:firstRowFirstColumn="0" w:firstRowLastColumn="0" w:lastRowFirstColumn="0" w:lastRowLastColumn="0"/>
            <w:tcW w:w="2859" w:type="dxa"/>
            <w:vMerge w:val="restart"/>
          </w:tcPr>
          <w:p w14:paraId="50219DD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Energy and the environment</w:t>
            </w:r>
          </w:p>
        </w:tc>
        <w:tc>
          <w:tcPr>
            <w:tcW w:w="2506" w:type="dxa"/>
            <w:gridSpan w:val="4"/>
          </w:tcPr>
          <w:p w14:paraId="34B19348"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Environmental Change Institute</w:t>
            </w:r>
          </w:p>
        </w:tc>
        <w:tc>
          <w:tcPr>
            <w:tcW w:w="4666" w:type="dxa"/>
            <w:gridSpan w:val="2"/>
          </w:tcPr>
          <w:p w14:paraId="1B6BF7E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32EDA1D0"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vMerge/>
          </w:tcPr>
          <w:p w14:paraId="78E4F7F7" w14:textId="77777777" w:rsidR="001C5F76" w:rsidRPr="00485F85" w:rsidRDefault="001C5F76" w:rsidP="009C02E6">
            <w:pPr>
              <w:spacing w:line="360" w:lineRule="auto"/>
              <w:jc w:val="both"/>
              <w:rPr>
                <w:rFonts w:asciiTheme="majorHAnsi" w:hAnsiTheme="majorHAnsi" w:cstheme="majorHAnsi"/>
              </w:rPr>
            </w:pPr>
          </w:p>
        </w:tc>
        <w:tc>
          <w:tcPr>
            <w:tcW w:w="2506" w:type="dxa"/>
            <w:gridSpan w:val="4"/>
          </w:tcPr>
          <w:p w14:paraId="0309C6E1" w14:textId="77777777" w:rsidR="001C5F76" w:rsidRPr="00485F85" w:rsidRDefault="001C5F76" w:rsidP="009C0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Oxford Institute for Energy Studies</w:t>
            </w:r>
          </w:p>
        </w:tc>
        <w:tc>
          <w:tcPr>
            <w:tcW w:w="4666" w:type="dxa"/>
            <w:gridSpan w:val="2"/>
          </w:tcPr>
          <w:p w14:paraId="291F5AD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tr w:rsidR="001C5F76" w:rsidRPr="00485F85" w14:paraId="3C95DF1D" w14:textId="77777777" w:rsidTr="00043827">
        <w:tc>
          <w:tcPr>
            <w:cnfStyle w:val="001000000000" w:firstRow="0" w:lastRow="0" w:firstColumn="1" w:lastColumn="0" w:oddVBand="0" w:evenVBand="0" w:oddHBand="0" w:evenHBand="0" w:firstRowFirstColumn="0" w:firstRowLastColumn="0" w:lastRowFirstColumn="0" w:lastRowLastColumn="0"/>
            <w:tcW w:w="2859" w:type="dxa"/>
          </w:tcPr>
          <w:p w14:paraId="616564A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Global history</w:t>
            </w:r>
          </w:p>
        </w:tc>
        <w:tc>
          <w:tcPr>
            <w:tcW w:w="2506" w:type="dxa"/>
            <w:gridSpan w:val="4"/>
          </w:tcPr>
          <w:p w14:paraId="09D34E70" w14:textId="77777777" w:rsidR="001C5F76" w:rsidRPr="00485F85" w:rsidRDefault="001C5F76" w:rsidP="009C0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Oxford Centre for Global History</w:t>
            </w:r>
          </w:p>
        </w:tc>
        <w:tc>
          <w:tcPr>
            <w:tcW w:w="4666" w:type="dxa"/>
            <w:gridSpan w:val="2"/>
          </w:tcPr>
          <w:p w14:paraId="0A74C428"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b/>
                <w:bCs/>
              </w:rPr>
              <w:t>Não se aplica</w:t>
            </w:r>
          </w:p>
        </w:tc>
      </w:tr>
      <w:bookmarkEnd w:id="51"/>
      <w:tr w:rsidR="001C5F76" w:rsidRPr="00485F85" w14:paraId="3D11F865"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5C9D384C"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Observação:</w:t>
            </w:r>
          </w:p>
        </w:tc>
        <w:tc>
          <w:tcPr>
            <w:tcW w:w="7172" w:type="dxa"/>
            <w:gridSpan w:val="6"/>
          </w:tcPr>
          <w:p w14:paraId="1685908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D0576FD"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Coleta de dados realizada no dia 14 de agosto de 2021 no site da Universidade.</w:t>
            </w:r>
          </w:p>
          <w:p w14:paraId="75B27E6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Mais informações podem ser acessadas no link:</w:t>
            </w:r>
          </w:p>
          <w:p w14:paraId="5BA75176" w14:textId="77777777" w:rsidR="001C5F76" w:rsidRPr="00485F85" w:rsidRDefault="00A515B3"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61" w:history="1">
              <w:r w:rsidR="001C5F76" w:rsidRPr="00485F85">
                <w:rPr>
                  <w:rFonts w:asciiTheme="majorHAnsi" w:hAnsiTheme="majorHAnsi" w:cstheme="majorHAnsi"/>
                  <w:color w:val="4875BD" w:themeColor="accent1"/>
                  <w:u w:val="single"/>
                </w:rPr>
                <w:t>https://www.ox.ac.uk/about/international-oxford/oxfords-international-profile/research-global-issues</w:t>
              </w:r>
            </w:hyperlink>
            <w:r w:rsidR="001C5F76" w:rsidRPr="00485F85">
              <w:rPr>
                <w:rFonts w:asciiTheme="majorHAnsi" w:hAnsiTheme="majorHAnsi" w:cstheme="majorHAnsi"/>
              </w:rPr>
              <w:t xml:space="preserve"> </w:t>
            </w:r>
          </w:p>
          <w:p w14:paraId="3CED106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D9A4462"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3E5A1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5BADCE27" w14:textId="77777777" w:rsidTr="00043827">
        <w:trPr>
          <w:trHeight w:val="352"/>
        </w:trPr>
        <w:tc>
          <w:tcPr>
            <w:cnfStyle w:val="001000000000" w:firstRow="0" w:lastRow="0" w:firstColumn="1" w:lastColumn="0" w:oddVBand="0" w:evenVBand="0" w:oddHBand="0" w:evenHBand="0" w:firstRowFirstColumn="0" w:firstRowLastColumn="0" w:lastRowFirstColumn="0" w:lastRowLastColumn="0"/>
            <w:tcW w:w="10031" w:type="dxa"/>
            <w:gridSpan w:val="7"/>
          </w:tcPr>
          <w:p w14:paraId="757319B3" w14:textId="77777777" w:rsidR="001C5F76" w:rsidRPr="00485F85" w:rsidRDefault="001C5F76" w:rsidP="009C02E6">
            <w:pPr>
              <w:shd w:val="clear" w:color="auto" w:fill="FFFFFF"/>
              <w:spacing w:beforeAutospacing="1" w:afterAutospacing="1" w:line="360" w:lineRule="auto"/>
              <w:textAlignment w:val="baseline"/>
              <w:rPr>
                <w:rFonts w:asciiTheme="majorHAnsi" w:hAnsiTheme="majorHAnsi" w:cstheme="majorHAnsi"/>
              </w:rPr>
            </w:pPr>
            <w:r w:rsidRPr="00485F85">
              <w:rPr>
                <w:rFonts w:asciiTheme="majorHAnsi" w:hAnsiTheme="majorHAnsi" w:cstheme="majorHAnsi"/>
              </w:rPr>
              <w:t>5.4. Existência de Políticas consolidadas de inovação e registro de propriedade intelectual e de licenciamentos</w:t>
            </w:r>
          </w:p>
        </w:tc>
      </w:tr>
      <w:tr w:rsidR="001C5F76" w:rsidRPr="00485F85" w14:paraId="3923601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35CA9E3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5.4.1. Identificação de documentos que comprovem a existência das políticas</w:t>
            </w:r>
          </w:p>
        </w:tc>
      </w:tr>
      <w:tr w:rsidR="001C5F76" w:rsidRPr="00485F85" w14:paraId="271BE9D5"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1D2B4015" w14:textId="77777777" w:rsidR="001C5F76" w:rsidRPr="00485F85" w:rsidRDefault="001C5F76" w:rsidP="009C02E6">
            <w:pPr>
              <w:spacing w:line="360" w:lineRule="auto"/>
              <w:jc w:val="both"/>
              <w:rPr>
                <w:rFonts w:asciiTheme="majorHAnsi" w:hAnsiTheme="majorHAnsi" w:cstheme="majorHAnsi"/>
              </w:rPr>
            </w:pPr>
          </w:p>
          <w:p w14:paraId="1F462FA9" w14:textId="77777777" w:rsidR="001C5F76" w:rsidRPr="00485F85" w:rsidRDefault="001C5F76" w:rsidP="009C02E6">
            <w:pPr>
              <w:spacing w:line="360" w:lineRule="auto"/>
              <w:jc w:val="both"/>
              <w:rPr>
                <w:rFonts w:asciiTheme="majorHAnsi" w:hAnsiTheme="majorHAnsi" w:cstheme="majorHAnsi"/>
                <w:lang w:val="en-US"/>
              </w:rPr>
            </w:pPr>
            <w:r w:rsidRPr="00485F85">
              <w:rPr>
                <w:rFonts w:asciiTheme="majorHAnsi" w:hAnsiTheme="majorHAnsi" w:cstheme="majorHAnsi"/>
                <w:lang w:val="en-US"/>
              </w:rPr>
              <w:t>Estatuto - Statute XVI: Property, Contracts, and Trusts</w:t>
            </w:r>
          </w:p>
          <w:p w14:paraId="629F2B8D" w14:textId="77777777" w:rsidR="001C5F76" w:rsidRPr="00485F85" w:rsidRDefault="00A515B3" w:rsidP="009C02E6">
            <w:pPr>
              <w:spacing w:line="360" w:lineRule="auto"/>
              <w:jc w:val="both"/>
              <w:rPr>
                <w:rFonts w:asciiTheme="majorHAnsi" w:hAnsiTheme="majorHAnsi" w:cstheme="majorHAnsi"/>
                <w:lang w:val="en-US"/>
              </w:rPr>
            </w:pPr>
            <w:hyperlink r:id="rId162" w:anchor="collapse1383596" w:history="1">
              <w:r w:rsidR="001C5F76" w:rsidRPr="00485F85">
                <w:rPr>
                  <w:rFonts w:asciiTheme="majorHAnsi" w:hAnsiTheme="majorHAnsi" w:cstheme="majorHAnsi"/>
                  <w:color w:val="4875BD" w:themeColor="accent1"/>
                  <w:u w:val="single"/>
                  <w:lang w:val="en-US"/>
                </w:rPr>
                <w:t>https://governance.admin.ox.ac.uk/legislation/statute-xvi-property-contracts-and-trusts#collapse1383596</w:t>
              </w:r>
            </w:hyperlink>
            <w:r w:rsidR="001C5F76" w:rsidRPr="00485F85">
              <w:rPr>
                <w:rFonts w:asciiTheme="majorHAnsi" w:hAnsiTheme="majorHAnsi" w:cstheme="majorHAnsi"/>
                <w:lang w:val="en-US"/>
              </w:rPr>
              <w:t xml:space="preserve"> </w:t>
            </w:r>
          </w:p>
          <w:p w14:paraId="0F56B32A" w14:textId="77777777" w:rsidR="001C5F76" w:rsidRPr="00485F85" w:rsidRDefault="001C5F76" w:rsidP="009C02E6">
            <w:pPr>
              <w:spacing w:line="360" w:lineRule="auto"/>
              <w:jc w:val="both"/>
              <w:rPr>
                <w:rFonts w:asciiTheme="majorHAnsi" w:hAnsiTheme="majorHAnsi" w:cstheme="majorHAnsi"/>
                <w:lang w:val="en-US"/>
              </w:rPr>
            </w:pPr>
          </w:p>
          <w:p w14:paraId="0C241E2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Etapas para a comercialização da Propriedade Intelectual</w:t>
            </w:r>
          </w:p>
          <w:p w14:paraId="60A5E4CF" w14:textId="77777777" w:rsidR="001C5F76" w:rsidRPr="00485F85" w:rsidRDefault="00A515B3" w:rsidP="009C02E6">
            <w:pPr>
              <w:spacing w:line="360" w:lineRule="auto"/>
              <w:jc w:val="both"/>
              <w:rPr>
                <w:rFonts w:asciiTheme="majorHAnsi" w:hAnsiTheme="majorHAnsi" w:cstheme="majorHAnsi"/>
              </w:rPr>
            </w:pPr>
            <w:hyperlink r:id="rId163" w:history="1">
              <w:r w:rsidR="001C5F76" w:rsidRPr="00485F85">
                <w:rPr>
                  <w:rFonts w:asciiTheme="majorHAnsi" w:hAnsiTheme="majorHAnsi" w:cstheme="majorHAnsi"/>
                  <w:color w:val="4875BD" w:themeColor="accent1"/>
                  <w:u w:val="single"/>
                </w:rPr>
                <w:t>https://researchsupport.admin.ox.ac.uk/innovation/ip/commercialisation</w:t>
              </w:r>
            </w:hyperlink>
            <w:r w:rsidR="001C5F76" w:rsidRPr="00485F85">
              <w:rPr>
                <w:rFonts w:asciiTheme="majorHAnsi" w:hAnsiTheme="majorHAnsi" w:cstheme="majorHAnsi"/>
              </w:rPr>
              <w:t xml:space="preserve"> </w:t>
            </w:r>
          </w:p>
          <w:p w14:paraId="5747B1D7" w14:textId="77777777" w:rsidR="001C5F76" w:rsidRPr="00485F85" w:rsidRDefault="001C5F76" w:rsidP="009C02E6">
            <w:pPr>
              <w:spacing w:line="360" w:lineRule="auto"/>
              <w:jc w:val="both"/>
              <w:rPr>
                <w:rFonts w:asciiTheme="majorHAnsi" w:hAnsiTheme="majorHAnsi" w:cstheme="majorHAnsi"/>
              </w:rPr>
            </w:pPr>
          </w:p>
          <w:p w14:paraId="747E5A5F"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Compartilhamento da Receita de Licenciamento</w:t>
            </w:r>
          </w:p>
          <w:p w14:paraId="2E5DE37A" w14:textId="77777777" w:rsidR="001C5F76" w:rsidRPr="00485F85" w:rsidRDefault="00A515B3" w:rsidP="009C02E6">
            <w:pPr>
              <w:spacing w:line="360" w:lineRule="auto"/>
              <w:jc w:val="both"/>
              <w:rPr>
                <w:rFonts w:asciiTheme="majorHAnsi" w:hAnsiTheme="majorHAnsi" w:cstheme="majorHAnsi"/>
              </w:rPr>
            </w:pPr>
            <w:hyperlink r:id="rId164" w:history="1">
              <w:r w:rsidR="001C5F76" w:rsidRPr="00485F85">
                <w:rPr>
                  <w:rFonts w:asciiTheme="majorHAnsi" w:hAnsiTheme="majorHAnsi" w:cstheme="majorHAnsi"/>
                  <w:color w:val="4875BD" w:themeColor="accent1"/>
                  <w:u w:val="single"/>
                </w:rPr>
                <w:t>https://innovation.ox.ac.uk/university-members/commercialising-technology/ip-patents-licenses/revenue-sharing-licensing/</w:t>
              </w:r>
            </w:hyperlink>
            <w:r w:rsidR="001C5F76" w:rsidRPr="00485F85">
              <w:rPr>
                <w:rFonts w:asciiTheme="majorHAnsi" w:hAnsiTheme="majorHAnsi" w:cstheme="majorHAnsi"/>
              </w:rPr>
              <w:t xml:space="preserve"> </w:t>
            </w:r>
          </w:p>
          <w:p w14:paraId="62EC87A0"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417DF1F4"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74E648A6"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084A7399"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17B7FBFA" w14:textId="77777777" w:rsidR="001C5F76" w:rsidRPr="00485F85" w:rsidRDefault="001C5F76" w:rsidP="009C02E6">
            <w:pPr>
              <w:spacing w:line="360" w:lineRule="auto"/>
              <w:jc w:val="both"/>
              <w:rPr>
                <w:rFonts w:asciiTheme="majorHAnsi" w:hAnsiTheme="majorHAnsi" w:cstheme="majorHAnsi"/>
              </w:rPr>
            </w:pPr>
            <w:bookmarkStart w:id="52" w:name="_Hlk78139013"/>
            <w:r w:rsidRPr="00485F85">
              <w:rPr>
                <w:rFonts w:asciiTheme="majorHAnsi" w:hAnsiTheme="majorHAnsi" w:cstheme="majorHAnsi"/>
              </w:rPr>
              <w:t>5.4.2 Relação de Registro de pedido de Patentes por área e ano</w:t>
            </w:r>
          </w:p>
        </w:tc>
      </w:tr>
      <w:tr w:rsidR="001C5F76" w:rsidRPr="00485F85" w14:paraId="65A22C86" w14:textId="77777777" w:rsidTr="0004382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528" w:type="dxa"/>
            <w:gridSpan w:val="2"/>
          </w:tcPr>
          <w:p w14:paraId="2B417CE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Área</w:t>
            </w:r>
          </w:p>
        </w:tc>
        <w:tc>
          <w:tcPr>
            <w:tcW w:w="1007" w:type="dxa"/>
          </w:tcPr>
          <w:p w14:paraId="0A60F52C"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Registro de Pedido* </w:t>
            </w:r>
            <w:r w:rsidRPr="00485F85">
              <w:rPr>
                <w:rFonts w:asciiTheme="majorHAnsi" w:hAnsiTheme="majorHAnsi" w:cstheme="majorHAnsi"/>
                <w:b/>
                <w:bCs/>
              </w:rPr>
              <w:t>(número de pedidos: TOTAL)</w:t>
            </w:r>
          </w:p>
        </w:tc>
        <w:tc>
          <w:tcPr>
            <w:tcW w:w="5496" w:type="dxa"/>
            <w:gridSpan w:val="4"/>
          </w:tcPr>
          <w:p w14:paraId="44AA514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Ano de solicitação**</w:t>
            </w:r>
          </w:p>
          <w:p w14:paraId="54FC1443"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(PERÍODO DE 2016 A 2021 (julho))</w:t>
            </w:r>
          </w:p>
        </w:tc>
      </w:tr>
      <w:tr w:rsidR="001C5F76" w:rsidRPr="00485F85" w14:paraId="07DEBDCA" w14:textId="77777777" w:rsidTr="00043827">
        <w:trPr>
          <w:trHeight w:val="135"/>
        </w:trPr>
        <w:tc>
          <w:tcPr>
            <w:cnfStyle w:val="001000000000" w:firstRow="0" w:lastRow="0" w:firstColumn="1" w:lastColumn="0" w:oddVBand="0" w:evenVBand="0" w:oddHBand="0" w:evenHBand="0" w:firstRowFirstColumn="0" w:firstRowLastColumn="0" w:lastRowFirstColumn="0" w:lastRowLastColumn="0"/>
            <w:tcW w:w="3528" w:type="dxa"/>
            <w:gridSpan w:val="2"/>
          </w:tcPr>
          <w:p w14:paraId="1992F6E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HUMAN NECESSITIES</w:t>
            </w:r>
          </w:p>
          <w:p w14:paraId="36160CA7" w14:textId="77777777" w:rsidR="001C5F76" w:rsidRPr="00485F85" w:rsidRDefault="001C5F76" w:rsidP="009C02E6">
            <w:pPr>
              <w:spacing w:line="360" w:lineRule="auto"/>
              <w:jc w:val="both"/>
              <w:rPr>
                <w:rFonts w:asciiTheme="majorHAnsi" w:hAnsiTheme="majorHAnsi" w:cstheme="majorHAnsi"/>
              </w:rPr>
            </w:pPr>
          </w:p>
        </w:tc>
        <w:tc>
          <w:tcPr>
            <w:tcW w:w="1007" w:type="dxa"/>
          </w:tcPr>
          <w:p w14:paraId="06F0204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315</w:t>
            </w:r>
          </w:p>
        </w:tc>
        <w:tc>
          <w:tcPr>
            <w:tcW w:w="5496" w:type="dxa"/>
            <w:gridSpan w:val="4"/>
          </w:tcPr>
          <w:tbl>
            <w:tblPr>
              <w:tblW w:w="5760" w:type="dxa"/>
              <w:tblCellMar>
                <w:left w:w="70" w:type="dxa"/>
                <w:right w:w="70" w:type="dxa"/>
              </w:tblCellMar>
              <w:tblLook w:val="04A0" w:firstRow="1" w:lastRow="0" w:firstColumn="1" w:lastColumn="0" w:noHBand="0" w:noVBand="1"/>
            </w:tblPr>
            <w:tblGrid>
              <w:gridCol w:w="960"/>
              <w:gridCol w:w="960"/>
              <w:gridCol w:w="960"/>
              <w:gridCol w:w="960"/>
              <w:gridCol w:w="960"/>
              <w:gridCol w:w="960"/>
            </w:tblGrid>
            <w:tr w:rsidR="001C5F76" w:rsidRPr="00485F85" w14:paraId="1A87EA44" w14:textId="77777777" w:rsidTr="00BB72C8">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69A7"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6C1829"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E7DDB2"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30D8CC"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9F9C980"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B4009A"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5458A53F" w14:textId="77777777" w:rsidTr="00BB72C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2EFC4"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30</w:t>
                  </w:r>
                </w:p>
              </w:tc>
              <w:tc>
                <w:tcPr>
                  <w:tcW w:w="960" w:type="dxa"/>
                  <w:tcBorders>
                    <w:top w:val="nil"/>
                    <w:left w:val="nil"/>
                    <w:bottom w:val="single" w:sz="4" w:space="0" w:color="auto"/>
                    <w:right w:val="single" w:sz="4" w:space="0" w:color="auto"/>
                  </w:tcBorders>
                  <w:shd w:val="clear" w:color="auto" w:fill="auto"/>
                  <w:noWrap/>
                  <w:vAlign w:val="bottom"/>
                  <w:hideMark/>
                </w:tcPr>
                <w:p w14:paraId="1C2533D5"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33</w:t>
                  </w:r>
                </w:p>
              </w:tc>
              <w:tc>
                <w:tcPr>
                  <w:tcW w:w="960" w:type="dxa"/>
                  <w:tcBorders>
                    <w:top w:val="nil"/>
                    <w:left w:val="nil"/>
                    <w:bottom w:val="single" w:sz="4" w:space="0" w:color="auto"/>
                    <w:right w:val="single" w:sz="4" w:space="0" w:color="auto"/>
                  </w:tcBorders>
                  <w:shd w:val="clear" w:color="auto" w:fill="auto"/>
                  <w:noWrap/>
                  <w:vAlign w:val="bottom"/>
                  <w:hideMark/>
                </w:tcPr>
                <w:p w14:paraId="5A422F25"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58</w:t>
                  </w:r>
                </w:p>
              </w:tc>
              <w:tc>
                <w:tcPr>
                  <w:tcW w:w="960" w:type="dxa"/>
                  <w:tcBorders>
                    <w:top w:val="nil"/>
                    <w:left w:val="nil"/>
                    <w:bottom w:val="single" w:sz="4" w:space="0" w:color="auto"/>
                    <w:right w:val="single" w:sz="4" w:space="0" w:color="auto"/>
                  </w:tcBorders>
                  <w:shd w:val="clear" w:color="auto" w:fill="auto"/>
                  <w:noWrap/>
                  <w:vAlign w:val="bottom"/>
                  <w:hideMark/>
                </w:tcPr>
                <w:p w14:paraId="38178432"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75</w:t>
                  </w:r>
                </w:p>
              </w:tc>
              <w:tc>
                <w:tcPr>
                  <w:tcW w:w="960" w:type="dxa"/>
                  <w:tcBorders>
                    <w:top w:val="nil"/>
                    <w:left w:val="nil"/>
                    <w:bottom w:val="single" w:sz="4" w:space="0" w:color="auto"/>
                    <w:right w:val="single" w:sz="4" w:space="0" w:color="auto"/>
                  </w:tcBorders>
                  <w:shd w:val="clear" w:color="auto" w:fill="auto"/>
                  <w:noWrap/>
                  <w:vAlign w:val="bottom"/>
                  <w:hideMark/>
                </w:tcPr>
                <w:p w14:paraId="79373F43"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79</w:t>
                  </w:r>
                </w:p>
              </w:tc>
              <w:tc>
                <w:tcPr>
                  <w:tcW w:w="960" w:type="dxa"/>
                  <w:tcBorders>
                    <w:top w:val="nil"/>
                    <w:left w:val="nil"/>
                    <w:bottom w:val="single" w:sz="4" w:space="0" w:color="auto"/>
                    <w:right w:val="single" w:sz="4" w:space="0" w:color="auto"/>
                  </w:tcBorders>
                  <w:shd w:val="clear" w:color="auto" w:fill="auto"/>
                  <w:noWrap/>
                  <w:vAlign w:val="bottom"/>
                  <w:hideMark/>
                </w:tcPr>
                <w:p w14:paraId="5782EA05"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40</w:t>
                  </w:r>
                </w:p>
              </w:tc>
            </w:tr>
          </w:tbl>
          <w:p w14:paraId="67C83D2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5A1E3FC4"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07239FD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PERFORMING OPERATIONS; TRANSPORTING</w:t>
            </w:r>
          </w:p>
          <w:p w14:paraId="7CB7AA15" w14:textId="77777777" w:rsidR="001C5F76" w:rsidRPr="00485F85" w:rsidRDefault="001C5F76" w:rsidP="009C02E6">
            <w:pPr>
              <w:spacing w:line="360" w:lineRule="auto"/>
              <w:jc w:val="both"/>
              <w:rPr>
                <w:rFonts w:asciiTheme="majorHAnsi" w:hAnsiTheme="majorHAnsi" w:cstheme="majorHAnsi"/>
              </w:rPr>
            </w:pPr>
          </w:p>
        </w:tc>
        <w:tc>
          <w:tcPr>
            <w:tcW w:w="1007" w:type="dxa"/>
          </w:tcPr>
          <w:p w14:paraId="2D04E39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69</w:t>
            </w:r>
          </w:p>
        </w:tc>
        <w:tc>
          <w:tcPr>
            <w:tcW w:w="5496" w:type="dxa"/>
            <w:gridSpan w:val="4"/>
          </w:tcPr>
          <w:tbl>
            <w:tblPr>
              <w:tblW w:w="5712" w:type="dxa"/>
              <w:tblCellMar>
                <w:left w:w="70" w:type="dxa"/>
                <w:right w:w="70" w:type="dxa"/>
              </w:tblCellMar>
              <w:tblLook w:val="04A0" w:firstRow="1" w:lastRow="0" w:firstColumn="1" w:lastColumn="0" w:noHBand="0" w:noVBand="1"/>
            </w:tblPr>
            <w:tblGrid>
              <w:gridCol w:w="952"/>
              <w:gridCol w:w="952"/>
              <w:gridCol w:w="952"/>
              <w:gridCol w:w="952"/>
              <w:gridCol w:w="952"/>
              <w:gridCol w:w="952"/>
            </w:tblGrid>
            <w:tr w:rsidR="001C5F76" w:rsidRPr="00485F85" w14:paraId="560DEC92" w14:textId="77777777" w:rsidTr="00BB72C8">
              <w:trPr>
                <w:trHeight w:val="765"/>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CF93"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611A0015"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3D8222FC"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484F2F7"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3B69CA44"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6481790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301FE33B" w14:textId="77777777" w:rsidTr="00BB72C8">
              <w:trPr>
                <w:trHeight w:val="25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3978C0"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w:t>
                  </w:r>
                </w:p>
              </w:tc>
              <w:tc>
                <w:tcPr>
                  <w:tcW w:w="952" w:type="dxa"/>
                  <w:tcBorders>
                    <w:top w:val="nil"/>
                    <w:left w:val="nil"/>
                    <w:bottom w:val="single" w:sz="4" w:space="0" w:color="auto"/>
                    <w:right w:val="single" w:sz="4" w:space="0" w:color="auto"/>
                  </w:tcBorders>
                  <w:shd w:val="clear" w:color="auto" w:fill="auto"/>
                  <w:noWrap/>
                  <w:vAlign w:val="bottom"/>
                  <w:hideMark/>
                </w:tcPr>
                <w:p w14:paraId="0ADA442E"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8</w:t>
                  </w:r>
                </w:p>
              </w:tc>
              <w:tc>
                <w:tcPr>
                  <w:tcW w:w="952" w:type="dxa"/>
                  <w:tcBorders>
                    <w:top w:val="nil"/>
                    <w:left w:val="nil"/>
                    <w:bottom w:val="single" w:sz="4" w:space="0" w:color="auto"/>
                    <w:right w:val="single" w:sz="4" w:space="0" w:color="auto"/>
                  </w:tcBorders>
                  <w:shd w:val="clear" w:color="auto" w:fill="auto"/>
                  <w:noWrap/>
                  <w:vAlign w:val="bottom"/>
                  <w:hideMark/>
                </w:tcPr>
                <w:p w14:paraId="727657D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14</w:t>
                  </w:r>
                </w:p>
              </w:tc>
              <w:tc>
                <w:tcPr>
                  <w:tcW w:w="952" w:type="dxa"/>
                  <w:tcBorders>
                    <w:top w:val="nil"/>
                    <w:left w:val="nil"/>
                    <w:bottom w:val="single" w:sz="4" w:space="0" w:color="auto"/>
                    <w:right w:val="single" w:sz="4" w:space="0" w:color="auto"/>
                  </w:tcBorders>
                  <w:shd w:val="clear" w:color="auto" w:fill="auto"/>
                  <w:noWrap/>
                  <w:vAlign w:val="bottom"/>
                  <w:hideMark/>
                </w:tcPr>
                <w:p w14:paraId="41160AE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23</w:t>
                  </w:r>
                </w:p>
              </w:tc>
              <w:tc>
                <w:tcPr>
                  <w:tcW w:w="952" w:type="dxa"/>
                  <w:tcBorders>
                    <w:top w:val="nil"/>
                    <w:left w:val="nil"/>
                    <w:bottom w:val="single" w:sz="4" w:space="0" w:color="auto"/>
                    <w:right w:val="single" w:sz="4" w:space="0" w:color="auto"/>
                  </w:tcBorders>
                  <w:shd w:val="clear" w:color="auto" w:fill="auto"/>
                  <w:noWrap/>
                  <w:vAlign w:val="bottom"/>
                  <w:hideMark/>
                </w:tcPr>
                <w:p w14:paraId="05AE55A9"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14</w:t>
                  </w:r>
                </w:p>
              </w:tc>
              <w:tc>
                <w:tcPr>
                  <w:tcW w:w="952" w:type="dxa"/>
                  <w:tcBorders>
                    <w:top w:val="nil"/>
                    <w:left w:val="nil"/>
                    <w:bottom w:val="single" w:sz="4" w:space="0" w:color="auto"/>
                    <w:right w:val="single" w:sz="4" w:space="0" w:color="auto"/>
                  </w:tcBorders>
                  <w:shd w:val="clear" w:color="auto" w:fill="auto"/>
                  <w:noWrap/>
                  <w:vAlign w:val="bottom"/>
                  <w:hideMark/>
                </w:tcPr>
                <w:p w14:paraId="0C18D7EA"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3</w:t>
                  </w:r>
                </w:p>
              </w:tc>
            </w:tr>
          </w:tbl>
          <w:p w14:paraId="525D2340"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8BFF804"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55812329"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CHEMISTRY, METALLURGY</w:t>
            </w:r>
          </w:p>
        </w:tc>
        <w:tc>
          <w:tcPr>
            <w:tcW w:w="1007" w:type="dxa"/>
          </w:tcPr>
          <w:p w14:paraId="562EB762"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354</w:t>
            </w:r>
          </w:p>
        </w:tc>
        <w:tc>
          <w:tcPr>
            <w:tcW w:w="5496" w:type="dxa"/>
            <w:gridSpan w:val="4"/>
          </w:tcPr>
          <w:tbl>
            <w:tblPr>
              <w:tblW w:w="5712" w:type="dxa"/>
              <w:tblCellMar>
                <w:left w:w="70" w:type="dxa"/>
                <w:right w:w="70" w:type="dxa"/>
              </w:tblCellMar>
              <w:tblLook w:val="04A0" w:firstRow="1" w:lastRow="0" w:firstColumn="1" w:lastColumn="0" w:noHBand="0" w:noVBand="1"/>
            </w:tblPr>
            <w:tblGrid>
              <w:gridCol w:w="952"/>
              <w:gridCol w:w="952"/>
              <w:gridCol w:w="952"/>
              <w:gridCol w:w="952"/>
              <w:gridCol w:w="952"/>
              <w:gridCol w:w="952"/>
            </w:tblGrid>
            <w:tr w:rsidR="001C5F76" w:rsidRPr="00485F85" w14:paraId="4332F636" w14:textId="77777777" w:rsidTr="00BB72C8">
              <w:trPr>
                <w:trHeight w:val="765"/>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DFC1F"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39FE2314"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65948CBB"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EE7D34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6EA203F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58800B00"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588719E6" w14:textId="77777777" w:rsidTr="00BB72C8">
              <w:trPr>
                <w:trHeight w:val="25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1C4F16"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29</w:t>
                  </w:r>
                </w:p>
              </w:tc>
              <w:tc>
                <w:tcPr>
                  <w:tcW w:w="952" w:type="dxa"/>
                  <w:tcBorders>
                    <w:top w:val="nil"/>
                    <w:left w:val="nil"/>
                    <w:bottom w:val="single" w:sz="4" w:space="0" w:color="auto"/>
                    <w:right w:val="single" w:sz="4" w:space="0" w:color="auto"/>
                  </w:tcBorders>
                  <w:shd w:val="clear" w:color="auto" w:fill="auto"/>
                  <w:noWrap/>
                  <w:vAlign w:val="bottom"/>
                  <w:hideMark/>
                </w:tcPr>
                <w:p w14:paraId="7A12ADD2"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70</w:t>
                  </w:r>
                </w:p>
              </w:tc>
              <w:tc>
                <w:tcPr>
                  <w:tcW w:w="952" w:type="dxa"/>
                  <w:tcBorders>
                    <w:top w:val="nil"/>
                    <w:left w:val="nil"/>
                    <w:bottom w:val="single" w:sz="4" w:space="0" w:color="auto"/>
                    <w:right w:val="single" w:sz="4" w:space="0" w:color="auto"/>
                  </w:tcBorders>
                  <w:shd w:val="clear" w:color="auto" w:fill="auto"/>
                  <w:noWrap/>
                  <w:vAlign w:val="bottom"/>
                  <w:hideMark/>
                </w:tcPr>
                <w:p w14:paraId="39A33F49"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78</w:t>
                  </w:r>
                </w:p>
              </w:tc>
              <w:tc>
                <w:tcPr>
                  <w:tcW w:w="952" w:type="dxa"/>
                  <w:tcBorders>
                    <w:top w:val="nil"/>
                    <w:left w:val="nil"/>
                    <w:bottom w:val="single" w:sz="4" w:space="0" w:color="auto"/>
                    <w:right w:val="single" w:sz="4" w:space="0" w:color="auto"/>
                  </w:tcBorders>
                  <w:shd w:val="clear" w:color="auto" w:fill="auto"/>
                  <w:noWrap/>
                  <w:vAlign w:val="bottom"/>
                  <w:hideMark/>
                </w:tcPr>
                <w:p w14:paraId="46BF9FD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78</w:t>
                  </w:r>
                </w:p>
              </w:tc>
              <w:tc>
                <w:tcPr>
                  <w:tcW w:w="952" w:type="dxa"/>
                  <w:tcBorders>
                    <w:top w:val="nil"/>
                    <w:left w:val="nil"/>
                    <w:bottom w:val="single" w:sz="4" w:space="0" w:color="auto"/>
                    <w:right w:val="single" w:sz="4" w:space="0" w:color="auto"/>
                  </w:tcBorders>
                  <w:shd w:val="clear" w:color="auto" w:fill="auto"/>
                  <w:noWrap/>
                  <w:vAlign w:val="bottom"/>
                  <w:hideMark/>
                </w:tcPr>
                <w:p w14:paraId="40650B5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57</w:t>
                  </w:r>
                </w:p>
              </w:tc>
              <w:tc>
                <w:tcPr>
                  <w:tcW w:w="952" w:type="dxa"/>
                  <w:tcBorders>
                    <w:top w:val="nil"/>
                    <w:left w:val="nil"/>
                    <w:bottom w:val="single" w:sz="4" w:space="0" w:color="auto"/>
                    <w:right w:val="single" w:sz="4" w:space="0" w:color="auto"/>
                  </w:tcBorders>
                  <w:shd w:val="clear" w:color="auto" w:fill="auto"/>
                  <w:noWrap/>
                  <w:vAlign w:val="bottom"/>
                  <w:hideMark/>
                </w:tcPr>
                <w:p w14:paraId="7F7221C9"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42</w:t>
                  </w:r>
                </w:p>
              </w:tc>
            </w:tr>
          </w:tbl>
          <w:p w14:paraId="51F96C6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2FE1DA2B"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279A9A6E" w14:textId="77777777" w:rsidR="001C5F76" w:rsidRPr="00485F85" w:rsidRDefault="001C5F76" w:rsidP="009C02E6">
            <w:pPr>
              <w:spacing w:line="360" w:lineRule="auto"/>
              <w:jc w:val="both"/>
              <w:rPr>
                <w:rFonts w:asciiTheme="majorHAnsi" w:hAnsiTheme="majorHAnsi" w:cstheme="majorHAnsi"/>
                <w:lang w:val="en-US"/>
              </w:rPr>
            </w:pPr>
            <w:r w:rsidRPr="00485F85">
              <w:rPr>
                <w:rFonts w:asciiTheme="majorHAnsi" w:hAnsiTheme="majorHAnsi" w:cstheme="majorHAnsi"/>
                <w:lang w:val="en-US"/>
              </w:rPr>
              <w:t>MECHANICAL ENGINEERING; LIGHTING; HEATING; WEAPONS; BLASTING</w:t>
            </w:r>
          </w:p>
        </w:tc>
        <w:tc>
          <w:tcPr>
            <w:tcW w:w="1007" w:type="dxa"/>
          </w:tcPr>
          <w:p w14:paraId="712333CB"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15</w:t>
            </w:r>
          </w:p>
        </w:tc>
        <w:tc>
          <w:tcPr>
            <w:tcW w:w="5496" w:type="dxa"/>
            <w:gridSpan w:val="4"/>
          </w:tcPr>
          <w:tbl>
            <w:tblPr>
              <w:tblW w:w="5712" w:type="dxa"/>
              <w:tblCellMar>
                <w:left w:w="70" w:type="dxa"/>
                <w:right w:w="70" w:type="dxa"/>
              </w:tblCellMar>
              <w:tblLook w:val="04A0" w:firstRow="1" w:lastRow="0" w:firstColumn="1" w:lastColumn="0" w:noHBand="0" w:noVBand="1"/>
            </w:tblPr>
            <w:tblGrid>
              <w:gridCol w:w="952"/>
              <w:gridCol w:w="952"/>
              <w:gridCol w:w="952"/>
              <w:gridCol w:w="952"/>
              <w:gridCol w:w="952"/>
              <w:gridCol w:w="952"/>
            </w:tblGrid>
            <w:tr w:rsidR="001C5F76" w:rsidRPr="00485F85" w14:paraId="22B7E7D0" w14:textId="77777777" w:rsidTr="00BB72C8">
              <w:trPr>
                <w:trHeight w:val="765"/>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6D7AC"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60CD519"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75580468"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CAE124D"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D00EC03"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376B1957"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4A6131B8" w14:textId="77777777" w:rsidTr="00BB72C8">
              <w:trPr>
                <w:trHeight w:val="25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44DBCD"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w:t>
                  </w:r>
                </w:p>
              </w:tc>
              <w:tc>
                <w:tcPr>
                  <w:tcW w:w="952" w:type="dxa"/>
                  <w:tcBorders>
                    <w:top w:val="nil"/>
                    <w:left w:val="nil"/>
                    <w:bottom w:val="single" w:sz="4" w:space="0" w:color="auto"/>
                    <w:right w:val="single" w:sz="4" w:space="0" w:color="auto"/>
                  </w:tcBorders>
                  <w:shd w:val="clear" w:color="auto" w:fill="auto"/>
                  <w:noWrap/>
                  <w:vAlign w:val="bottom"/>
                  <w:hideMark/>
                </w:tcPr>
                <w:p w14:paraId="60B0F4A7"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w:t>
                  </w:r>
                </w:p>
              </w:tc>
              <w:tc>
                <w:tcPr>
                  <w:tcW w:w="952" w:type="dxa"/>
                  <w:tcBorders>
                    <w:top w:val="nil"/>
                    <w:left w:val="nil"/>
                    <w:bottom w:val="single" w:sz="4" w:space="0" w:color="auto"/>
                    <w:right w:val="single" w:sz="4" w:space="0" w:color="auto"/>
                  </w:tcBorders>
                  <w:shd w:val="clear" w:color="auto" w:fill="auto"/>
                  <w:noWrap/>
                  <w:vAlign w:val="bottom"/>
                  <w:hideMark/>
                </w:tcPr>
                <w:p w14:paraId="7FA698C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w:t>
                  </w:r>
                </w:p>
              </w:tc>
              <w:tc>
                <w:tcPr>
                  <w:tcW w:w="952" w:type="dxa"/>
                  <w:tcBorders>
                    <w:top w:val="nil"/>
                    <w:left w:val="nil"/>
                    <w:bottom w:val="single" w:sz="4" w:space="0" w:color="auto"/>
                    <w:right w:val="single" w:sz="4" w:space="0" w:color="auto"/>
                  </w:tcBorders>
                  <w:shd w:val="clear" w:color="auto" w:fill="auto"/>
                  <w:noWrap/>
                  <w:vAlign w:val="bottom"/>
                  <w:hideMark/>
                </w:tcPr>
                <w:p w14:paraId="35413DDA"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w:t>
                  </w:r>
                </w:p>
              </w:tc>
              <w:tc>
                <w:tcPr>
                  <w:tcW w:w="952" w:type="dxa"/>
                  <w:tcBorders>
                    <w:top w:val="nil"/>
                    <w:left w:val="nil"/>
                    <w:bottom w:val="single" w:sz="4" w:space="0" w:color="auto"/>
                    <w:right w:val="single" w:sz="4" w:space="0" w:color="auto"/>
                  </w:tcBorders>
                  <w:shd w:val="clear" w:color="auto" w:fill="auto"/>
                  <w:noWrap/>
                  <w:vAlign w:val="bottom"/>
                  <w:hideMark/>
                </w:tcPr>
                <w:p w14:paraId="22EEA964"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0</w:t>
                  </w:r>
                </w:p>
              </w:tc>
              <w:tc>
                <w:tcPr>
                  <w:tcW w:w="952" w:type="dxa"/>
                  <w:tcBorders>
                    <w:top w:val="nil"/>
                    <w:left w:val="nil"/>
                    <w:bottom w:val="single" w:sz="4" w:space="0" w:color="auto"/>
                    <w:right w:val="single" w:sz="4" w:space="0" w:color="auto"/>
                  </w:tcBorders>
                  <w:shd w:val="clear" w:color="auto" w:fill="auto"/>
                  <w:noWrap/>
                  <w:vAlign w:val="bottom"/>
                  <w:hideMark/>
                </w:tcPr>
                <w:p w14:paraId="38E528F6"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1</w:t>
                  </w:r>
                </w:p>
              </w:tc>
            </w:tr>
          </w:tbl>
          <w:p w14:paraId="0DBD3D35"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63CDAC9A"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067B7B2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b/>
            </w:r>
          </w:p>
          <w:p w14:paraId="4A2FCD8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PHYSICS</w:t>
            </w:r>
          </w:p>
        </w:tc>
        <w:tc>
          <w:tcPr>
            <w:tcW w:w="1007" w:type="dxa"/>
          </w:tcPr>
          <w:p w14:paraId="26ED59EA"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383</w:t>
            </w:r>
          </w:p>
        </w:tc>
        <w:tc>
          <w:tcPr>
            <w:tcW w:w="5496" w:type="dxa"/>
            <w:gridSpan w:val="4"/>
          </w:tcPr>
          <w:tbl>
            <w:tblPr>
              <w:tblW w:w="5712" w:type="dxa"/>
              <w:tblCellMar>
                <w:left w:w="70" w:type="dxa"/>
                <w:right w:w="70" w:type="dxa"/>
              </w:tblCellMar>
              <w:tblLook w:val="04A0" w:firstRow="1" w:lastRow="0" w:firstColumn="1" w:lastColumn="0" w:noHBand="0" w:noVBand="1"/>
            </w:tblPr>
            <w:tblGrid>
              <w:gridCol w:w="952"/>
              <w:gridCol w:w="952"/>
              <w:gridCol w:w="952"/>
              <w:gridCol w:w="952"/>
              <w:gridCol w:w="952"/>
              <w:gridCol w:w="952"/>
            </w:tblGrid>
            <w:tr w:rsidR="001C5F76" w:rsidRPr="00485F85" w14:paraId="15DFC46E" w14:textId="77777777" w:rsidTr="00BB72C8">
              <w:trPr>
                <w:trHeight w:val="765"/>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289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6E62198"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5A3A927"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729CE3FA"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7E2F179"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285667FB"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63DDC16C" w14:textId="77777777" w:rsidTr="00BB72C8">
              <w:trPr>
                <w:trHeight w:val="25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7F64EF"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52</w:t>
                  </w:r>
                </w:p>
              </w:tc>
              <w:tc>
                <w:tcPr>
                  <w:tcW w:w="952" w:type="dxa"/>
                  <w:tcBorders>
                    <w:top w:val="nil"/>
                    <w:left w:val="nil"/>
                    <w:bottom w:val="single" w:sz="4" w:space="0" w:color="auto"/>
                    <w:right w:val="single" w:sz="4" w:space="0" w:color="auto"/>
                  </w:tcBorders>
                  <w:shd w:val="clear" w:color="auto" w:fill="auto"/>
                  <w:noWrap/>
                  <w:vAlign w:val="bottom"/>
                  <w:hideMark/>
                </w:tcPr>
                <w:p w14:paraId="66500EC5"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59</w:t>
                  </w:r>
                </w:p>
              </w:tc>
              <w:tc>
                <w:tcPr>
                  <w:tcW w:w="952" w:type="dxa"/>
                  <w:tcBorders>
                    <w:top w:val="nil"/>
                    <w:left w:val="nil"/>
                    <w:bottom w:val="single" w:sz="4" w:space="0" w:color="auto"/>
                    <w:right w:val="single" w:sz="4" w:space="0" w:color="auto"/>
                  </w:tcBorders>
                  <w:shd w:val="clear" w:color="auto" w:fill="auto"/>
                  <w:noWrap/>
                  <w:vAlign w:val="bottom"/>
                  <w:hideMark/>
                </w:tcPr>
                <w:p w14:paraId="285395A0"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51</w:t>
                  </w:r>
                </w:p>
              </w:tc>
              <w:tc>
                <w:tcPr>
                  <w:tcW w:w="952" w:type="dxa"/>
                  <w:tcBorders>
                    <w:top w:val="nil"/>
                    <w:left w:val="nil"/>
                    <w:bottom w:val="single" w:sz="4" w:space="0" w:color="auto"/>
                    <w:right w:val="single" w:sz="4" w:space="0" w:color="auto"/>
                  </w:tcBorders>
                  <w:shd w:val="clear" w:color="auto" w:fill="auto"/>
                  <w:noWrap/>
                  <w:vAlign w:val="bottom"/>
                  <w:hideMark/>
                </w:tcPr>
                <w:p w14:paraId="299FF0D8"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86</w:t>
                  </w:r>
                </w:p>
              </w:tc>
              <w:tc>
                <w:tcPr>
                  <w:tcW w:w="952" w:type="dxa"/>
                  <w:tcBorders>
                    <w:top w:val="nil"/>
                    <w:left w:val="nil"/>
                    <w:bottom w:val="single" w:sz="4" w:space="0" w:color="auto"/>
                    <w:right w:val="single" w:sz="4" w:space="0" w:color="auto"/>
                  </w:tcBorders>
                  <w:shd w:val="clear" w:color="auto" w:fill="auto"/>
                  <w:noWrap/>
                  <w:vAlign w:val="bottom"/>
                  <w:hideMark/>
                </w:tcPr>
                <w:p w14:paraId="77E76083"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91</w:t>
                  </w:r>
                </w:p>
              </w:tc>
              <w:tc>
                <w:tcPr>
                  <w:tcW w:w="952" w:type="dxa"/>
                  <w:tcBorders>
                    <w:top w:val="nil"/>
                    <w:left w:val="nil"/>
                    <w:bottom w:val="single" w:sz="4" w:space="0" w:color="auto"/>
                    <w:right w:val="single" w:sz="4" w:space="0" w:color="auto"/>
                  </w:tcBorders>
                  <w:shd w:val="clear" w:color="auto" w:fill="auto"/>
                  <w:noWrap/>
                  <w:vAlign w:val="bottom"/>
                  <w:hideMark/>
                </w:tcPr>
                <w:p w14:paraId="026E7DD3"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44</w:t>
                  </w:r>
                </w:p>
              </w:tc>
            </w:tr>
          </w:tbl>
          <w:p w14:paraId="4D5227C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C5F76" w:rsidRPr="00485F85" w14:paraId="19DD96B7"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2"/>
          </w:tcPr>
          <w:p w14:paraId="6463749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b/>
            </w:r>
          </w:p>
          <w:p w14:paraId="567C031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ELECTRICITY</w:t>
            </w:r>
          </w:p>
        </w:tc>
        <w:tc>
          <w:tcPr>
            <w:tcW w:w="1007" w:type="dxa"/>
          </w:tcPr>
          <w:p w14:paraId="6E8E90F1"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lastRenderedPageBreak/>
              <w:t>129</w:t>
            </w:r>
          </w:p>
        </w:tc>
        <w:tc>
          <w:tcPr>
            <w:tcW w:w="5496" w:type="dxa"/>
            <w:gridSpan w:val="4"/>
          </w:tcPr>
          <w:tbl>
            <w:tblPr>
              <w:tblW w:w="5712" w:type="dxa"/>
              <w:tblCellMar>
                <w:left w:w="70" w:type="dxa"/>
                <w:right w:w="70" w:type="dxa"/>
              </w:tblCellMar>
              <w:tblLook w:val="04A0" w:firstRow="1" w:lastRow="0" w:firstColumn="1" w:lastColumn="0" w:noHBand="0" w:noVBand="1"/>
            </w:tblPr>
            <w:tblGrid>
              <w:gridCol w:w="952"/>
              <w:gridCol w:w="952"/>
              <w:gridCol w:w="952"/>
              <w:gridCol w:w="952"/>
              <w:gridCol w:w="952"/>
              <w:gridCol w:w="952"/>
            </w:tblGrid>
            <w:tr w:rsidR="001C5F76" w:rsidRPr="00485F85" w14:paraId="6BAC036E" w14:textId="77777777" w:rsidTr="00BB72C8">
              <w:trPr>
                <w:trHeight w:val="765"/>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71B9"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526AFE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783822B0"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2018</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C97A2FD"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2019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05490DE"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74636AA" w14:textId="77777777" w:rsidR="001C5F76" w:rsidRPr="00485F85" w:rsidRDefault="001C5F76" w:rsidP="009C02E6">
                  <w:pPr>
                    <w:tabs>
                      <w:tab w:val="clear" w:pos="1615"/>
                    </w:tabs>
                    <w:spacing w:after="0" w:line="360" w:lineRule="auto"/>
                    <w:jc w:val="center"/>
                    <w:rPr>
                      <w:rFonts w:asciiTheme="majorHAnsi" w:eastAsia="Times New Roman" w:hAnsiTheme="majorHAnsi" w:cstheme="majorHAnsi"/>
                      <w:b/>
                      <w:bCs/>
                      <w:sz w:val="20"/>
                      <w:szCs w:val="20"/>
                      <w:lang w:eastAsia="pt-BR"/>
                    </w:rPr>
                  </w:pPr>
                  <w:r w:rsidRPr="00485F85">
                    <w:rPr>
                      <w:rFonts w:asciiTheme="majorHAnsi" w:eastAsia="Times New Roman" w:hAnsiTheme="majorHAnsi" w:cstheme="majorHAnsi"/>
                      <w:b/>
                      <w:bCs/>
                      <w:sz w:val="20"/>
                      <w:szCs w:val="20"/>
                      <w:lang w:eastAsia="pt-BR"/>
                    </w:rPr>
                    <w:t>2021</w:t>
                  </w:r>
                </w:p>
              </w:tc>
            </w:tr>
            <w:tr w:rsidR="001C5F76" w:rsidRPr="00485F85" w14:paraId="243C1750" w14:textId="77777777" w:rsidTr="00BB72C8">
              <w:trPr>
                <w:trHeight w:val="25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0C7BDC"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lastRenderedPageBreak/>
                    <w:t>20</w:t>
                  </w:r>
                </w:p>
              </w:tc>
              <w:tc>
                <w:tcPr>
                  <w:tcW w:w="952" w:type="dxa"/>
                  <w:tcBorders>
                    <w:top w:val="nil"/>
                    <w:left w:val="nil"/>
                    <w:bottom w:val="single" w:sz="4" w:space="0" w:color="auto"/>
                    <w:right w:val="single" w:sz="4" w:space="0" w:color="auto"/>
                  </w:tcBorders>
                  <w:shd w:val="clear" w:color="auto" w:fill="auto"/>
                  <w:noWrap/>
                  <w:vAlign w:val="bottom"/>
                  <w:hideMark/>
                </w:tcPr>
                <w:p w14:paraId="16F88C27"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25</w:t>
                  </w:r>
                </w:p>
              </w:tc>
              <w:tc>
                <w:tcPr>
                  <w:tcW w:w="952" w:type="dxa"/>
                  <w:tcBorders>
                    <w:top w:val="nil"/>
                    <w:left w:val="nil"/>
                    <w:bottom w:val="single" w:sz="4" w:space="0" w:color="auto"/>
                    <w:right w:val="single" w:sz="4" w:space="0" w:color="auto"/>
                  </w:tcBorders>
                  <w:shd w:val="clear" w:color="auto" w:fill="auto"/>
                  <w:noWrap/>
                  <w:vAlign w:val="bottom"/>
                  <w:hideMark/>
                </w:tcPr>
                <w:p w14:paraId="582576DA"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23</w:t>
                  </w:r>
                </w:p>
              </w:tc>
              <w:tc>
                <w:tcPr>
                  <w:tcW w:w="952" w:type="dxa"/>
                  <w:tcBorders>
                    <w:top w:val="nil"/>
                    <w:left w:val="nil"/>
                    <w:bottom w:val="single" w:sz="4" w:space="0" w:color="auto"/>
                    <w:right w:val="single" w:sz="4" w:space="0" w:color="auto"/>
                  </w:tcBorders>
                  <w:shd w:val="clear" w:color="auto" w:fill="auto"/>
                  <w:noWrap/>
                  <w:vAlign w:val="bottom"/>
                  <w:hideMark/>
                </w:tcPr>
                <w:p w14:paraId="304D7C5D"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24</w:t>
                  </w:r>
                </w:p>
              </w:tc>
              <w:tc>
                <w:tcPr>
                  <w:tcW w:w="952" w:type="dxa"/>
                  <w:tcBorders>
                    <w:top w:val="nil"/>
                    <w:left w:val="nil"/>
                    <w:bottom w:val="single" w:sz="4" w:space="0" w:color="auto"/>
                    <w:right w:val="single" w:sz="4" w:space="0" w:color="auto"/>
                  </w:tcBorders>
                  <w:shd w:val="clear" w:color="auto" w:fill="auto"/>
                  <w:noWrap/>
                  <w:vAlign w:val="bottom"/>
                  <w:hideMark/>
                </w:tcPr>
                <w:p w14:paraId="27A8B63B"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25</w:t>
                  </w:r>
                </w:p>
              </w:tc>
              <w:tc>
                <w:tcPr>
                  <w:tcW w:w="952" w:type="dxa"/>
                  <w:tcBorders>
                    <w:top w:val="nil"/>
                    <w:left w:val="nil"/>
                    <w:bottom w:val="single" w:sz="4" w:space="0" w:color="auto"/>
                    <w:right w:val="single" w:sz="4" w:space="0" w:color="auto"/>
                  </w:tcBorders>
                  <w:shd w:val="clear" w:color="auto" w:fill="auto"/>
                  <w:noWrap/>
                  <w:vAlign w:val="bottom"/>
                  <w:hideMark/>
                </w:tcPr>
                <w:p w14:paraId="0E63C2FD" w14:textId="77777777" w:rsidR="001C5F76" w:rsidRPr="00485F85" w:rsidRDefault="001C5F76" w:rsidP="009C02E6">
                  <w:pPr>
                    <w:tabs>
                      <w:tab w:val="clear" w:pos="1615"/>
                    </w:tabs>
                    <w:spacing w:after="0" w:line="360" w:lineRule="auto"/>
                    <w:jc w:val="right"/>
                    <w:rPr>
                      <w:rFonts w:asciiTheme="majorHAnsi" w:eastAsia="Times New Roman" w:hAnsiTheme="majorHAnsi" w:cstheme="majorHAnsi"/>
                      <w:sz w:val="20"/>
                      <w:szCs w:val="20"/>
                      <w:lang w:eastAsia="pt-BR"/>
                    </w:rPr>
                  </w:pPr>
                  <w:r w:rsidRPr="00485F85">
                    <w:rPr>
                      <w:rFonts w:asciiTheme="majorHAnsi" w:eastAsia="Times New Roman" w:hAnsiTheme="majorHAnsi" w:cstheme="majorHAnsi"/>
                      <w:sz w:val="20"/>
                      <w:szCs w:val="20"/>
                      <w:lang w:eastAsia="pt-BR"/>
                    </w:rPr>
                    <w:t>12</w:t>
                  </w:r>
                </w:p>
              </w:tc>
            </w:tr>
          </w:tbl>
          <w:p w14:paraId="305722C4" w14:textId="77777777" w:rsidR="001C5F76" w:rsidRPr="00485F85" w:rsidRDefault="001C5F76" w:rsidP="009C02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0DD1D19" w14:textId="77777777" w:rsidTr="00043827">
        <w:tc>
          <w:tcPr>
            <w:cnfStyle w:val="001000000000" w:firstRow="0" w:lastRow="0" w:firstColumn="1" w:lastColumn="0" w:oddVBand="0" w:evenVBand="0" w:oddHBand="0" w:evenHBand="0" w:firstRowFirstColumn="0" w:firstRowLastColumn="0" w:lastRowFirstColumn="0" w:lastRowLastColumn="0"/>
            <w:tcW w:w="3528" w:type="dxa"/>
            <w:gridSpan w:val="2"/>
          </w:tcPr>
          <w:p w14:paraId="64EBB85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Observações:</w:t>
            </w:r>
          </w:p>
        </w:tc>
        <w:tc>
          <w:tcPr>
            <w:tcW w:w="6503" w:type="dxa"/>
            <w:gridSpan w:val="5"/>
          </w:tcPr>
          <w:p w14:paraId="420B642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O total considera o total referente a área no período de 2016 a 2021 (25 de julho coleta)</w:t>
            </w:r>
          </w:p>
          <w:p w14:paraId="4A0E0CC0"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80C00C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 Considerando o número elevado de registros torna-se inviável a relação ano a ano, portanto relacionamos apenas o número de registros no período compreendido entre 2016 e 2021..   </w:t>
            </w:r>
          </w:p>
          <w:p w14:paraId="1F85F89B"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19F1BE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A Universidade de Oxford não possuiu uma fonte de documentada com o histórico de suas patentes. Desse modo foi realizada uma extração de dados no site da WIPO.</w:t>
            </w:r>
          </w:p>
          <w:p w14:paraId="7FFDBB8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410828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 xml:space="preserve">O WIPO é o fórum global para serviços, políticas, informações e cooperação de propriedade intelectual (PI). É uma agência de autofinanciamento das Nações Unidas , com 193 Estados membros. A sua missão é liderar o desenvolvimento de um sistema internacional de PI(propriedade intelectual) equilibrado e eficaz que permita inovação e criatividade para o benefício de todos.  </w:t>
            </w:r>
            <w:hyperlink r:id="rId165" w:history="1">
              <w:r w:rsidRPr="00485F85">
                <w:rPr>
                  <w:rFonts w:asciiTheme="majorHAnsi" w:hAnsiTheme="majorHAnsi" w:cstheme="majorHAnsi"/>
                  <w:color w:val="4875BD" w:themeColor="accent1"/>
                  <w:u w:val="single"/>
                </w:rPr>
                <w:t>https://patentscope.wipo.int/search</w:t>
              </w:r>
            </w:hyperlink>
          </w:p>
          <w:p w14:paraId="486BAC4A"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5BD5E69"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Para trazer uma informação mais atualizada os dados foram minerados no período de 2016 a 2021 para a construção da tabela apresentada.</w:t>
            </w:r>
          </w:p>
          <w:p w14:paraId="2CDBBF9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517E0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Como curiosidade, deixo aqui o primeiro registro de Oxford no WIPO, em 1959 e o último no dia 22 de julho de 2021 (data de coleta, 25/07/2021).</w:t>
            </w:r>
          </w:p>
          <w:p w14:paraId="225C0C7D"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057D14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US"/>
              </w:rPr>
            </w:pPr>
            <w:r w:rsidRPr="00485F85">
              <w:rPr>
                <w:rFonts w:asciiTheme="majorHAnsi" w:hAnsiTheme="majorHAnsi" w:cstheme="majorHAnsi"/>
                <w:b/>
                <w:bCs/>
                <w:lang w:val="en-US"/>
              </w:rPr>
              <w:t>B - PERFORMING OPERATIONS/TRANSPORTING</w:t>
            </w:r>
          </w:p>
          <w:p w14:paraId="04038D2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818404 - A Method for the production of Maps in Relief</w:t>
            </w:r>
          </w:p>
          <w:p w14:paraId="174A98D0"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Int.Class B29C51/10</w:t>
            </w:r>
          </w:p>
          <w:p w14:paraId="23D52B45"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Appl.No 1079056</w:t>
            </w:r>
          </w:p>
          <w:p w14:paraId="43E9C96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 xml:space="preserve">Applicant: Oxford University </w:t>
            </w:r>
          </w:p>
          <w:p w14:paraId="7ADFB43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Invetor: Bickmore David Pelham</w:t>
            </w:r>
          </w:p>
          <w:p w14:paraId="7311158A"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Data: 19/08/1959</w:t>
            </w:r>
          </w:p>
          <w:p w14:paraId="717449A3"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p w14:paraId="1539F1D2"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en-US"/>
              </w:rPr>
            </w:pPr>
            <w:r w:rsidRPr="00485F85">
              <w:rPr>
                <w:rFonts w:asciiTheme="majorHAnsi" w:hAnsiTheme="majorHAnsi" w:cstheme="majorHAnsi"/>
                <w:b/>
                <w:bCs/>
                <w:lang w:val="en-US"/>
              </w:rPr>
              <w:t>C- CHEMISTRY,METALLURGY</w:t>
            </w:r>
          </w:p>
          <w:p w14:paraId="6AFEC5A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lastRenderedPageBreak/>
              <w:t>WO/2021/144555 - Polymer Coatings</w:t>
            </w:r>
          </w:p>
          <w:p w14:paraId="4AF172A1"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Int.Class CO8F220/20</w:t>
            </w:r>
          </w:p>
          <w:p w14:paraId="2BC7781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Appl.No PCT/GB2021/050051</w:t>
            </w:r>
          </w:p>
          <w:p w14:paraId="1E579A0C"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Applicant: Oxford University Innovation Limited</w:t>
            </w:r>
          </w:p>
          <w:p w14:paraId="21BD89F7"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485F85">
              <w:rPr>
                <w:rFonts w:asciiTheme="majorHAnsi" w:hAnsiTheme="majorHAnsi" w:cstheme="majorHAnsi"/>
                <w:lang w:val="en-US"/>
              </w:rPr>
              <w:t>Inventor MILNES-SMITH, Eleanor</w:t>
            </w:r>
          </w:p>
          <w:p w14:paraId="7F6286C4"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22/07/2021</w:t>
            </w:r>
          </w:p>
          <w:p w14:paraId="01D91CB2"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12E8626" w14:textId="77777777" w:rsidR="001C5F76" w:rsidRPr="00485F85" w:rsidRDefault="001C5F76" w:rsidP="009C02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bookmarkEnd w:id="52"/>
      <w:tr w:rsidR="001C5F76" w:rsidRPr="00485F85" w14:paraId="66D746FB"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6DB228E2"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lastRenderedPageBreak/>
              <w:t xml:space="preserve">5.5. Programas de Iniciação Científica </w:t>
            </w:r>
          </w:p>
        </w:tc>
      </w:tr>
      <w:tr w:rsidR="001C5F76" w:rsidRPr="00485F85" w14:paraId="68928BB1"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6BCB0623" w14:textId="77777777" w:rsidR="001C5F76" w:rsidRPr="00485F85" w:rsidRDefault="001C5F76" w:rsidP="009C02E6">
            <w:pPr>
              <w:spacing w:line="360" w:lineRule="auto"/>
              <w:jc w:val="both"/>
              <w:rPr>
                <w:rFonts w:asciiTheme="majorHAnsi" w:hAnsiTheme="majorHAnsi" w:cstheme="majorHAnsi"/>
              </w:rPr>
            </w:pPr>
          </w:p>
          <w:p w14:paraId="66B76FB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Para esse estudo foram considerados iniciação científica alunos vinculados a bolsa de pesquisa e que estejam na graduação. Contudo, essa informação é restrita no site e apenas vinculados à instituição podem ter acesso a esse dado.</w:t>
            </w:r>
          </w:p>
          <w:p w14:paraId="2644A043" w14:textId="51A311C1" w:rsidR="001C5F76" w:rsidRPr="00485F85" w:rsidRDefault="00A515B3" w:rsidP="009C02E6">
            <w:pPr>
              <w:spacing w:line="360" w:lineRule="auto"/>
              <w:jc w:val="both"/>
              <w:rPr>
                <w:rFonts w:asciiTheme="majorHAnsi" w:hAnsiTheme="majorHAnsi" w:cstheme="majorHAnsi"/>
              </w:rPr>
            </w:pPr>
            <w:hyperlink r:id="rId166" w:history="1">
              <w:r w:rsidR="001C5F76" w:rsidRPr="00485F85">
                <w:rPr>
                  <w:rFonts w:asciiTheme="majorHAnsi" w:hAnsiTheme="majorHAnsi" w:cstheme="majorHAnsi"/>
                  <w:color w:val="4875BD" w:themeColor="accent1"/>
                  <w:u w:val="single"/>
                </w:rPr>
                <w:t>https://researchsupport.admin.ox.ac.uk/funding/fellowships</w:t>
              </w:r>
            </w:hyperlink>
            <w:r w:rsidR="001C5F76" w:rsidRPr="00485F85">
              <w:rPr>
                <w:rFonts w:asciiTheme="majorHAnsi" w:hAnsiTheme="majorHAnsi" w:cstheme="majorHAnsi"/>
              </w:rPr>
              <w:t xml:space="preserve"> </w:t>
            </w:r>
          </w:p>
          <w:p w14:paraId="6619693C" w14:textId="282C10D8" w:rsidR="007B641C" w:rsidRPr="00485F85" w:rsidRDefault="007B641C" w:rsidP="009C02E6">
            <w:pPr>
              <w:spacing w:line="360" w:lineRule="auto"/>
              <w:jc w:val="both"/>
              <w:rPr>
                <w:rFonts w:asciiTheme="majorHAnsi" w:hAnsiTheme="majorHAnsi" w:cstheme="majorHAnsi"/>
              </w:rPr>
            </w:pPr>
          </w:p>
          <w:p w14:paraId="31C4DE57"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52AA0A1A"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5905E83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5.5.1. Formas de divulgação e seleção de estudantes</w:t>
            </w:r>
          </w:p>
        </w:tc>
      </w:tr>
      <w:tr w:rsidR="001C5F76" w:rsidRPr="00485F85" w14:paraId="1E779904"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605260E8" w14:textId="77777777" w:rsidR="001C5F76" w:rsidRPr="00485F85" w:rsidRDefault="001C5F76" w:rsidP="009C02E6">
            <w:pPr>
              <w:spacing w:line="360" w:lineRule="auto"/>
              <w:jc w:val="both"/>
              <w:rPr>
                <w:rFonts w:asciiTheme="majorHAnsi" w:hAnsiTheme="majorHAnsi" w:cstheme="majorHAnsi"/>
              </w:rPr>
            </w:pPr>
          </w:p>
          <w:p w14:paraId="535C9FD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 site da Instituição é a principal forma de divulgação para o acesso do estudante às oportunidades. </w:t>
            </w:r>
          </w:p>
          <w:p w14:paraId="236CC2BD"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47B0530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6D35E573" w14:textId="7CDF3C55" w:rsidR="001C5F76" w:rsidRPr="00485F85" w:rsidRDefault="001C5F76" w:rsidP="009C02E6">
            <w:pPr>
              <w:spacing w:line="360" w:lineRule="auto"/>
              <w:jc w:val="both"/>
              <w:rPr>
                <w:rFonts w:asciiTheme="majorHAnsi" w:hAnsiTheme="majorHAnsi" w:cstheme="majorHAnsi"/>
              </w:rPr>
            </w:pPr>
            <w:bookmarkStart w:id="53" w:name="_Hlk78139166"/>
            <w:r w:rsidRPr="00485F85">
              <w:rPr>
                <w:rFonts w:asciiTheme="majorHAnsi" w:hAnsiTheme="majorHAnsi" w:cstheme="majorHAnsi"/>
              </w:rPr>
              <w:t>5.6.</w:t>
            </w:r>
            <w:r w:rsidRPr="00485F85">
              <w:rPr>
                <w:rFonts w:asciiTheme="majorHAnsi" w:hAnsiTheme="majorHAnsi" w:cstheme="majorHAnsi"/>
                <w:noProof/>
                <w:color w:val="FF0000"/>
                <w:sz w:val="24"/>
                <w:szCs w:val="24"/>
              </w:rPr>
              <w:t xml:space="preserve"> </w:t>
            </w:r>
            <w:r w:rsidRPr="00485F85">
              <w:rPr>
                <w:rFonts w:asciiTheme="majorHAnsi" w:hAnsiTheme="majorHAnsi" w:cstheme="majorHAnsi"/>
              </w:rPr>
              <w:t>Número de estudantes incorporados aos programas de IC em relação ao número total</w:t>
            </w:r>
            <w:r w:rsidRPr="00485F85">
              <w:rPr>
                <w:rFonts w:asciiTheme="majorHAnsi" w:hAnsiTheme="majorHAnsi" w:cstheme="majorHAnsi"/>
                <w:noProof/>
                <w:color w:val="FF0000"/>
                <w:sz w:val="24"/>
                <w:szCs w:val="24"/>
              </w:rPr>
              <w:t xml:space="preserve"> </w:t>
            </w:r>
            <w:bookmarkEnd w:id="53"/>
          </w:p>
        </w:tc>
      </w:tr>
      <w:tr w:rsidR="001C5F76" w:rsidRPr="00485F85" w14:paraId="21C6783D"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526F17AD"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Não se aplica</w:t>
            </w:r>
          </w:p>
          <w:p w14:paraId="0AEC2EA7" w14:textId="77777777" w:rsidR="001C5F76" w:rsidRPr="00485F85" w:rsidRDefault="001C5F76" w:rsidP="009C02E6">
            <w:pPr>
              <w:spacing w:line="360" w:lineRule="auto"/>
              <w:jc w:val="both"/>
              <w:rPr>
                <w:rFonts w:asciiTheme="majorHAnsi" w:hAnsiTheme="majorHAnsi" w:cstheme="majorHAnsi"/>
                <w:b w:val="0"/>
                <w:bCs w:val="0"/>
              </w:rPr>
            </w:pPr>
          </w:p>
        </w:tc>
      </w:tr>
      <w:tr w:rsidR="001C5F76" w:rsidRPr="00485F85" w14:paraId="45BD971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55FF7F2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5.7 Evidências da relevância e do impacto interno dos projetos de pesquisa no processo de ensino aprendizagem</w:t>
            </w:r>
          </w:p>
        </w:tc>
      </w:tr>
      <w:tr w:rsidR="001C5F76" w:rsidRPr="00485F85" w14:paraId="05EFBF24"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155B2A39" w14:textId="77777777" w:rsidR="001C5F76" w:rsidRPr="00485F85" w:rsidRDefault="001C5F76" w:rsidP="009C02E6">
            <w:pPr>
              <w:spacing w:line="360" w:lineRule="auto"/>
              <w:jc w:val="both"/>
              <w:rPr>
                <w:rFonts w:asciiTheme="majorHAnsi" w:hAnsiTheme="majorHAnsi" w:cstheme="majorHAnsi"/>
              </w:rPr>
            </w:pPr>
          </w:p>
          <w:p w14:paraId="656F9BC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Oxford prima por experiências interativas de aprendizagem e as pesquisas fazem parte desse cenário. Abaixo pequenos vídeos de pessoas que expressam essa relação seja no ensino, seja no âmbito da pesquisa.</w:t>
            </w:r>
          </w:p>
          <w:p w14:paraId="05B72D28" w14:textId="77777777" w:rsidR="001C5F76" w:rsidRPr="00485F85" w:rsidRDefault="00A515B3" w:rsidP="009C02E6">
            <w:pPr>
              <w:spacing w:line="360" w:lineRule="auto"/>
              <w:jc w:val="both"/>
              <w:rPr>
                <w:rFonts w:asciiTheme="majorHAnsi" w:hAnsiTheme="majorHAnsi" w:cstheme="majorHAnsi"/>
              </w:rPr>
            </w:pPr>
            <w:hyperlink r:id="rId167" w:history="1">
              <w:r w:rsidR="001C5F76" w:rsidRPr="00485F85">
                <w:rPr>
                  <w:rFonts w:asciiTheme="majorHAnsi" w:hAnsiTheme="majorHAnsi" w:cstheme="majorHAnsi"/>
                  <w:color w:val="4875BD" w:themeColor="accent1"/>
                  <w:u w:val="single"/>
                </w:rPr>
                <w:t>https://www.ox.ac.uk/research/research-impact/impact-films</w:t>
              </w:r>
            </w:hyperlink>
            <w:r w:rsidR="001C5F76" w:rsidRPr="00485F85">
              <w:rPr>
                <w:rFonts w:asciiTheme="majorHAnsi" w:hAnsiTheme="majorHAnsi" w:cstheme="majorHAnsi"/>
              </w:rPr>
              <w:t xml:space="preserve"> </w:t>
            </w:r>
          </w:p>
          <w:p w14:paraId="5F4C1C8A"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14335F96"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598475D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5.8. Evidências da relevância dos projetos de pesquisa com as necessidades de desenvolvimento científico, tecnológico e social.</w:t>
            </w:r>
          </w:p>
          <w:p w14:paraId="49AA521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Idem 5.7</w:t>
            </w:r>
          </w:p>
          <w:p w14:paraId="261BF5AD" w14:textId="77777777" w:rsidR="001C5F76" w:rsidRPr="00485F85" w:rsidRDefault="001C5F76" w:rsidP="009C02E6">
            <w:pPr>
              <w:spacing w:line="360" w:lineRule="auto"/>
              <w:jc w:val="both"/>
              <w:rPr>
                <w:rFonts w:asciiTheme="majorHAnsi" w:hAnsiTheme="majorHAnsi" w:cstheme="majorHAnsi"/>
              </w:rPr>
            </w:pPr>
          </w:p>
          <w:p w14:paraId="19ACC5F7"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5CC36D5F"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11E6C294" w14:textId="77777777" w:rsidR="001C5F76" w:rsidRPr="00485F85" w:rsidRDefault="001C5F76" w:rsidP="009C02E6">
            <w:pPr>
              <w:spacing w:line="360" w:lineRule="auto"/>
              <w:jc w:val="both"/>
              <w:rPr>
                <w:rFonts w:asciiTheme="majorHAnsi" w:hAnsiTheme="majorHAnsi" w:cstheme="majorHAnsi"/>
              </w:rPr>
            </w:pPr>
          </w:p>
        </w:tc>
      </w:tr>
      <w:tr w:rsidR="001C5F76" w:rsidRPr="00485F85" w14:paraId="6D661017"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14:paraId="5047CBE6"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5.9. Formas de divulgação dos resultados das pesquisas (Exemplo: Eventos de divulgação científica; Semana do Curso de xx)</w:t>
            </w:r>
          </w:p>
        </w:tc>
      </w:tr>
      <w:tr w:rsidR="001C5F76" w:rsidRPr="00485F85" w14:paraId="1D1385B2" w14:textId="77777777" w:rsidTr="00043827">
        <w:tc>
          <w:tcPr>
            <w:cnfStyle w:val="001000000000" w:firstRow="0" w:lastRow="0" w:firstColumn="1" w:lastColumn="0" w:oddVBand="0" w:evenVBand="0" w:oddHBand="0" w:evenHBand="0" w:firstRowFirstColumn="0" w:firstRowLastColumn="0" w:lastRowFirstColumn="0" w:lastRowLastColumn="0"/>
            <w:tcW w:w="10031" w:type="dxa"/>
            <w:gridSpan w:val="7"/>
          </w:tcPr>
          <w:p w14:paraId="7F8444E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 universidade se propõe a conectar pesquisadores.</w:t>
            </w:r>
          </w:p>
          <w:p w14:paraId="105355C4"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Oxford acredita que fazer conexões com outros pesquisadores, seja profissional ou socialmente, é uma oportunidade inestimável enquanto estiver em Oxford; mas pode não ser fácil se você estiver trabalhando sozinho ou apenas dentro do seu grupo, com foco em sua área específica de pesquisa. A Universidade oferece uma variedade de mecanismos para ajudar os indíviduos a fazer essas conexões dentro e fora do seu departamento.</w:t>
            </w:r>
          </w:p>
          <w:p w14:paraId="680DF493" w14:textId="77777777" w:rsidR="001C5F76" w:rsidRPr="00485F85" w:rsidRDefault="001C5F76" w:rsidP="009C02E6">
            <w:pPr>
              <w:spacing w:line="360" w:lineRule="auto"/>
              <w:jc w:val="both"/>
              <w:rPr>
                <w:rFonts w:asciiTheme="majorHAnsi" w:hAnsiTheme="majorHAnsi" w:cstheme="majorHAnsi"/>
              </w:rPr>
            </w:pPr>
          </w:p>
          <w:p w14:paraId="7A6CAA54" w14:textId="77777777" w:rsidR="001C5F76" w:rsidRPr="00485F85" w:rsidRDefault="001C5F76" w:rsidP="009C02E6">
            <w:pPr>
              <w:spacing w:line="360" w:lineRule="auto"/>
              <w:jc w:val="both"/>
              <w:rPr>
                <w:rFonts w:asciiTheme="majorHAnsi" w:hAnsiTheme="majorHAnsi" w:cstheme="majorHAnsi"/>
                <w:b w:val="0"/>
                <w:bCs w:val="0"/>
              </w:rPr>
            </w:pPr>
            <w:r w:rsidRPr="00485F85">
              <w:rPr>
                <w:rFonts w:asciiTheme="majorHAnsi" w:hAnsiTheme="majorHAnsi" w:cstheme="majorHAnsi"/>
              </w:rPr>
              <w:t>Redes específicas de pesquisadores</w:t>
            </w:r>
          </w:p>
          <w:p w14:paraId="35CF4D2E" w14:textId="77777777" w:rsidR="001C5F76" w:rsidRPr="00485F85" w:rsidRDefault="001C5F76" w:rsidP="009C02E6">
            <w:pPr>
              <w:spacing w:line="360" w:lineRule="auto"/>
              <w:jc w:val="both"/>
              <w:rPr>
                <w:rFonts w:asciiTheme="majorHAnsi" w:hAnsiTheme="majorHAnsi" w:cstheme="majorHAnsi"/>
              </w:rPr>
            </w:pPr>
          </w:p>
          <w:p w14:paraId="6CD0B081"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Oxford Research Staff Society ( OxRSS ) conecta pesquisadores de toda a Universidade social e profissionalmente</w:t>
            </w:r>
          </w:p>
          <w:p w14:paraId="1D103A0E"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Muitos departamentos têm suas próprias sociedades de pesquisadores, redes ou comitês</w:t>
            </w:r>
          </w:p>
          <w:p w14:paraId="128FE1DD"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Alguns departamentos e divisões criaram esquemas de mentoria para equipes de pesquisa</w:t>
            </w:r>
          </w:p>
          <w:p w14:paraId="34D8864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Outras redes Oxford</w:t>
            </w:r>
          </w:p>
          <w:p w14:paraId="71A4CF1F" w14:textId="77777777" w:rsidR="001C5F76" w:rsidRPr="00485F85" w:rsidRDefault="001C5F76" w:rsidP="009C02E6">
            <w:pPr>
              <w:spacing w:line="360" w:lineRule="auto"/>
              <w:jc w:val="both"/>
              <w:rPr>
                <w:rFonts w:asciiTheme="majorHAnsi" w:hAnsiTheme="majorHAnsi" w:cstheme="majorHAnsi"/>
              </w:rPr>
            </w:pPr>
          </w:p>
          <w:p w14:paraId="5AAADD5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Existem outras redes que fornecem links além da comunidade de pesquisa, como:</w:t>
            </w:r>
          </w:p>
          <w:p w14:paraId="67F9F67E"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Rede acadêmica LGBT</w:t>
            </w:r>
          </w:p>
          <w:p w14:paraId="7B724032"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Rede de funcionários BME</w:t>
            </w:r>
          </w:p>
          <w:p w14:paraId="6915CB1A"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Rede de deficientes físicos</w:t>
            </w:r>
          </w:p>
          <w:p w14:paraId="041D97EA"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University and College Union</w:t>
            </w:r>
          </w:p>
          <w:p w14:paraId="7E599BF5"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Newcomers Club - para parceiros de membros da Universidade</w:t>
            </w:r>
          </w:p>
          <w:p w14:paraId="4EC10FCC" w14:textId="77777777" w:rsidR="001C5F76" w:rsidRPr="00485F85" w:rsidRDefault="001C5F76" w:rsidP="009C02E6">
            <w:pPr>
              <w:numPr>
                <w:ilvl w:val="0"/>
                <w:numId w:val="39"/>
              </w:numPr>
              <w:spacing w:line="360" w:lineRule="auto"/>
              <w:contextualSpacing/>
              <w:jc w:val="both"/>
              <w:rPr>
                <w:rFonts w:asciiTheme="majorHAnsi" w:hAnsiTheme="majorHAnsi" w:cstheme="majorHAnsi"/>
              </w:rPr>
            </w:pPr>
            <w:r w:rsidRPr="00485F85">
              <w:rPr>
                <w:rFonts w:asciiTheme="majorHAnsi" w:hAnsiTheme="majorHAnsi" w:cstheme="majorHAnsi"/>
              </w:rPr>
              <w:t>Oxford Events</w:t>
            </w:r>
          </w:p>
          <w:p w14:paraId="5F87E072" w14:textId="77777777" w:rsidR="001C5F76" w:rsidRPr="00485F85" w:rsidRDefault="001C5F76" w:rsidP="009C02E6">
            <w:pPr>
              <w:spacing w:line="360" w:lineRule="auto"/>
              <w:jc w:val="both"/>
              <w:rPr>
                <w:rFonts w:asciiTheme="majorHAnsi" w:hAnsiTheme="majorHAnsi" w:cstheme="majorHAnsi"/>
              </w:rPr>
            </w:pPr>
          </w:p>
          <w:p w14:paraId="7ABA5F5C"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Oxford Talks  - lista de eventos de todas as palestras em todas as disciplinas ocorrendo na Universidade de Oxford</w:t>
            </w:r>
          </w:p>
          <w:p w14:paraId="5AE9467B" w14:textId="77777777" w:rsidR="001C5F76" w:rsidRPr="00485F85" w:rsidRDefault="001C5F76" w:rsidP="009C02E6">
            <w:pPr>
              <w:spacing w:line="360" w:lineRule="auto"/>
              <w:jc w:val="both"/>
              <w:rPr>
                <w:rFonts w:asciiTheme="majorHAnsi" w:hAnsiTheme="majorHAnsi" w:cstheme="majorHAnsi"/>
              </w:rPr>
            </w:pPr>
          </w:p>
          <w:p w14:paraId="4241B27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Ashmolean Museum - LiveFridays permitem que os pesquisadores participem de uma noite de apresentações, workshops criativos e conversas animadas após o expediente no museu.</w:t>
            </w:r>
          </w:p>
          <w:p w14:paraId="6D68CB55"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Museu de História Natural - as famílias podem explorar as coleções, participar de atividades interativas e </w:t>
            </w:r>
            <w:r w:rsidRPr="00485F85">
              <w:rPr>
                <w:rFonts w:asciiTheme="majorHAnsi" w:hAnsiTheme="majorHAnsi" w:cstheme="majorHAnsi"/>
              </w:rPr>
              <w:lastRenderedPageBreak/>
              <w:t>conhecer os cientistas da Universidade.</w:t>
            </w:r>
          </w:p>
          <w:p w14:paraId="684D73FD" w14:textId="77777777" w:rsidR="001C5F76" w:rsidRPr="00485F85" w:rsidRDefault="001C5F76" w:rsidP="009C02E6">
            <w:pPr>
              <w:spacing w:line="360" w:lineRule="auto"/>
              <w:jc w:val="both"/>
              <w:rPr>
                <w:rFonts w:asciiTheme="majorHAnsi" w:hAnsiTheme="majorHAnsi" w:cstheme="majorHAnsi"/>
              </w:rPr>
            </w:pPr>
          </w:p>
          <w:p w14:paraId="7E679157"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 xml:space="preserve">Oxfordshire Science and Ideas Festival  - evento anual para envolver o público com pesquisas em Oxford </w:t>
            </w:r>
          </w:p>
          <w:p w14:paraId="663FAE0A"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Oxford Festival of the Arts - um amplo programa de performances, workshops e palestras nos campos da música, teatro, arte, cinema e literatura</w:t>
            </w:r>
          </w:p>
          <w:p w14:paraId="3404A427" w14:textId="77777777" w:rsidR="001C5F76" w:rsidRPr="00485F85" w:rsidRDefault="001C5F76" w:rsidP="009C02E6">
            <w:pPr>
              <w:spacing w:line="360" w:lineRule="auto"/>
              <w:jc w:val="both"/>
              <w:rPr>
                <w:rFonts w:asciiTheme="majorHAnsi" w:hAnsiTheme="majorHAnsi" w:cstheme="majorHAnsi"/>
              </w:rPr>
            </w:pPr>
          </w:p>
          <w:p w14:paraId="311A42F0" w14:textId="77777777" w:rsidR="001C5F76" w:rsidRPr="00485F85" w:rsidRDefault="001C5F76" w:rsidP="009C02E6">
            <w:pPr>
              <w:spacing w:line="360" w:lineRule="auto"/>
              <w:jc w:val="both"/>
              <w:rPr>
                <w:rFonts w:asciiTheme="majorHAnsi" w:hAnsiTheme="majorHAnsi" w:cstheme="majorHAnsi"/>
              </w:rPr>
            </w:pPr>
            <w:r w:rsidRPr="00485F85">
              <w:rPr>
                <w:rFonts w:asciiTheme="majorHAnsi" w:hAnsiTheme="majorHAnsi" w:cstheme="majorHAnsi"/>
              </w:rPr>
              <w:t>TORCH - O Oxford Research Centre in the Humanities (TORCH) envolve um público mais amplo com atividades de pesquisa que transcendem as fronteiras tradicionais</w:t>
            </w:r>
          </w:p>
          <w:p w14:paraId="5786B1B3" w14:textId="77777777" w:rsidR="001C5F76" w:rsidRPr="00485F85" w:rsidRDefault="001C5F76" w:rsidP="009C02E6">
            <w:pPr>
              <w:spacing w:line="360" w:lineRule="auto"/>
              <w:jc w:val="both"/>
              <w:rPr>
                <w:rFonts w:asciiTheme="majorHAnsi" w:hAnsiTheme="majorHAnsi" w:cstheme="majorHAnsi"/>
              </w:rPr>
            </w:pPr>
          </w:p>
          <w:p w14:paraId="655C08ED" w14:textId="77777777" w:rsidR="001C5F76" w:rsidRPr="00485F85" w:rsidRDefault="00A515B3" w:rsidP="009C02E6">
            <w:pPr>
              <w:spacing w:line="360" w:lineRule="auto"/>
              <w:jc w:val="both"/>
              <w:rPr>
                <w:rFonts w:asciiTheme="majorHAnsi" w:hAnsiTheme="majorHAnsi" w:cstheme="majorHAnsi"/>
              </w:rPr>
            </w:pPr>
            <w:hyperlink r:id="rId168" w:history="1">
              <w:r w:rsidR="001C5F76" w:rsidRPr="00485F85">
                <w:rPr>
                  <w:rFonts w:asciiTheme="majorHAnsi" w:hAnsiTheme="majorHAnsi" w:cstheme="majorHAnsi"/>
                  <w:color w:val="4875BD" w:themeColor="accent1"/>
                  <w:u w:val="single"/>
                </w:rPr>
                <w:t>https://www.ox.ac.uk/research/support-researchers/connecting-other-researchers</w:t>
              </w:r>
            </w:hyperlink>
            <w:r w:rsidR="001C5F76" w:rsidRPr="00485F85">
              <w:rPr>
                <w:rFonts w:asciiTheme="majorHAnsi" w:hAnsiTheme="majorHAnsi" w:cstheme="majorHAnsi"/>
              </w:rPr>
              <w:t xml:space="preserve"> </w:t>
            </w:r>
          </w:p>
          <w:p w14:paraId="16CF5154" w14:textId="77777777" w:rsidR="001C5F76" w:rsidRPr="00485F85" w:rsidRDefault="001C5F76" w:rsidP="009C02E6">
            <w:pPr>
              <w:spacing w:line="360" w:lineRule="auto"/>
              <w:jc w:val="both"/>
              <w:rPr>
                <w:rFonts w:asciiTheme="majorHAnsi" w:hAnsiTheme="majorHAnsi" w:cstheme="majorHAnsi"/>
              </w:rPr>
            </w:pPr>
          </w:p>
          <w:p w14:paraId="2A6FC634" w14:textId="77777777" w:rsidR="001C5F76" w:rsidRPr="00485F85" w:rsidRDefault="001C5F76" w:rsidP="009C02E6">
            <w:pPr>
              <w:spacing w:line="360" w:lineRule="auto"/>
              <w:jc w:val="both"/>
              <w:rPr>
                <w:rFonts w:asciiTheme="majorHAnsi" w:hAnsiTheme="majorHAnsi" w:cstheme="majorHAnsi"/>
              </w:rPr>
            </w:pPr>
          </w:p>
        </w:tc>
      </w:tr>
    </w:tbl>
    <w:p w14:paraId="10FCB81D" w14:textId="77777777" w:rsidR="001C5F76" w:rsidRPr="00485F85" w:rsidRDefault="001C5F76" w:rsidP="001C5F76">
      <w:pPr>
        <w:jc w:val="both"/>
        <w:rPr>
          <w:rFonts w:asciiTheme="majorHAnsi" w:hAnsiTheme="majorHAnsi" w:cstheme="majorHAnsi"/>
          <w:b/>
          <w:i/>
        </w:rPr>
      </w:pPr>
      <w:r w:rsidRPr="00485F85">
        <w:rPr>
          <w:rFonts w:asciiTheme="majorHAnsi" w:hAnsiTheme="majorHAnsi" w:cstheme="majorHAnsi"/>
          <w:b/>
          <w:i/>
        </w:rPr>
        <w:lastRenderedPageBreak/>
        <w:t>Importante observar a coerência da pesquisa com o processo de ensino e aprendizagem, especialmente no que se refere às bolsas de Iniciação Científica. E também a coerência com as necessidades da área de formação.</w:t>
      </w:r>
    </w:p>
    <w:p w14:paraId="4A2FD7B9" w14:textId="77777777" w:rsidR="001C5F76" w:rsidRPr="00485F85" w:rsidRDefault="001C5F76" w:rsidP="001C5F76">
      <w:pPr>
        <w:jc w:val="both"/>
        <w:rPr>
          <w:rFonts w:asciiTheme="majorHAnsi" w:hAnsiTheme="majorHAnsi" w:cstheme="majorHAnsi"/>
          <w:b/>
          <w:i/>
        </w:rPr>
      </w:pPr>
    </w:p>
    <w:p w14:paraId="2873ADF9" w14:textId="77777777" w:rsidR="001C5F76" w:rsidRPr="00485F85" w:rsidRDefault="001C5F76" w:rsidP="001C5F76">
      <w:pPr>
        <w:jc w:val="both"/>
        <w:rPr>
          <w:rFonts w:asciiTheme="majorHAnsi" w:hAnsiTheme="majorHAnsi" w:cstheme="majorHAnsi"/>
          <w:b/>
          <w:i/>
        </w:rPr>
      </w:pPr>
    </w:p>
    <w:p w14:paraId="0100B1A3" w14:textId="777BA594" w:rsidR="009C02E6" w:rsidRDefault="009C02E6">
      <w:pPr>
        <w:tabs>
          <w:tab w:val="clear" w:pos="1615"/>
        </w:tabs>
        <w:spacing w:line="259" w:lineRule="auto"/>
        <w:rPr>
          <w:rFonts w:asciiTheme="majorHAnsi" w:hAnsiTheme="majorHAnsi" w:cstheme="majorHAnsi"/>
          <w:b/>
          <w:i/>
        </w:rPr>
      </w:pPr>
      <w:r>
        <w:rPr>
          <w:rFonts w:asciiTheme="majorHAnsi" w:hAnsiTheme="majorHAnsi" w:cstheme="majorHAnsi"/>
          <w:b/>
          <w:i/>
        </w:rPr>
        <w:br w:type="page"/>
      </w:r>
    </w:p>
    <w:tbl>
      <w:tblPr>
        <w:tblStyle w:val="TabeladeLista6Colorida-nfase3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76"/>
        <w:gridCol w:w="4643"/>
      </w:tblGrid>
      <w:tr w:rsidR="00043827" w:rsidRPr="00043827" w14:paraId="0C993674" w14:textId="77777777" w:rsidTr="0004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shd w:val="clear" w:color="auto" w:fill="4875BD" w:themeFill="accent1"/>
          </w:tcPr>
          <w:p w14:paraId="0E37C550" w14:textId="31A6B752" w:rsidR="00043827" w:rsidRPr="00043827" w:rsidRDefault="00043827" w:rsidP="00043827">
            <w:pPr>
              <w:spacing w:line="360" w:lineRule="auto"/>
              <w:jc w:val="both"/>
              <w:rPr>
                <w:rFonts w:asciiTheme="majorHAnsi" w:hAnsiTheme="majorHAnsi" w:cstheme="majorHAnsi"/>
                <w:b w:val="0"/>
                <w:color w:val="FFFFFF" w:themeColor="background1"/>
              </w:rPr>
            </w:pPr>
            <w:r w:rsidRPr="00043827">
              <w:rPr>
                <w:rFonts w:asciiTheme="majorHAnsi" w:hAnsiTheme="majorHAnsi" w:cstheme="majorHAnsi"/>
                <w:color w:val="FFFFFF" w:themeColor="background1"/>
              </w:rPr>
              <w:lastRenderedPageBreak/>
              <w:t>Dimensão 6. Políticas de Extensão</w:t>
            </w:r>
          </w:p>
        </w:tc>
      </w:tr>
      <w:tr w:rsidR="00043827" w:rsidRPr="00043827" w14:paraId="36CCAC68"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6CCAAFF1"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 xml:space="preserve">6.1.Existência de Política de Extensão </w:t>
            </w:r>
          </w:p>
        </w:tc>
      </w:tr>
      <w:tr w:rsidR="00043827" w:rsidRPr="00043827" w14:paraId="2417B3A0"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3"/>
          </w:tcPr>
          <w:p w14:paraId="64FEF55C" w14:textId="77777777" w:rsidR="00043827" w:rsidRPr="00043827" w:rsidRDefault="00043827" w:rsidP="00043827">
            <w:pPr>
              <w:spacing w:line="360" w:lineRule="auto"/>
              <w:jc w:val="both"/>
              <w:rPr>
                <w:rFonts w:asciiTheme="majorHAnsi" w:hAnsiTheme="majorHAnsi" w:cstheme="majorHAnsi"/>
                <w:b w:val="0"/>
                <w:bCs w:val="0"/>
              </w:rPr>
            </w:pPr>
            <w:r w:rsidRPr="00043827">
              <w:rPr>
                <w:rFonts w:asciiTheme="majorHAnsi" w:hAnsiTheme="majorHAnsi" w:cstheme="majorHAnsi"/>
              </w:rPr>
              <w:t xml:space="preserve">Sim </w:t>
            </w:r>
          </w:p>
        </w:tc>
      </w:tr>
      <w:tr w:rsidR="00043827" w:rsidRPr="00043827" w14:paraId="5B64D50A"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C52B580"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Principais Projetos</w:t>
            </w:r>
          </w:p>
        </w:tc>
        <w:tc>
          <w:tcPr>
            <w:tcW w:w="1276" w:type="dxa"/>
          </w:tcPr>
          <w:p w14:paraId="4C09C811"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Ano de início</w:t>
            </w:r>
          </w:p>
        </w:tc>
        <w:tc>
          <w:tcPr>
            <w:tcW w:w="4643" w:type="dxa"/>
          </w:tcPr>
          <w:p w14:paraId="2E4D027A"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Participação da comunidade</w:t>
            </w:r>
          </w:p>
        </w:tc>
      </w:tr>
      <w:tr w:rsidR="00043827" w:rsidRPr="00043827" w14:paraId="4E309F1E" w14:textId="77777777" w:rsidTr="00043827">
        <w:tc>
          <w:tcPr>
            <w:cnfStyle w:val="001000000000" w:firstRow="0" w:lastRow="0" w:firstColumn="1" w:lastColumn="0" w:oddVBand="0" w:evenVBand="0" w:oddHBand="0" w:evenHBand="0" w:firstRowFirstColumn="0" w:firstRowLastColumn="0" w:lastRowFirstColumn="0" w:lastRowLastColumn="0"/>
            <w:tcW w:w="3828" w:type="dxa"/>
          </w:tcPr>
          <w:p w14:paraId="464DCEDA"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Educação Continuada</w:t>
            </w:r>
          </w:p>
        </w:tc>
        <w:tc>
          <w:tcPr>
            <w:tcW w:w="1276" w:type="dxa"/>
          </w:tcPr>
          <w:p w14:paraId="32056274"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1878</w:t>
            </w:r>
          </w:p>
        </w:tc>
        <w:tc>
          <w:tcPr>
            <w:tcW w:w="4643" w:type="dxa"/>
          </w:tcPr>
          <w:p w14:paraId="139ECD24"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O Departamento de Educação Continuada começou em 1878 como 'Extensão de Oxford', um programa que via tutores de Oxford viajando para vilas e cidades em todo o país para dar palestras sobre uma ampla gama de tópicos. Foi um esforço inovador, porque permitiu o acesso à educação a grupos em grande parte excluídos - nomeadamente homens e mulheres trabalhadores. Desde o início, cerca de dois terços dos participantes da Extensão eram mulheres.</w:t>
            </w:r>
          </w:p>
        </w:tc>
      </w:tr>
      <w:tr w:rsidR="00043827" w:rsidRPr="00043827" w14:paraId="79038B7D"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A550EDA"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Beyond Boundaries 2020</w:t>
            </w:r>
          </w:p>
        </w:tc>
        <w:tc>
          <w:tcPr>
            <w:tcW w:w="1276" w:type="dxa"/>
          </w:tcPr>
          <w:p w14:paraId="6C278993"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2020</w:t>
            </w:r>
          </w:p>
        </w:tc>
        <w:tc>
          <w:tcPr>
            <w:tcW w:w="4643" w:type="dxa"/>
          </w:tcPr>
          <w:p w14:paraId="43D5B813"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A Divisão de Matemática, Física e Ciências da Vida (MPLS) da Universidade de Oxford desenvolveu este concurso de arte para alunos da escola estadual de Oxfordshire nos anos 5, 6, 7 e 8, para criar arte inspirada por pesquisas de cientistas negros, asiáticos e de minorias étnicas e matemáticos.</w:t>
            </w:r>
          </w:p>
        </w:tc>
      </w:tr>
      <w:tr w:rsidR="00043827" w:rsidRPr="00043827" w14:paraId="22136FA8" w14:textId="77777777" w:rsidTr="00043827">
        <w:tc>
          <w:tcPr>
            <w:cnfStyle w:val="001000000000" w:firstRow="0" w:lastRow="0" w:firstColumn="1" w:lastColumn="0" w:oddVBand="0" w:evenVBand="0" w:oddHBand="0" w:evenHBand="0" w:firstRowFirstColumn="0" w:firstRowLastColumn="0" w:lastRowFirstColumn="0" w:lastRowLastColumn="0"/>
            <w:tcW w:w="3828" w:type="dxa"/>
          </w:tcPr>
          <w:p w14:paraId="180B2B68"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O concurso '50 palavras</w:t>
            </w:r>
          </w:p>
        </w:tc>
        <w:tc>
          <w:tcPr>
            <w:tcW w:w="1276" w:type="dxa"/>
          </w:tcPr>
          <w:p w14:paraId="7F8CE4F5"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2021</w:t>
            </w:r>
          </w:p>
        </w:tc>
        <w:tc>
          <w:tcPr>
            <w:tcW w:w="4643" w:type="dxa"/>
          </w:tcPr>
          <w:p w14:paraId="5B388356"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Alunos do ensino médio de Oxfordshire entraram recentemente em um concurso de redação da Universidade de Oxford para explicar, em 50 palavras ou menos, “o que eles pensam quando pensam sobre pesquisa. ”</w:t>
            </w:r>
          </w:p>
        </w:tc>
      </w:tr>
      <w:tr w:rsidR="00043827" w:rsidRPr="00043827" w14:paraId="29466605"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EAF4BB5"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Oxford Sparks</w:t>
            </w:r>
          </w:p>
        </w:tc>
        <w:tc>
          <w:tcPr>
            <w:tcW w:w="1276" w:type="dxa"/>
          </w:tcPr>
          <w:p w14:paraId="05F84A21"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643" w:type="dxa"/>
          </w:tcPr>
          <w:p w14:paraId="214092A1"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 O Oxford Sparks</w:t>
            </w:r>
            <w:r w:rsidRPr="00043827">
              <w:rPr>
                <w:rFonts w:asciiTheme="majorHAnsi" w:hAnsiTheme="majorHAnsi" w:cstheme="majorHAnsi"/>
              </w:rPr>
              <w:tab/>
              <w:t xml:space="preserve">reúne recursos e informações  de toda a universidade para que a comunidade possa explorar e descobrir a pesquisa de Oxford. Ao todo, são mais de 400 exemplos de maneiras pelas quais o cidadão pode acessar e se envolver com as pesquisas de </w:t>
            </w:r>
            <w:r w:rsidRPr="00043827">
              <w:rPr>
                <w:rFonts w:asciiTheme="majorHAnsi" w:hAnsiTheme="majorHAnsi" w:cstheme="majorHAnsi"/>
              </w:rPr>
              <w:lastRenderedPageBreak/>
              <w:t>Oxford, que foram projetadas especificamente para serem acessíveis e envolventes.</w:t>
            </w:r>
          </w:p>
          <w:p w14:paraId="4545FEA2"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43827" w:rsidRPr="00043827" w14:paraId="3117C9E2" w14:textId="77777777" w:rsidTr="00043827">
        <w:tc>
          <w:tcPr>
            <w:cnfStyle w:val="001000000000" w:firstRow="0" w:lastRow="0" w:firstColumn="1" w:lastColumn="0" w:oddVBand="0" w:evenVBand="0" w:oddHBand="0" w:evenHBand="0" w:firstRowFirstColumn="0" w:firstRowLastColumn="0" w:lastRowFirstColumn="0" w:lastRowLastColumn="0"/>
            <w:tcW w:w="3828" w:type="dxa"/>
          </w:tcPr>
          <w:p w14:paraId="0CC48724"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lastRenderedPageBreak/>
              <w:t>Parques Universitários</w:t>
            </w:r>
          </w:p>
        </w:tc>
        <w:tc>
          <w:tcPr>
            <w:tcW w:w="1276" w:type="dxa"/>
          </w:tcPr>
          <w:p w14:paraId="6A8121D4"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1864</w:t>
            </w:r>
          </w:p>
        </w:tc>
        <w:tc>
          <w:tcPr>
            <w:tcW w:w="4643" w:type="dxa"/>
          </w:tcPr>
          <w:p w14:paraId="76FBB33B"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Convida a comunidade a participar de eventos como jogos, passeios, cantatas e muito mais.</w:t>
            </w:r>
          </w:p>
        </w:tc>
      </w:tr>
      <w:tr w:rsidR="00043827" w:rsidRPr="00043827" w14:paraId="20E9C337"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8A8A8DB"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Colaboração com o a comunidade</w:t>
            </w:r>
          </w:p>
        </w:tc>
        <w:tc>
          <w:tcPr>
            <w:tcW w:w="1276" w:type="dxa"/>
          </w:tcPr>
          <w:p w14:paraId="7962DDE1"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643" w:type="dxa"/>
          </w:tcPr>
          <w:p w14:paraId="60E6F88C"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SIM. Espaço no site de contato para que os alunos e professores possam trabalhar com projetos comunitários. Caso o interessado da comunidade achar que seu grupo ou projeto poderia explorar de maneira útil, a parceria poderia ser estabelecida; seja mentor e aconselhamento, voluntariado e participação, compartilhamento de dados e experiência ou até mesmo um empreendimento comercial. O interessado deve entrar em contato pelo site com os departamentos específicos.</w:t>
            </w:r>
          </w:p>
          <w:p w14:paraId="17D9FDC9"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Link:</w:t>
            </w:r>
            <w:hyperlink r:id="rId169" w:history="1">
              <w:r w:rsidRPr="00043827">
                <w:rPr>
                  <w:rFonts w:asciiTheme="majorHAnsi" w:hAnsiTheme="majorHAnsi" w:cstheme="majorHAnsi"/>
                  <w:color w:val="4875BD" w:themeColor="accent1"/>
                  <w:u w:val="single"/>
                </w:rPr>
                <w:t>https://www.ox.ac.uk/local-community/small-community-grants/collaboration</w:t>
              </w:r>
            </w:hyperlink>
            <w:r w:rsidRPr="00043827">
              <w:rPr>
                <w:rFonts w:asciiTheme="majorHAnsi" w:hAnsiTheme="majorHAnsi" w:cstheme="majorHAnsi"/>
              </w:rPr>
              <w:t xml:space="preserve"> </w:t>
            </w:r>
          </w:p>
        </w:tc>
      </w:tr>
      <w:tr w:rsidR="00043827" w:rsidRPr="00043827" w14:paraId="4BAD2176" w14:textId="77777777" w:rsidTr="00043827">
        <w:tc>
          <w:tcPr>
            <w:cnfStyle w:val="001000000000" w:firstRow="0" w:lastRow="0" w:firstColumn="1" w:lastColumn="0" w:oddVBand="0" w:evenVBand="0" w:oddHBand="0" w:evenHBand="0" w:firstRowFirstColumn="0" w:firstRowLastColumn="0" w:lastRowFirstColumn="0" w:lastRowLastColumn="0"/>
            <w:tcW w:w="3828" w:type="dxa"/>
          </w:tcPr>
          <w:p w14:paraId="42F2DB7D"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Envolva-se com nossa pesquisa</w:t>
            </w:r>
          </w:p>
        </w:tc>
        <w:tc>
          <w:tcPr>
            <w:tcW w:w="1276" w:type="dxa"/>
          </w:tcPr>
          <w:p w14:paraId="79DB2153"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643" w:type="dxa"/>
          </w:tcPr>
          <w:p w14:paraId="669A61F7"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43827">
              <w:rPr>
                <w:rFonts w:asciiTheme="majorHAnsi" w:hAnsiTheme="majorHAnsi" w:cstheme="majorHAnsi"/>
              </w:rPr>
              <w:t xml:space="preserve">SIM. Espaço no site dedicado ao chamamento da Comunidade para participar ativamente como voluntários ou parceiros das pesquisas da universidade. Link: </w:t>
            </w:r>
            <w:hyperlink r:id="rId170" w:history="1">
              <w:r w:rsidRPr="00043827">
                <w:rPr>
                  <w:rFonts w:asciiTheme="majorHAnsi" w:hAnsiTheme="majorHAnsi" w:cstheme="majorHAnsi"/>
                  <w:color w:val="4875BD" w:themeColor="accent1"/>
                  <w:u w:val="single"/>
                </w:rPr>
                <w:t>https://www.ox.ac.uk/local-community/get-involved</w:t>
              </w:r>
            </w:hyperlink>
            <w:r w:rsidRPr="00043827">
              <w:rPr>
                <w:rFonts w:asciiTheme="majorHAnsi" w:hAnsiTheme="majorHAnsi" w:cstheme="majorHAnsi"/>
              </w:rPr>
              <w:t xml:space="preserve"> </w:t>
            </w:r>
          </w:p>
        </w:tc>
      </w:tr>
      <w:tr w:rsidR="00043827" w:rsidRPr="00043827" w14:paraId="5B984172"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4BE998D0"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6.2 Política de Extensão está vinculada às de Ensino e Pesquisa?</w:t>
            </w:r>
          </w:p>
        </w:tc>
      </w:tr>
      <w:tr w:rsidR="00043827" w:rsidRPr="00043827" w14:paraId="3B6523D7"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3"/>
          </w:tcPr>
          <w:p w14:paraId="7B13A31A" w14:textId="77777777" w:rsidR="00043827" w:rsidRPr="00043827" w:rsidRDefault="00043827" w:rsidP="00043827">
            <w:pPr>
              <w:spacing w:line="360" w:lineRule="auto"/>
              <w:jc w:val="both"/>
              <w:rPr>
                <w:rFonts w:asciiTheme="majorHAnsi" w:hAnsiTheme="majorHAnsi" w:cstheme="majorHAnsi"/>
                <w:b w:val="0"/>
                <w:bCs w:val="0"/>
              </w:rPr>
            </w:pPr>
            <w:r w:rsidRPr="00043827">
              <w:rPr>
                <w:rFonts w:asciiTheme="majorHAnsi" w:hAnsiTheme="majorHAnsi" w:cstheme="majorHAnsi"/>
              </w:rPr>
              <w:t>Sim</w:t>
            </w:r>
          </w:p>
        </w:tc>
      </w:tr>
      <w:tr w:rsidR="00043827" w:rsidRPr="00043827" w14:paraId="27167679"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14:paraId="321CD1A3" w14:textId="77777777" w:rsidR="00043827" w:rsidRPr="00043827" w:rsidRDefault="00043827" w:rsidP="00043827">
            <w:pPr>
              <w:spacing w:line="360" w:lineRule="auto"/>
              <w:jc w:val="both"/>
              <w:rPr>
                <w:rFonts w:asciiTheme="majorHAnsi" w:hAnsiTheme="majorHAnsi" w:cstheme="majorHAnsi"/>
                <w:b w:val="0"/>
                <w:bCs w:val="0"/>
              </w:rPr>
            </w:pPr>
            <w:r w:rsidRPr="00043827">
              <w:rPr>
                <w:rFonts w:asciiTheme="majorHAnsi" w:hAnsiTheme="majorHAnsi" w:cstheme="majorHAnsi"/>
              </w:rPr>
              <w:t>Observações:</w:t>
            </w:r>
          </w:p>
          <w:p w14:paraId="0D3EF834"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Seguindo o entendimento do que são as Políticas de Extensão no Brasil, podemos considerar que OXFORD possui sim esforços nessa direção. Contudo se diferenciam um pouco das ações realizadas no Brasil.</w:t>
            </w:r>
          </w:p>
          <w:p w14:paraId="66CF5112"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 xml:space="preserve">Na Universidade de OXFORD a extensão acontece por meio uma Divisão Acadêmica chamada Department for Continuing Education que existe para permitir que a Universidade alcance alunos além do corpo discente em tempo integral. O objetivo é aumentar o impacto local, nacional e internacional </w:t>
            </w:r>
            <w:r w:rsidRPr="00043827">
              <w:rPr>
                <w:rFonts w:asciiTheme="majorHAnsi" w:hAnsiTheme="majorHAnsi" w:cstheme="majorHAnsi"/>
              </w:rPr>
              <w:lastRenderedPageBreak/>
              <w:t>da Universidade, envolvendo-se com públicos que a Universidade não alcançaria, inclusive por meio de programas de mestrado e doutorado em formatos flexíveis, atraindo alunos adultos de alto calibre.</w:t>
            </w:r>
          </w:p>
          <w:p w14:paraId="3A660631" w14:textId="77777777" w:rsidR="00043827" w:rsidRPr="00043827" w:rsidRDefault="00043827" w:rsidP="00043827">
            <w:pPr>
              <w:spacing w:line="360" w:lineRule="auto"/>
              <w:jc w:val="both"/>
              <w:rPr>
                <w:rFonts w:asciiTheme="majorHAnsi" w:hAnsiTheme="majorHAnsi" w:cstheme="majorHAnsi"/>
              </w:rPr>
            </w:pPr>
          </w:p>
          <w:p w14:paraId="770859CB"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 xml:space="preserve">São ofertados mais de 1000 cursos e programas (1.174 cursos na página </w:t>
            </w:r>
            <w:hyperlink r:id="rId171" w:anchor="/?s=&amp;sort=availability" w:history="1">
              <w:r w:rsidRPr="00043827">
                <w:rPr>
                  <w:rFonts w:asciiTheme="majorHAnsi" w:hAnsiTheme="majorHAnsi" w:cstheme="majorHAnsi"/>
                  <w:color w:val="4875BD" w:themeColor="accent1"/>
                  <w:u w:val="single"/>
                </w:rPr>
                <w:t>https://www.conted.ox.ac.uk/search#/?s=&amp;sort=availability</w:t>
              </w:r>
            </w:hyperlink>
            <w:r w:rsidRPr="00043827">
              <w:rPr>
                <w:rFonts w:asciiTheme="majorHAnsi" w:hAnsiTheme="majorHAnsi" w:cstheme="majorHAnsi"/>
              </w:rPr>
              <w:t xml:space="preserve">  ) a cada ano para alunos de todo o mundo. A Divisão Acadêmica trabalha dentro da Universidade e fora dela, no desenvolvimento de novos programas para atender às necessidades educacionais atuais. Sendo assim, desempenha um papel vital nas iniciativas de ampliação da participação da sociedade, indústria e profissionais na Universidade de Oxford.</w:t>
            </w:r>
          </w:p>
          <w:p w14:paraId="6FEB752A"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A Divisão tem uma comunidade de pesquisa interdisciplinar ativa, com um forte foco nas ciências humanas e sociais - incluindo assuntos na vanguarda dos desafios e oportunidades atuais, como o desenvolvimento urbano sustentável e o direito internacional dos direitos humanos.</w:t>
            </w:r>
          </w:p>
          <w:p w14:paraId="36FAC9FD" w14:textId="77777777" w:rsidR="00043827" w:rsidRPr="00043827" w:rsidRDefault="00043827" w:rsidP="00043827">
            <w:pPr>
              <w:spacing w:line="360" w:lineRule="auto"/>
              <w:jc w:val="both"/>
              <w:rPr>
                <w:rFonts w:asciiTheme="majorHAnsi" w:hAnsiTheme="majorHAnsi" w:cstheme="majorHAnsi"/>
              </w:rPr>
            </w:pPr>
          </w:p>
          <w:p w14:paraId="4E23C0F5"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Para atingir o seu objetivo, oferece cursos com opções diversas com:</w:t>
            </w:r>
          </w:p>
          <w:p w14:paraId="4CAE4CDF" w14:textId="77777777" w:rsidR="00043827" w:rsidRPr="00043827" w:rsidRDefault="00043827" w:rsidP="00043827">
            <w:pPr>
              <w:numPr>
                <w:ilvl w:val="0"/>
                <w:numId w:val="22"/>
              </w:numPr>
              <w:spacing w:line="360" w:lineRule="auto"/>
              <w:contextualSpacing/>
              <w:jc w:val="both"/>
              <w:rPr>
                <w:rFonts w:asciiTheme="majorHAnsi" w:hAnsiTheme="majorHAnsi" w:cstheme="majorHAnsi"/>
              </w:rPr>
            </w:pPr>
            <w:r w:rsidRPr="00043827">
              <w:rPr>
                <w:rFonts w:asciiTheme="majorHAnsi" w:hAnsiTheme="majorHAnsi" w:cstheme="majorHAnsi"/>
              </w:rPr>
              <w:t>Aulas semanais</w:t>
            </w:r>
          </w:p>
          <w:p w14:paraId="55C7E6FE" w14:textId="77777777" w:rsidR="00043827" w:rsidRPr="00043827" w:rsidRDefault="00043827" w:rsidP="00043827">
            <w:pPr>
              <w:numPr>
                <w:ilvl w:val="0"/>
                <w:numId w:val="22"/>
              </w:numPr>
              <w:spacing w:line="360" w:lineRule="auto"/>
              <w:contextualSpacing/>
              <w:jc w:val="both"/>
              <w:rPr>
                <w:rFonts w:asciiTheme="majorHAnsi" w:hAnsiTheme="majorHAnsi" w:cstheme="majorHAnsi"/>
              </w:rPr>
            </w:pPr>
            <w:r w:rsidRPr="00043827">
              <w:rPr>
                <w:rFonts w:asciiTheme="majorHAnsi" w:hAnsiTheme="majorHAnsi" w:cstheme="majorHAnsi"/>
              </w:rPr>
              <w:t>Cursos online</w:t>
            </w:r>
          </w:p>
          <w:p w14:paraId="70F59243" w14:textId="77777777" w:rsidR="00043827" w:rsidRPr="00043827" w:rsidRDefault="00043827" w:rsidP="00043827">
            <w:pPr>
              <w:numPr>
                <w:ilvl w:val="0"/>
                <w:numId w:val="22"/>
              </w:numPr>
              <w:spacing w:line="360" w:lineRule="auto"/>
              <w:contextualSpacing/>
              <w:jc w:val="both"/>
              <w:rPr>
                <w:rFonts w:asciiTheme="majorHAnsi" w:hAnsiTheme="majorHAnsi" w:cstheme="majorHAnsi"/>
              </w:rPr>
            </w:pPr>
            <w:r w:rsidRPr="00043827">
              <w:rPr>
                <w:rFonts w:asciiTheme="majorHAnsi" w:hAnsiTheme="majorHAnsi" w:cstheme="majorHAnsi"/>
              </w:rPr>
              <w:t>Escolas diurnas e finais de semana</w:t>
            </w:r>
          </w:p>
          <w:p w14:paraId="17F8F513" w14:textId="77777777" w:rsidR="00043827" w:rsidRPr="00043827" w:rsidRDefault="00043827" w:rsidP="00043827">
            <w:pPr>
              <w:numPr>
                <w:ilvl w:val="0"/>
                <w:numId w:val="22"/>
              </w:numPr>
              <w:spacing w:line="360" w:lineRule="auto"/>
              <w:contextualSpacing/>
              <w:jc w:val="both"/>
              <w:rPr>
                <w:rFonts w:asciiTheme="majorHAnsi" w:hAnsiTheme="majorHAnsi" w:cstheme="majorHAnsi"/>
              </w:rPr>
            </w:pPr>
            <w:r w:rsidRPr="00043827">
              <w:rPr>
                <w:rFonts w:asciiTheme="majorHAnsi" w:hAnsiTheme="majorHAnsi" w:cstheme="majorHAnsi"/>
              </w:rPr>
              <w:t>Escolas de verão</w:t>
            </w:r>
          </w:p>
          <w:p w14:paraId="44DEA08F" w14:textId="77777777" w:rsidR="00043827" w:rsidRPr="00043827" w:rsidRDefault="00043827" w:rsidP="00043827">
            <w:pPr>
              <w:numPr>
                <w:ilvl w:val="0"/>
                <w:numId w:val="22"/>
              </w:numPr>
              <w:spacing w:line="360" w:lineRule="auto"/>
              <w:contextualSpacing/>
              <w:jc w:val="both"/>
              <w:rPr>
                <w:rFonts w:asciiTheme="majorHAnsi" w:hAnsiTheme="majorHAnsi" w:cstheme="majorHAnsi"/>
              </w:rPr>
            </w:pPr>
            <w:r w:rsidRPr="00043827">
              <w:rPr>
                <w:rFonts w:asciiTheme="majorHAnsi" w:hAnsiTheme="majorHAnsi" w:cstheme="majorHAnsi"/>
              </w:rPr>
              <w:t>Desenvolvimento profissional contínuo , incluindo treinamento personalizado para empresas</w:t>
            </w:r>
          </w:p>
          <w:p w14:paraId="2BC272CE" w14:textId="77777777" w:rsidR="00043827" w:rsidRPr="00043827" w:rsidRDefault="00043827" w:rsidP="00043827">
            <w:pPr>
              <w:spacing w:line="360" w:lineRule="auto"/>
              <w:jc w:val="both"/>
              <w:rPr>
                <w:rFonts w:asciiTheme="majorHAnsi" w:hAnsiTheme="majorHAnsi" w:cstheme="majorHAnsi"/>
              </w:rPr>
            </w:pPr>
          </w:p>
          <w:p w14:paraId="5DBB0F0B"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 xml:space="preserve">Apesar de ser uma Divisão com foco em educação continuada e oferecer cursos livres, a Divisão de Educação Continuada está vinculada diretamente às ações de Ensino de Pesquisa da Universidade como um todo, oferecendo também possibilidades de Certificados de graduação, diplomas e diplomas avançados e Certificados de pós-graduação, mestrado e DPhils em períodos de estudos parciais, por exemplo. </w:t>
            </w:r>
          </w:p>
          <w:p w14:paraId="7A5F2059"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Essa preocupação de oferecer aprendizagem flexível e em vários formatos atrai cerca de 15.000 alunos nos  programas da Divisão a cada ano. Suas idades variam entre 18 a 98 anos e os estudantes são oriundos de mais de 160 países.</w:t>
            </w:r>
          </w:p>
          <w:p w14:paraId="0C95AE35" w14:textId="77777777" w:rsidR="00043827" w:rsidRPr="00043827" w:rsidRDefault="00043827" w:rsidP="00043827">
            <w:pPr>
              <w:spacing w:line="360" w:lineRule="auto"/>
              <w:jc w:val="both"/>
              <w:rPr>
                <w:rFonts w:asciiTheme="majorHAnsi" w:hAnsiTheme="majorHAnsi" w:cstheme="majorHAnsi"/>
              </w:rPr>
            </w:pPr>
            <w:r w:rsidRPr="00043827">
              <w:rPr>
                <w:rFonts w:asciiTheme="majorHAnsi" w:hAnsiTheme="majorHAnsi" w:cstheme="majorHAnsi"/>
              </w:rPr>
              <w:t>Fontes:</w:t>
            </w:r>
          </w:p>
          <w:p w14:paraId="6548EB70" w14:textId="77777777" w:rsidR="00043827" w:rsidRPr="00043827" w:rsidRDefault="00A515B3" w:rsidP="00043827">
            <w:pPr>
              <w:spacing w:line="360" w:lineRule="auto"/>
              <w:jc w:val="both"/>
              <w:rPr>
                <w:rFonts w:asciiTheme="majorHAnsi" w:hAnsiTheme="majorHAnsi" w:cstheme="majorHAnsi"/>
              </w:rPr>
            </w:pPr>
            <w:hyperlink r:id="rId172" w:anchor="/?s=&amp;sort=availability" w:history="1">
              <w:r w:rsidR="00043827" w:rsidRPr="00043827">
                <w:rPr>
                  <w:rFonts w:asciiTheme="majorHAnsi" w:hAnsiTheme="majorHAnsi" w:cstheme="majorHAnsi"/>
                  <w:color w:val="4875BD" w:themeColor="accent1"/>
                  <w:u w:val="single"/>
                </w:rPr>
                <w:t>https://www.conted.ox.ac.uk/search#/?s=&amp;sort=availability</w:t>
              </w:r>
            </w:hyperlink>
            <w:r w:rsidR="00043827" w:rsidRPr="00043827">
              <w:rPr>
                <w:rFonts w:asciiTheme="majorHAnsi" w:hAnsiTheme="majorHAnsi" w:cstheme="majorHAnsi"/>
              </w:rPr>
              <w:t xml:space="preserve"> </w:t>
            </w:r>
          </w:p>
          <w:p w14:paraId="397D0CC4" w14:textId="77777777" w:rsidR="00043827" w:rsidRPr="00043827" w:rsidRDefault="00A515B3" w:rsidP="00043827">
            <w:pPr>
              <w:spacing w:line="360" w:lineRule="auto"/>
              <w:jc w:val="both"/>
              <w:rPr>
                <w:rFonts w:asciiTheme="majorHAnsi" w:hAnsiTheme="majorHAnsi" w:cstheme="majorHAnsi"/>
              </w:rPr>
            </w:pPr>
            <w:hyperlink r:id="rId173" w:history="1">
              <w:r w:rsidR="00043827" w:rsidRPr="00043827">
                <w:rPr>
                  <w:rFonts w:asciiTheme="majorHAnsi" w:hAnsiTheme="majorHAnsi" w:cstheme="majorHAnsi"/>
                  <w:color w:val="4875BD" w:themeColor="accent1"/>
                  <w:u w:val="single"/>
                </w:rPr>
                <w:t>https://www.conted.ox.ac.uk/</w:t>
              </w:r>
            </w:hyperlink>
            <w:r w:rsidR="00043827" w:rsidRPr="00043827">
              <w:rPr>
                <w:rFonts w:asciiTheme="majorHAnsi" w:hAnsiTheme="majorHAnsi" w:cstheme="majorHAnsi"/>
              </w:rPr>
              <w:t xml:space="preserve"> </w:t>
            </w:r>
          </w:p>
          <w:p w14:paraId="0D5F9652" w14:textId="77777777" w:rsidR="00043827" w:rsidRPr="00043827" w:rsidRDefault="00043827" w:rsidP="00043827">
            <w:pPr>
              <w:spacing w:line="360" w:lineRule="auto"/>
              <w:jc w:val="both"/>
              <w:rPr>
                <w:rFonts w:asciiTheme="majorHAnsi" w:hAnsiTheme="majorHAnsi" w:cstheme="majorHAnsi"/>
              </w:rPr>
            </w:pPr>
          </w:p>
        </w:tc>
      </w:tr>
    </w:tbl>
    <w:p w14:paraId="62197686" w14:textId="77777777" w:rsidR="00043827" w:rsidRDefault="00043827">
      <w:pPr>
        <w:tabs>
          <w:tab w:val="clear" w:pos="1615"/>
        </w:tabs>
        <w:spacing w:line="259" w:lineRule="auto"/>
        <w:rPr>
          <w:rFonts w:asciiTheme="majorHAnsi" w:hAnsiTheme="majorHAnsi" w:cstheme="majorHAnsi"/>
          <w:sz w:val="20"/>
          <w:szCs w:val="20"/>
        </w:rPr>
      </w:pPr>
    </w:p>
    <w:p w14:paraId="39B70BC0" w14:textId="77777777" w:rsidR="00043827" w:rsidRDefault="00043827">
      <w:pPr>
        <w:tabs>
          <w:tab w:val="clear" w:pos="1615"/>
        </w:tabs>
        <w:spacing w:line="259" w:lineRule="auto"/>
        <w:rPr>
          <w:rFonts w:asciiTheme="majorHAnsi" w:hAnsiTheme="majorHAnsi" w:cstheme="majorHAnsi"/>
          <w:sz w:val="20"/>
          <w:szCs w:val="20"/>
        </w:rPr>
      </w:pPr>
      <w:r>
        <w:rPr>
          <w:rFonts w:asciiTheme="majorHAnsi" w:hAnsiTheme="majorHAnsi" w:cstheme="majorHAnsi"/>
          <w:sz w:val="20"/>
          <w:szCs w:val="20"/>
        </w:rPr>
        <w:br w:type="page"/>
      </w:r>
    </w:p>
    <w:tbl>
      <w:tblPr>
        <w:tblStyle w:val="TabeladeLista6Colorida-nfase3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109"/>
        <w:gridCol w:w="221"/>
        <w:gridCol w:w="839"/>
        <w:gridCol w:w="1060"/>
        <w:gridCol w:w="1125"/>
        <w:gridCol w:w="1027"/>
        <w:gridCol w:w="1252"/>
      </w:tblGrid>
      <w:tr w:rsidR="00840653" w:rsidRPr="00840653" w14:paraId="318EB696" w14:textId="77777777" w:rsidTr="0004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shd w:val="clear" w:color="auto" w:fill="4875BD" w:themeFill="accent1"/>
          </w:tcPr>
          <w:p w14:paraId="13BC156D" w14:textId="77777777" w:rsidR="00043827" w:rsidRPr="00840653" w:rsidRDefault="00043827" w:rsidP="00043827">
            <w:pPr>
              <w:spacing w:line="360" w:lineRule="auto"/>
              <w:jc w:val="both"/>
              <w:rPr>
                <w:rFonts w:asciiTheme="majorHAnsi" w:hAnsiTheme="majorHAnsi" w:cstheme="majorHAnsi"/>
                <w:b w:val="0"/>
                <w:color w:val="FFFFFF" w:themeColor="background1"/>
                <w:sz w:val="20"/>
                <w:szCs w:val="20"/>
              </w:rPr>
            </w:pPr>
            <w:r w:rsidRPr="00840653">
              <w:rPr>
                <w:rFonts w:asciiTheme="majorHAnsi" w:hAnsiTheme="majorHAnsi" w:cstheme="majorHAnsi"/>
                <w:color w:val="FFFFFF" w:themeColor="background1"/>
              </w:rPr>
              <w:lastRenderedPageBreak/>
              <w:t>Dimensão 7. Financiamento</w:t>
            </w:r>
          </w:p>
        </w:tc>
      </w:tr>
      <w:tr w:rsidR="00043827" w:rsidRPr="00043827" w14:paraId="45843088"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tcPr>
          <w:p w14:paraId="4AFF76FA"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rPr>
              <w:t>7.1. Descrição das Políticas de Financiamento</w:t>
            </w:r>
          </w:p>
        </w:tc>
      </w:tr>
      <w:tr w:rsidR="00043827" w:rsidRPr="00043827" w14:paraId="63074BD4"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8"/>
          </w:tcPr>
          <w:p w14:paraId="7B46B7D4" w14:textId="77777777" w:rsidR="00043827" w:rsidRPr="00043827" w:rsidRDefault="00043827" w:rsidP="00043827">
            <w:pPr>
              <w:spacing w:line="360" w:lineRule="auto"/>
              <w:jc w:val="both"/>
              <w:rPr>
                <w:rFonts w:asciiTheme="majorHAnsi" w:hAnsiTheme="majorHAnsi" w:cstheme="majorHAnsi"/>
                <w:sz w:val="20"/>
                <w:szCs w:val="20"/>
              </w:rPr>
            </w:pPr>
            <w:r w:rsidRPr="00043827">
              <w:rPr>
                <w:rFonts w:asciiTheme="majorHAnsi" w:hAnsiTheme="majorHAnsi" w:cstheme="majorHAnsi"/>
                <w:sz w:val="20"/>
                <w:szCs w:val="20"/>
              </w:rPr>
              <w:t>(Principais fontes de recursos para as IES Privadas)</w:t>
            </w:r>
          </w:p>
        </w:tc>
      </w:tr>
      <w:tr w:rsidR="00043827" w:rsidRPr="00043827" w14:paraId="375F2DA3"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tcPr>
          <w:p w14:paraId="29F5021F"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Não se aplica</w:t>
            </w:r>
          </w:p>
        </w:tc>
      </w:tr>
      <w:tr w:rsidR="00043827" w:rsidRPr="00043827" w14:paraId="51114B04"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8"/>
          </w:tcPr>
          <w:p w14:paraId="59669FE7"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7.2 Mecanismos ou programas de obtenção de Recursos Públicos para manutenção das IES privadas</w:t>
            </w:r>
          </w:p>
        </w:tc>
      </w:tr>
      <w:tr w:rsidR="00043827" w:rsidRPr="00043827" w14:paraId="459FE427"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gridSpan w:val="3"/>
          </w:tcPr>
          <w:p w14:paraId="1F77BA16" w14:textId="77777777" w:rsidR="00043827" w:rsidRPr="00043827" w:rsidRDefault="00043827" w:rsidP="00043827">
            <w:pPr>
              <w:spacing w:line="360" w:lineRule="auto"/>
              <w:jc w:val="both"/>
              <w:rPr>
                <w:rFonts w:asciiTheme="majorHAnsi" w:hAnsiTheme="majorHAnsi" w:cstheme="majorHAnsi"/>
                <w:sz w:val="20"/>
                <w:szCs w:val="20"/>
              </w:rPr>
            </w:pPr>
            <w:r w:rsidRPr="00043827">
              <w:rPr>
                <w:rFonts w:asciiTheme="majorHAnsi" w:hAnsiTheme="majorHAnsi" w:cstheme="majorHAnsi"/>
                <w:sz w:val="20"/>
                <w:szCs w:val="20"/>
              </w:rPr>
              <w:t>Contratos FIES (ou similar)</w:t>
            </w:r>
          </w:p>
        </w:tc>
        <w:tc>
          <w:tcPr>
            <w:tcW w:w="3024" w:type="dxa"/>
            <w:gridSpan w:val="3"/>
          </w:tcPr>
          <w:p w14:paraId="4F2AAB78"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Bolsas PROUNI (Integral e Parcial)</w:t>
            </w:r>
          </w:p>
        </w:tc>
        <w:tc>
          <w:tcPr>
            <w:tcW w:w="2276" w:type="dxa"/>
            <w:gridSpan w:val="2"/>
          </w:tcPr>
          <w:p w14:paraId="3300ED64" w14:textId="77777777" w:rsidR="00043827" w:rsidRPr="00043827" w:rsidRDefault="00043827" w:rsidP="0004382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Outras</w:t>
            </w:r>
          </w:p>
        </w:tc>
      </w:tr>
      <w:tr w:rsidR="00043827" w:rsidRPr="00043827" w14:paraId="022A0EBA" w14:textId="77777777" w:rsidTr="00043827">
        <w:tc>
          <w:tcPr>
            <w:cnfStyle w:val="001000000000" w:firstRow="0" w:lastRow="0" w:firstColumn="1" w:lastColumn="0" w:oddVBand="0" w:evenVBand="0" w:oddHBand="0" w:evenHBand="0" w:firstRowFirstColumn="0" w:firstRowLastColumn="0" w:lastRowFirstColumn="0" w:lastRowLastColumn="0"/>
            <w:tcW w:w="4447" w:type="dxa"/>
            <w:gridSpan w:val="3"/>
          </w:tcPr>
          <w:p w14:paraId="2200894E" w14:textId="77777777" w:rsidR="00043827" w:rsidRPr="00043827" w:rsidRDefault="00043827" w:rsidP="00043827">
            <w:pPr>
              <w:spacing w:line="360" w:lineRule="auto"/>
              <w:jc w:val="both"/>
              <w:rPr>
                <w:rFonts w:asciiTheme="majorHAnsi" w:hAnsiTheme="majorHAnsi" w:cstheme="majorHAnsi"/>
                <w:b w:val="0"/>
                <w:sz w:val="20"/>
                <w:szCs w:val="20"/>
              </w:rPr>
            </w:pPr>
          </w:p>
          <w:p w14:paraId="09A046B6" w14:textId="77777777" w:rsidR="00043827" w:rsidRPr="00043827" w:rsidRDefault="00043827" w:rsidP="00043827">
            <w:pPr>
              <w:spacing w:line="360" w:lineRule="auto"/>
              <w:jc w:val="both"/>
              <w:rPr>
                <w:rFonts w:asciiTheme="majorHAnsi" w:hAnsiTheme="majorHAnsi" w:cstheme="majorHAnsi"/>
                <w:b w:val="0"/>
                <w:sz w:val="20"/>
                <w:szCs w:val="20"/>
              </w:rPr>
            </w:pPr>
          </w:p>
          <w:p w14:paraId="64C571A2" w14:textId="77777777" w:rsidR="00043827" w:rsidRPr="00043827" w:rsidRDefault="00043827" w:rsidP="00043827">
            <w:pPr>
              <w:spacing w:line="360" w:lineRule="auto"/>
              <w:jc w:val="both"/>
              <w:rPr>
                <w:rFonts w:asciiTheme="majorHAnsi" w:hAnsiTheme="majorHAnsi" w:cstheme="majorHAnsi"/>
                <w:b w:val="0"/>
                <w:sz w:val="20"/>
                <w:szCs w:val="20"/>
              </w:rPr>
            </w:pPr>
          </w:p>
          <w:p w14:paraId="05A53291" w14:textId="77777777" w:rsidR="00043827" w:rsidRPr="00043827" w:rsidRDefault="00043827" w:rsidP="00043827">
            <w:pPr>
              <w:spacing w:line="360" w:lineRule="auto"/>
              <w:jc w:val="both"/>
              <w:rPr>
                <w:rFonts w:asciiTheme="majorHAnsi" w:hAnsiTheme="majorHAnsi" w:cstheme="majorHAnsi"/>
                <w:b w:val="0"/>
                <w:sz w:val="20"/>
                <w:szCs w:val="20"/>
              </w:rPr>
            </w:pPr>
          </w:p>
          <w:p w14:paraId="2D918891" w14:textId="77777777" w:rsidR="00043827" w:rsidRPr="00043827" w:rsidRDefault="00043827" w:rsidP="00043827">
            <w:pPr>
              <w:spacing w:line="360" w:lineRule="auto"/>
              <w:jc w:val="both"/>
              <w:rPr>
                <w:rFonts w:asciiTheme="majorHAnsi" w:hAnsiTheme="majorHAnsi" w:cstheme="majorHAnsi"/>
                <w:b w:val="0"/>
                <w:sz w:val="20"/>
                <w:szCs w:val="20"/>
              </w:rPr>
            </w:pPr>
          </w:p>
          <w:p w14:paraId="4330FCBD"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 xml:space="preserve">Observações: </w:t>
            </w:r>
          </w:p>
        </w:tc>
        <w:tc>
          <w:tcPr>
            <w:tcW w:w="5300" w:type="dxa"/>
            <w:gridSpan w:val="5"/>
          </w:tcPr>
          <w:p w14:paraId="495CC53D"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7078231"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 receita da Universidade de Oxford vem das seguintes fontes principais:</w:t>
            </w:r>
          </w:p>
          <w:p w14:paraId="461A3AC9" w14:textId="77777777" w:rsidR="00043827" w:rsidRPr="00043827" w:rsidRDefault="00043827" w:rsidP="00043827">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 maior fonte única de renda da universidade no Reino Unido (25%) é o financiamento de pesquisas de órgãos como instituições de caridade, fundações, conselhos de pesquisa, fundos e indústria; Oxford tem consistentemente a maior receita de pesquisa externa que qualquer outra universidade no Reino Unido.</w:t>
            </w:r>
          </w:p>
          <w:p w14:paraId="774E1891" w14:textId="77777777" w:rsidR="00043827" w:rsidRPr="00043827" w:rsidRDefault="00043827" w:rsidP="00043827">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taxas de matrícula (de graduação e pós-graduação) e os contratos de educação que chegam a 16%.</w:t>
            </w:r>
          </w:p>
          <w:p w14:paraId="0A1173EE" w14:textId="77777777" w:rsidR="00043827" w:rsidRPr="00043827" w:rsidRDefault="00043827" w:rsidP="00043827">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atividades que não ensino e pesquisa: publicação educacional, a comercialização de apoio filantrópico à pesquisa e receita de investimento das dotações da Universidade (51%)</w:t>
            </w:r>
          </w:p>
          <w:p w14:paraId="5A9931AC" w14:textId="77777777" w:rsidR="00043827" w:rsidRPr="00043827" w:rsidRDefault="00043827" w:rsidP="00043827">
            <w:pPr>
              <w:numPr>
                <w:ilvl w:val="0"/>
                <w:numId w:val="2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8% dos recursos de Oxford vem de subsídios do governo através do Office for Students and Research England</w:t>
            </w:r>
          </w:p>
          <w:p w14:paraId="421386E0"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043827" w:rsidRPr="00043827" w14:paraId="32070B5E"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tcPr>
          <w:p w14:paraId="2283B6C3" w14:textId="77777777" w:rsidR="00043827" w:rsidRPr="00043827" w:rsidRDefault="00043827" w:rsidP="00043827">
            <w:pPr>
              <w:spacing w:line="360" w:lineRule="auto"/>
              <w:jc w:val="both"/>
              <w:rPr>
                <w:rFonts w:asciiTheme="majorHAnsi" w:hAnsiTheme="majorHAnsi" w:cstheme="majorHAnsi"/>
                <w:b w:val="0"/>
                <w:sz w:val="20"/>
                <w:szCs w:val="20"/>
              </w:rPr>
            </w:pPr>
          </w:p>
        </w:tc>
      </w:tr>
      <w:tr w:rsidR="00043827" w:rsidRPr="00043827" w14:paraId="22B4B63D"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8"/>
          </w:tcPr>
          <w:p w14:paraId="534BEC4A"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7.3. Existem formas de divulgar o orçamento da IES? (</w:t>
            </w:r>
            <w:r w:rsidRPr="00043827">
              <w:rPr>
                <w:rFonts w:asciiTheme="majorHAnsi" w:hAnsiTheme="majorHAnsi" w:cstheme="majorHAnsi"/>
                <w:i/>
                <w:noProof/>
                <w:sz w:val="20"/>
                <w:szCs w:val="20"/>
              </w:rPr>
              <w:t>O orçamento é tornado conhecido e os mecanismos de alocação interna de recursos é explícita? )</w:t>
            </w:r>
          </w:p>
        </w:tc>
      </w:tr>
      <w:tr w:rsidR="00043827" w:rsidRPr="00043827" w14:paraId="02C93361"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tcPr>
          <w:p w14:paraId="09C01675" w14:textId="77777777" w:rsidR="00043827" w:rsidRPr="00043827" w:rsidRDefault="00043827" w:rsidP="00043827">
            <w:pPr>
              <w:spacing w:line="360" w:lineRule="auto"/>
              <w:jc w:val="both"/>
              <w:rPr>
                <w:rFonts w:asciiTheme="majorHAnsi" w:hAnsiTheme="majorHAnsi" w:cstheme="majorHAnsi"/>
                <w:bCs w:val="0"/>
                <w:sz w:val="20"/>
                <w:szCs w:val="20"/>
              </w:rPr>
            </w:pPr>
          </w:p>
          <w:p w14:paraId="292A473E"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t>Em Oxford existem diversos comitês que auxiliam na fiscalização e proposição de alocação interna de recursos.</w:t>
            </w:r>
          </w:p>
          <w:p w14:paraId="55FBECF7"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t xml:space="preserve">O College Accounts Committee, por exemplo, é responsável por considerar a cada ano as contas auditadas de cada um dos Colleges que são apresentadas de acordo com as disposições do Estatuto XV e quaisquer regulamentos associados, por autorizar a publicação dentro da Universidade das contas anuais auditadas dos Colleges e por fornecer dados ao General Purposes Committee (GPC) do Council extraídos das informações financeiras recebidas dos Colleges. </w:t>
            </w:r>
          </w:p>
          <w:p w14:paraId="3CBE9899" w14:textId="77777777" w:rsidR="00043827" w:rsidRPr="00043827" w:rsidRDefault="00043827" w:rsidP="00043827">
            <w:pPr>
              <w:spacing w:line="360" w:lineRule="auto"/>
              <w:jc w:val="both"/>
              <w:rPr>
                <w:rFonts w:asciiTheme="majorHAnsi" w:hAnsiTheme="majorHAnsi" w:cstheme="majorHAnsi"/>
                <w:bCs w:val="0"/>
                <w:sz w:val="20"/>
                <w:szCs w:val="20"/>
              </w:rPr>
            </w:pPr>
          </w:p>
          <w:p w14:paraId="76F0E964"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lastRenderedPageBreak/>
              <w:t>O CAC auxilia o GPC na gestão do risco potencial para a Universidade decorrente de uma séria ameaça à sustentabilidade financeira de uma ou mais faculdades. O CAC desempenha essa função por meio de uma avaliação anual dos resultados financeiros das faculdades. O papel do Comitê se limita à realização dessa avaliação. Se (ou qual) ação pode ser necessária em resposta é um assunto para o GPC.</w:t>
            </w:r>
          </w:p>
          <w:p w14:paraId="133689EE" w14:textId="77777777" w:rsidR="00043827" w:rsidRPr="00043827" w:rsidRDefault="00043827" w:rsidP="00043827">
            <w:pPr>
              <w:spacing w:line="360" w:lineRule="auto"/>
              <w:jc w:val="both"/>
              <w:rPr>
                <w:rFonts w:asciiTheme="majorHAnsi" w:hAnsiTheme="majorHAnsi" w:cstheme="majorHAnsi"/>
                <w:bCs w:val="0"/>
                <w:sz w:val="20"/>
                <w:szCs w:val="20"/>
              </w:rPr>
            </w:pPr>
          </w:p>
          <w:p w14:paraId="2E5638D1"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t xml:space="preserve">Outros Comitês de Planejamento e Alocação de Recursos  </w:t>
            </w:r>
          </w:p>
          <w:p w14:paraId="3CCE7D19" w14:textId="77777777" w:rsidR="00043827" w:rsidRPr="00043827" w:rsidRDefault="00043827" w:rsidP="00043827">
            <w:pPr>
              <w:spacing w:line="360" w:lineRule="auto"/>
              <w:jc w:val="both"/>
              <w:rPr>
                <w:rFonts w:asciiTheme="majorHAnsi" w:hAnsiTheme="majorHAnsi" w:cstheme="majorHAnsi"/>
                <w:bCs w:val="0"/>
                <w:sz w:val="20"/>
                <w:szCs w:val="20"/>
              </w:rPr>
            </w:pPr>
          </w:p>
          <w:p w14:paraId="58A1F362"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rPr>
            </w:pPr>
            <w:r w:rsidRPr="00043827">
              <w:rPr>
                <w:rFonts w:asciiTheme="majorHAnsi" w:hAnsiTheme="majorHAnsi" w:cstheme="majorHAnsi"/>
                <w:sz w:val="20"/>
                <w:szCs w:val="20"/>
              </w:rPr>
              <w:t xml:space="preserve">Planning and Resource Allocation Committee  </w:t>
            </w:r>
          </w:p>
          <w:p w14:paraId="5802E57F"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n-US"/>
              </w:rPr>
            </w:pPr>
            <w:r w:rsidRPr="00043827">
              <w:rPr>
                <w:rFonts w:asciiTheme="majorHAnsi" w:hAnsiTheme="majorHAnsi" w:cstheme="majorHAnsi"/>
                <w:sz w:val="20"/>
                <w:szCs w:val="20"/>
                <w:lang w:val="en-US"/>
              </w:rPr>
              <w:t>Budget Subcommittee of the Planning and Resource Allocation Committee</w:t>
            </w:r>
            <w:r w:rsidRPr="00043827">
              <w:rPr>
                <w:rFonts w:asciiTheme="majorHAnsi" w:hAnsiTheme="majorHAnsi" w:cstheme="majorHAnsi"/>
                <w:sz w:val="20"/>
                <w:szCs w:val="20"/>
                <w:lang w:val="en-US"/>
              </w:rPr>
              <w:tab/>
            </w:r>
          </w:p>
          <w:p w14:paraId="022B0C63"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n-US"/>
              </w:rPr>
            </w:pPr>
            <w:r w:rsidRPr="00043827">
              <w:rPr>
                <w:rFonts w:asciiTheme="majorHAnsi" w:hAnsiTheme="majorHAnsi" w:cstheme="majorHAnsi"/>
                <w:sz w:val="20"/>
                <w:szCs w:val="20"/>
                <w:lang w:val="en-US"/>
              </w:rPr>
              <w:t>Buildings and Estates Subcommittee of the Planning and Resource Allocation Committee</w:t>
            </w:r>
            <w:r w:rsidRPr="00043827">
              <w:rPr>
                <w:rFonts w:asciiTheme="majorHAnsi" w:hAnsiTheme="majorHAnsi" w:cstheme="majorHAnsi"/>
                <w:sz w:val="20"/>
                <w:szCs w:val="20"/>
                <w:lang w:val="en-US"/>
              </w:rPr>
              <w:tab/>
            </w:r>
          </w:p>
          <w:p w14:paraId="4886DDDF"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n-US"/>
              </w:rPr>
            </w:pPr>
            <w:r w:rsidRPr="00043827">
              <w:rPr>
                <w:rFonts w:asciiTheme="majorHAnsi" w:hAnsiTheme="majorHAnsi" w:cstheme="majorHAnsi"/>
                <w:sz w:val="20"/>
                <w:szCs w:val="20"/>
                <w:lang w:val="en-US"/>
              </w:rPr>
              <w:t>Curators of the University Parks</w:t>
            </w:r>
            <w:r w:rsidRPr="00043827">
              <w:rPr>
                <w:rFonts w:asciiTheme="majorHAnsi" w:hAnsiTheme="majorHAnsi" w:cstheme="majorHAnsi"/>
                <w:sz w:val="20"/>
                <w:szCs w:val="20"/>
                <w:lang w:val="en-US"/>
              </w:rPr>
              <w:tab/>
            </w:r>
          </w:p>
          <w:p w14:paraId="78FA9EC9"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s-ES"/>
              </w:rPr>
            </w:pPr>
            <w:r w:rsidRPr="00043827">
              <w:rPr>
                <w:rFonts w:asciiTheme="majorHAnsi" w:hAnsiTheme="majorHAnsi" w:cstheme="majorHAnsi"/>
                <w:sz w:val="20"/>
                <w:szCs w:val="20"/>
                <w:lang w:val="es-ES"/>
              </w:rPr>
              <w:t>Capital Steering Group</w:t>
            </w:r>
            <w:r w:rsidRPr="00043827">
              <w:rPr>
                <w:rFonts w:asciiTheme="majorHAnsi" w:hAnsiTheme="majorHAnsi" w:cstheme="majorHAnsi"/>
                <w:sz w:val="20"/>
                <w:szCs w:val="20"/>
                <w:lang w:val="es-ES"/>
              </w:rPr>
              <w:tab/>
            </w:r>
          </w:p>
          <w:p w14:paraId="41AA6FA5"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n-US"/>
              </w:rPr>
            </w:pPr>
            <w:r w:rsidRPr="00043827">
              <w:rPr>
                <w:rFonts w:asciiTheme="majorHAnsi" w:hAnsiTheme="majorHAnsi" w:cstheme="majorHAnsi"/>
                <w:sz w:val="20"/>
                <w:szCs w:val="20"/>
                <w:lang w:val="en-US"/>
              </w:rPr>
              <w:t>Environmental Sustainability Subcommittee of the Planning and Resource Allocation Committee</w:t>
            </w:r>
            <w:r w:rsidRPr="00043827">
              <w:rPr>
                <w:rFonts w:asciiTheme="majorHAnsi" w:hAnsiTheme="majorHAnsi" w:cstheme="majorHAnsi"/>
                <w:sz w:val="20"/>
                <w:szCs w:val="20"/>
                <w:lang w:val="en-US"/>
              </w:rPr>
              <w:tab/>
            </w:r>
          </w:p>
          <w:p w14:paraId="4289D2B3"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s-ES"/>
              </w:rPr>
            </w:pPr>
            <w:r w:rsidRPr="00043827">
              <w:rPr>
                <w:rFonts w:asciiTheme="majorHAnsi" w:hAnsiTheme="majorHAnsi" w:cstheme="majorHAnsi"/>
                <w:sz w:val="20"/>
                <w:szCs w:val="20"/>
                <w:lang w:val="es-ES"/>
              </w:rPr>
              <w:t>Information Technology (IT) Committee</w:t>
            </w:r>
            <w:r w:rsidRPr="00043827">
              <w:rPr>
                <w:rFonts w:asciiTheme="majorHAnsi" w:hAnsiTheme="majorHAnsi" w:cstheme="majorHAnsi"/>
                <w:sz w:val="20"/>
                <w:szCs w:val="20"/>
                <w:lang w:val="es-ES"/>
              </w:rPr>
              <w:tab/>
            </w:r>
          </w:p>
          <w:p w14:paraId="3C64FAFD" w14:textId="77777777" w:rsidR="00043827" w:rsidRPr="00043827" w:rsidRDefault="00043827" w:rsidP="00043827">
            <w:pPr>
              <w:numPr>
                <w:ilvl w:val="0"/>
                <w:numId w:val="25"/>
              </w:numPr>
              <w:spacing w:line="360" w:lineRule="auto"/>
              <w:contextualSpacing/>
              <w:jc w:val="both"/>
              <w:rPr>
                <w:rFonts w:asciiTheme="majorHAnsi" w:hAnsiTheme="majorHAnsi" w:cstheme="majorHAnsi"/>
                <w:bCs w:val="0"/>
                <w:sz w:val="20"/>
                <w:szCs w:val="20"/>
                <w:lang w:val="en-US"/>
              </w:rPr>
            </w:pPr>
            <w:r w:rsidRPr="00043827">
              <w:rPr>
                <w:rFonts w:asciiTheme="majorHAnsi" w:hAnsiTheme="majorHAnsi" w:cstheme="majorHAnsi"/>
                <w:sz w:val="20"/>
                <w:szCs w:val="20"/>
                <w:lang w:val="en-US"/>
              </w:rPr>
              <w:t>Property Management Subcommittee of the Planning and Resource Allocation Committee</w:t>
            </w:r>
          </w:p>
          <w:p w14:paraId="08FD8D36" w14:textId="77777777" w:rsidR="00043827" w:rsidRPr="00043827" w:rsidRDefault="00043827" w:rsidP="00043827">
            <w:pPr>
              <w:spacing w:line="360" w:lineRule="auto"/>
              <w:jc w:val="both"/>
              <w:rPr>
                <w:rFonts w:asciiTheme="majorHAnsi" w:hAnsiTheme="majorHAnsi" w:cstheme="majorHAnsi"/>
                <w:bCs w:val="0"/>
                <w:sz w:val="20"/>
                <w:szCs w:val="20"/>
                <w:lang w:val="en-US"/>
              </w:rPr>
            </w:pPr>
          </w:p>
          <w:p w14:paraId="021F072B"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t xml:space="preserve">Seus registros, membros e atribuições estão no link: </w:t>
            </w:r>
            <w:hyperlink r:id="rId174" w:history="1">
              <w:r w:rsidRPr="00043827">
                <w:rPr>
                  <w:rFonts w:asciiTheme="majorHAnsi" w:hAnsiTheme="majorHAnsi" w:cstheme="majorHAnsi"/>
                  <w:color w:val="4875BD" w:themeColor="accent1"/>
                  <w:sz w:val="20"/>
                  <w:szCs w:val="20"/>
                  <w:u w:val="single"/>
                </w:rPr>
                <w:t>https://governance.admin.ox.ac.uk/committees</w:t>
              </w:r>
            </w:hyperlink>
            <w:r w:rsidRPr="00043827">
              <w:rPr>
                <w:rFonts w:asciiTheme="majorHAnsi" w:hAnsiTheme="majorHAnsi" w:cstheme="majorHAnsi"/>
                <w:sz w:val="20"/>
                <w:szCs w:val="20"/>
              </w:rPr>
              <w:t xml:space="preserve"> </w:t>
            </w:r>
          </w:p>
          <w:p w14:paraId="7B62B916" w14:textId="77777777" w:rsidR="00043827" w:rsidRPr="00043827" w:rsidRDefault="00043827" w:rsidP="00043827">
            <w:pPr>
              <w:spacing w:line="360" w:lineRule="auto"/>
              <w:jc w:val="both"/>
              <w:rPr>
                <w:rFonts w:asciiTheme="majorHAnsi" w:hAnsiTheme="majorHAnsi" w:cstheme="majorHAnsi"/>
                <w:bCs w:val="0"/>
                <w:sz w:val="20"/>
                <w:szCs w:val="20"/>
              </w:rPr>
            </w:pPr>
          </w:p>
          <w:p w14:paraId="1563713D" w14:textId="77777777" w:rsidR="00043827" w:rsidRPr="00043827" w:rsidRDefault="00043827" w:rsidP="00043827">
            <w:pPr>
              <w:spacing w:line="360" w:lineRule="auto"/>
              <w:jc w:val="both"/>
              <w:rPr>
                <w:rFonts w:asciiTheme="majorHAnsi" w:hAnsiTheme="majorHAnsi" w:cstheme="majorHAnsi"/>
                <w:bCs w:val="0"/>
                <w:sz w:val="20"/>
                <w:szCs w:val="20"/>
              </w:rPr>
            </w:pPr>
            <w:r w:rsidRPr="00043827">
              <w:rPr>
                <w:rFonts w:asciiTheme="majorHAnsi" w:hAnsiTheme="majorHAnsi" w:cstheme="majorHAnsi"/>
                <w:sz w:val="20"/>
                <w:szCs w:val="20"/>
              </w:rPr>
              <w:t>Os  balanços ficam disponíveis no site da Universidade.  Abaixo o último documento divulgado referente ao período 2019/2020.</w:t>
            </w:r>
          </w:p>
          <w:p w14:paraId="22FBFF76" w14:textId="77777777" w:rsidR="00043827" w:rsidRPr="00043827" w:rsidRDefault="00A515B3" w:rsidP="00043827">
            <w:pPr>
              <w:spacing w:line="360" w:lineRule="auto"/>
              <w:jc w:val="both"/>
              <w:rPr>
                <w:rFonts w:asciiTheme="majorHAnsi" w:hAnsiTheme="majorHAnsi" w:cstheme="majorHAnsi"/>
                <w:b w:val="0"/>
                <w:sz w:val="20"/>
                <w:szCs w:val="20"/>
              </w:rPr>
            </w:pPr>
            <w:hyperlink r:id="rId175" w:anchor=":~:text=Baixe%20as%20Demonstra%C3%A7%C3%B5es%20Financeiras%202019-20%20(PDF)" w:history="1">
              <w:r w:rsidR="00043827" w:rsidRPr="00043827">
                <w:rPr>
                  <w:rFonts w:asciiTheme="majorHAnsi" w:hAnsiTheme="majorHAnsi" w:cstheme="majorHAnsi"/>
                  <w:color w:val="4875BD" w:themeColor="accent1"/>
                  <w:sz w:val="20"/>
                  <w:szCs w:val="20"/>
                  <w:u w:val="single"/>
                </w:rPr>
                <w:t>https://www.ox.ac.uk/about/organisation/finance-and-funding#:~:text=Baixe%20as%20Demonstra%C3%A7%C3%B5es%20Financeiras%202019-20%20(PDF)</w:t>
              </w:r>
            </w:hyperlink>
            <w:r w:rsidR="00043827" w:rsidRPr="00043827">
              <w:rPr>
                <w:rFonts w:asciiTheme="majorHAnsi" w:hAnsiTheme="majorHAnsi" w:cstheme="majorHAnsi"/>
                <w:sz w:val="20"/>
                <w:szCs w:val="20"/>
              </w:rPr>
              <w:t xml:space="preserve"> </w:t>
            </w:r>
          </w:p>
          <w:p w14:paraId="38842497" w14:textId="77777777" w:rsidR="00043827" w:rsidRPr="00043827" w:rsidRDefault="00043827" w:rsidP="00043827">
            <w:pPr>
              <w:spacing w:line="360" w:lineRule="auto"/>
              <w:jc w:val="both"/>
              <w:rPr>
                <w:rFonts w:asciiTheme="majorHAnsi" w:hAnsiTheme="majorHAnsi" w:cstheme="majorHAnsi"/>
                <w:b w:val="0"/>
                <w:sz w:val="20"/>
                <w:szCs w:val="20"/>
              </w:rPr>
            </w:pPr>
          </w:p>
          <w:p w14:paraId="407C7CB6" w14:textId="77777777" w:rsidR="00043827" w:rsidRPr="00043827" w:rsidRDefault="00043827" w:rsidP="00043827">
            <w:pPr>
              <w:spacing w:line="360" w:lineRule="auto"/>
              <w:jc w:val="both"/>
              <w:rPr>
                <w:rFonts w:asciiTheme="majorHAnsi" w:hAnsiTheme="majorHAnsi" w:cstheme="majorHAnsi"/>
                <w:b w:val="0"/>
                <w:sz w:val="20"/>
                <w:szCs w:val="20"/>
              </w:rPr>
            </w:pPr>
          </w:p>
        </w:tc>
      </w:tr>
      <w:tr w:rsidR="00043827" w:rsidRPr="00043827" w14:paraId="4541E46A" w14:textId="77777777" w:rsidTr="00043827">
        <w:tc>
          <w:tcPr>
            <w:cnfStyle w:val="001000000000" w:firstRow="0" w:lastRow="0" w:firstColumn="1" w:lastColumn="0" w:oddVBand="0" w:evenVBand="0" w:oddHBand="0" w:evenHBand="0" w:firstRowFirstColumn="0" w:firstRowLastColumn="0" w:lastRowFirstColumn="0" w:lastRowLastColumn="0"/>
            <w:tcW w:w="9747" w:type="dxa"/>
            <w:gridSpan w:val="8"/>
          </w:tcPr>
          <w:p w14:paraId="7BC4BADF" w14:textId="77777777" w:rsidR="00043827" w:rsidRPr="00043827" w:rsidRDefault="00043827" w:rsidP="00043827">
            <w:pPr>
              <w:spacing w:line="360" w:lineRule="auto"/>
              <w:jc w:val="both"/>
              <w:rPr>
                <w:rFonts w:asciiTheme="majorHAnsi" w:hAnsiTheme="majorHAnsi" w:cstheme="majorHAnsi"/>
                <w:b w:val="0"/>
                <w:sz w:val="20"/>
                <w:szCs w:val="20"/>
              </w:rPr>
            </w:pPr>
          </w:p>
        </w:tc>
      </w:tr>
      <w:tr w:rsidR="00043827" w:rsidRPr="00043827" w14:paraId="5C09666A" w14:textId="77777777" w:rsidTr="0004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8"/>
          </w:tcPr>
          <w:p w14:paraId="0BE49A8A"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 xml:space="preserve">7.4. </w:t>
            </w:r>
            <w:r w:rsidRPr="00043827">
              <w:rPr>
                <w:rFonts w:asciiTheme="majorHAnsi" w:hAnsiTheme="majorHAnsi" w:cstheme="majorHAnsi"/>
              </w:rPr>
              <w:t>Captação de Recursos Extra Orçamentários - Recebidos</w:t>
            </w:r>
          </w:p>
        </w:tc>
      </w:tr>
      <w:tr w:rsidR="00043827" w:rsidRPr="00043827" w14:paraId="29DFB8E7"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6FAAD8E1" w14:textId="77777777" w:rsidR="00043827" w:rsidRPr="00043827" w:rsidRDefault="00043827" w:rsidP="00043827">
            <w:pPr>
              <w:tabs>
                <w:tab w:val="clear" w:pos="1615"/>
              </w:tabs>
              <w:spacing w:line="360" w:lineRule="auto"/>
              <w:rPr>
                <w:rFonts w:asciiTheme="majorHAnsi" w:eastAsia="Times New Roman" w:hAnsiTheme="majorHAnsi" w:cstheme="majorHAnsi"/>
                <w:b w:val="0"/>
                <w:bCs w:val="0"/>
                <w:color w:val="000000"/>
                <w:sz w:val="20"/>
                <w:szCs w:val="20"/>
                <w:lang w:eastAsia="pt-BR"/>
              </w:rPr>
            </w:pPr>
            <w:r w:rsidRPr="00043827">
              <w:rPr>
                <w:rFonts w:asciiTheme="majorHAnsi" w:eastAsia="Times New Roman" w:hAnsiTheme="majorHAnsi" w:cstheme="majorHAnsi"/>
                <w:color w:val="000000"/>
                <w:sz w:val="20"/>
                <w:szCs w:val="20"/>
                <w:lang w:eastAsia="pt-BR"/>
              </w:rPr>
              <w:t>Demonstração consolidada de receitas e despesas abrangentes*</w:t>
            </w:r>
          </w:p>
        </w:tc>
        <w:tc>
          <w:tcPr>
            <w:tcW w:w="1060" w:type="dxa"/>
            <w:gridSpan w:val="2"/>
            <w:noWrap/>
            <w:hideMark/>
          </w:tcPr>
          <w:p w14:paraId="084F30EB"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pt-BR"/>
              </w:rPr>
            </w:pPr>
            <w:r w:rsidRPr="00043827">
              <w:rPr>
                <w:rFonts w:asciiTheme="majorHAnsi" w:eastAsia="Times New Roman" w:hAnsiTheme="majorHAnsi" w:cstheme="majorHAnsi"/>
                <w:b/>
                <w:bCs/>
                <w:color w:val="000000"/>
                <w:sz w:val="20"/>
                <w:szCs w:val="20"/>
                <w:lang w:eastAsia="pt-BR"/>
              </w:rPr>
              <w:t>2015/16</w:t>
            </w:r>
          </w:p>
        </w:tc>
        <w:tc>
          <w:tcPr>
            <w:tcW w:w="1060" w:type="dxa"/>
            <w:noWrap/>
            <w:hideMark/>
          </w:tcPr>
          <w:p w14:paraId="6114608A"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pt-BR"/>
              </w:rPr>
            </w:pPr>
            <w:r w:rsidRPr="00043827">
              <w:rPr>
                <w:rFonts w:asciiTheme="majorHAnsi" w:eastAsia="Times New Roman" w:hAnsiTheme="majorHAnsi" w:cstheme="majorHAnsi"/>
                <w:b/>
                <w:bCs/>
                <w:color w:val="000000"/>
                <w:sz w:val="20"/>
                <w:szCs w:val="20"/>
                <w:lang w:eastAsia="pt-BR"/>
              </w:rPr>
              <w:t>2016/17</w:t>
            </w:r>
          </w:p>
        </w:tc>
        <w:tc>
          <w:tcPr>
            <w:tcW w:w="1125" w:type="dxa"/>
            <w:noWrap/>
            <w:hideMark/>
          </w:tcPr>
          <w:p w14:paraId="65C87EAC"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pt-BR"/>
              </w:rPr>
            </w:pPr>
            <w:r w:rsidRPr="00043827">
              <w:rPr>
                <w:rFonts w:asciiTheme="majorHAnsi" w:eastAsia="Times New Roman" w:hAnsiTheme="majorHAnsi" w:cstheme="majorHAnsi"/>
                <w:b/>
                <w:bCs/>
                <w:color w:val="000000"/>
                <w:sz w:val="20"/>
                <w:szCs w:val="20"/>
                <w:lang w:eastAsia="pt-BR"/>
              </w:rPr>
              <w:t>2017/18</w:t>
            </w:r>
          </w:p>
        </w:tc>
        <w:tc>
          <w:tcPr>
            <w:tcW w:w="1024" w:type="dxa"/>
            <w:noWrap/>
            <w:hideMark/>
          </w:tcPr>
          <w:p w14:paraId="57B085F1"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pt-BR"/>
              </w:rPr>
            </w:pPr>
            <w:r w:rsidRPr="00043827">
              <w:rPr>
                <w:rFonts w:asciiTheme="majorHAnsi" w:eastAsia="Times New Roman" w:hAnsiTheme="majorHAnsi" w:cstheme="majorHAnsi"/>
                <w:b/>
                <w:bCs/>
                <w:color w:val="000000"/>
                <w:sz w:val="20"/>
                <w:szCs w:val="20"/>
                <w:lang w:eastAsia="pt-BR"/>
              </w:rPr>
              <w:t>2018/19</w:t>
            </w:r>
          </w:p>
        </w:tc>
        <w:tc>
          <w:tcPr>
            <w:tcW w:w="1252" w:type="dxa"/>
            <w:noWrap/>
            <w:hideMark/>
          </w:tcPr>
          <w:p w14:paraId="2A0F5940"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pt-BR"/>
              </w:rPr>
            </w:pPr>
            <w:r w:rsidRPr="00043827">
              <w:rPr>
                <w:rFonts w:asciiTheme="majorHAnsi" w:eastAsia="Times New Roman" w:hAnsiTheme="majorHAnsi" w:cstheme="majorHAnsi"/>
                <w:b/>
                <w:bCs/>
                <w:color w:val="000000"/>
                <w:sz w:val="20"/>
                <w:szCs w:val="20"/>
                <w:lang w:eastAsia="pt-BR"/>
              </w:rPr>
              <w:t>2019/20</w:t>
            </w:r>
          </w:p>
        </w:tc>
      </w:tr>
      <w:tr w:rsidR="00043827" w:rsidRPr="00043827" w14:paraId="7725A3D3"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06C548CB"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Taxas de matrícula e contratos de educação </w:t>
            </w:r>
          </w:p>
        </w:tc>
        <w:tc>
          <w:tcPr>
            <w:tcW w:w="1060" w:type="dxa"/>
            <w:gridSpan w:val="2"/>
            <w:noWrap/>
            <w:hideMark/>
          </w:tcPr>
          <w:p w14:paraId="5986432D"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293.494</w:t>
            </w:r>
          </w:p>
        </w:tc>
        <w:tc>
          <w:tcPr>
            <w:tcW w:w="1060" w:type="dxa"/>
            <w:noWrap/>
            <w:hideMark/>
          </w:tcPr>
          <w:p w14:paraId="0ECBEE5E"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307.144</w:t>
            </w:r>
          </w:p>
        </w:tc>
        <w:tc>
          <w:tcPr>
            <w:tcW w:w="1125" w:type="dxa"/>
            <w:noWrap/>
            <w:hideMark/>
          </w:tcPr>
          <w:p w14:paraId="40843788"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332.440</w:t>
            </w:r>
          </w:p>
        </w:tc>
        <w:tc>
          <w:tcPr>
            <w:tcW w:w="1024" w:type="dxa"/>
            <w:noWrap/>
            <w:hideMark/>
          </w:tcPr>
          <w:p w14:paraId="2B533CC4"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353.837</w:t>
            </w:r>
          </w:p>
        </w:tc>
        <w:tc>
          <w:tcPr>
            <w:tcW w:w="1252" w:type="dxa"/>
            <w:noWrap/>
            <w:hideMark/>
          </w:tcPr>
          <w:p w14:paraId="334EF54F"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392.482</w:t>
            </w:r>
          </w:p>
        </w:tc>
      </w:tr>
      <w:tr w:rsidR="00043827" w:rsidRPr="00043827" w14:paraId="47A3D113"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7A0AC478"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Doações do órgão de financiamento </w:t>
            </w:r>
          </w:p>
        </w:tc>
        <w:tc>
          <w:tcPr>
            <w:tcW w:w="1060" w:type="dxa"/>
            <w:gridSpan w:val="2"/>
            <w:noWrap/>
            <w:hideMark/>
          </w:tcPr>
          <w:p w14:paraId="0A202250"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192.494</w:t>
            </w:r>
          </w:p>
        </w:tc>
        <w:tc>
          <w:tcPr>
            <w:tcW w:w="1060" w:type="dxa"/>
            <w:noWrap/>
            <w:hideMark/>
          </w:tcPr>
          <w:p w14:paraId="0DD10E23"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194.646</w:t>
            </w:r>
          </w:p>
        </w:tc>
        <w:tc>
          <w:tcPr>
            <w:tcW w:w="1125" w:type="dxa"/>
            <w:noWrap/>
            <w:hideMark/>
          </w:tcPr>
          <w:p w14:paraId="28181B99"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186.891</w:t>
            </w:r>
          </w:p>
        </w:tc>
        <w:tc>
          <w:tcPr>
            <w:tcW w:w="1024" w:type="dxa"/>
            <w:noWrap/>
            <w:hideMark/>
          </w:tcPr>
          <w:p w14:paraId="3FE78FFA"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193.116</w:t>
            </w:r>
          </w:p>
        </w:tc>
        <w:tc>
          <w:tcPr>
            <w:tcW w:w="1252" w:type="dxa"/>
            <w:noWrap/>
            <w:hideMark/>
          </w:tcPr>
          <w:p w14:paraId="318B4A08"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209.782</w:t>
            </w:r>
          </w:p>
        </w:tc>
      </w:tr>
      <w:tr w:rsidR="00043827" w:rsidRPr="00043827" w14:paraId="31F3EDC4"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72989A45"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Bolsas e contratos de pesquisa </w:t>
            </w:r>
          </w:p>
        </w:tc>
        <w:tc>
          <w:tcPr>
            <w:tcW w:w="1060" w:type="dxa"/>
            <w:gridSpan w:val="2"/>
            <w:noWrap/>
            <w:hideMark/>
          </w:tcPr>
          <w:p w14:paraId="63633722"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537.412</w:t>
            </w:r>
          </w:p>
        </w:tc>
        <w:tc>
          <w:tcPr>
            <w:tcW w:w="1060" w:type="dxa"/>
            <w:noWrap/>
            <w:hideMark/>
          </w:tcPr>
          <w:p w14:paraId="70470D1B"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564.893</w:t>
            </w:r>
          </w:p>
        </w:tc>
        <w:tc>
          <w:tcPr>
            <w:tcW w:w="1125" w:type="dxa"/>
            <w:noWrap/>
            <w:hideMark/>
          </w:tcPr>
          <w:p w14:paraId="70CECB61"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579.036</w:t>
            </w:r>
          </w:p>
        </w:tc>
        <w:tc>
          <w:tcPr>
            <w:tcW w:w="1024" w:type="dxa"/>
            <w:noWrap/>
            <w:hideMark/>
          </w:tcPr>
          <w:p w14:paraId="485D2AC5"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624.743</w:t>
            </w:r>
          </w:p>
        </w:tc>
        <w:tc>
          <w:tcPr>
            <w:tcW w:w="1252" w:type="dxa"/>
            <w:noWrap/>
            <w:hideMark/>
          </w:tcPr>
          <w:p w14:paraId="393E9C03"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633.554</w:t>
            </w:r>
          </w:p>
        </w:tc>
      </w:tr>
      <w:tr w:rsidR="00043827" w:rsidRPr="00043827" w14:paraId="21A56564"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75F54766"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Outros rendimentos</w:t>
            </w:r>
          </w:p>
        </w:tc>
        <w:tc>
          <w:tcPr>
            <w:tcW w:w="1060" w:type="dxa"/>
            <w:gridSpan w:val="2"/>
            <w:noWrap/>
            <w:hideMark/>
          </w:tcPr>
          <w:p w14:paraId="5DC11408"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212.993</w:t>
            </w:r>
          </w:p>
        </w:tc>
        <w:tc>
          <w:tcPr>
            <w:tcW w:w="1060" w:type="dxa"/>
            <w:noWrap/>
            <w:hideMark/>
          </w:tcPr>
          <w:p w14:paraId="532A5A09"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227.689</w:t>
            </w:r>
          </w:p>
        </w:tc>
        <w:tc>
          <w:tcPr>
            <w:tcW w:w="1125" w:type="dxa"/>
            <w:noWrap/>
            <w:hideMark/>
          </w:tcPr>
          <w:p w14:paraId="1ACCF106"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1.025.878</w:t>
            </w:r>
          </w:p>
        </w:tc>
        <w:tc>
          <w:tcPr>
            <w:tcW w:w="1024" w:type="dxa"/>
            <w:noWrap/>
            <w:hideMark/>
          </w:tcPr>
          <w:p w14:paraId="43474048"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1.061.214</w:t>
            </w:r>
          </w:p>
        </w:tc>
        <w:tc>
          <w:tcPr>
            <w:tcW w:w="1252" w:type="dxa"/>
            <w:noWrap/>
            <w:hideMark/>
          </w:tcPr>
          <w:p w14:paraId="1F79E07A"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1.029.322</w:t>
            </w:r>
          </w:p>
        </w:tc>
      </w:tr>
      <w:tr w:rsidR="00043827" w:rsidRPr="00043827" w14:paraId="3DB0DF0A"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612F623A"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Retorno do investimento </w:t>
            </w:r>
          </w:p>
        </w:tc>
        <w:tc>
          <w:tcPr>
            <w:tcW w:w="1060" w:type="dxa"/>
            <w:gridSpan w:val="2"/>
            <w:noWrap/>
            <w:hideMark/>
          </w:tcPr>
          <w:p w14:paraId="71D82E0C"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8.800</w:t>
            </w:r>
          </w:p>
        </w:tc>
        <w:tc>
          <w:tcPr>
            <w:tcW w:w="1060" w:type="dxa"/>
            <w:noWrap/>
            <w:hideMark/>
          </w:tcPr>
          <w:p w14:paraId="0D6B808B"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14.445</w:t>
            </w:r>
          </w:p>
        </w:tc>
        <w:tc>
          <w:tcPr>
            <w:tcW w:w="1125" w:type="dxa"/>
            <w:noWrap/>
            <w:hideMark/>
          </w:tcPr>
          <w:p w14:paraId="702F0379"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18.278</w:t>
            </w:r>
          </w:p>
        </w:tc>
        <w:tc>
          <w:tcPr>
            <w:tcW w:w="1024" w:type="dxa"/>
            <w:noWrap/>
            <w:hideMark/>
          </w:tcPr>
          <w:p w14:paraId="56A534E3"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104.631</w:t>
            </w:r>
          </w:p>
        </w:tc>
        <w:tc>
          <w:tcPr>
            <w:tcW w:w="1252" w:type="dxa"/>
            <w:noWrap/>
            <w:hideMark/>
          </w:tcPr>
          <w:p w14:paraId="1AEAD317"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106.367</w:t>
            </w:r>
          </w:p>
        </w:tc>
      </w:tr>
      <w:tr w:rsidR="00043827" w:rsidRPr="00043827" w14:paraId="43542A65"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456959A0"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Doações e dotações </w:t>
            </w:r>
          </w:p>
        </w:tc>
        <w:tc>
          <w:tcPr>
            <w:tcW w:w="1060" w:type="dxa"/>
            <w:gridSpan w:val="2"/>
            <w:noWrap/>
            <w:hideMark/>
          </w:tcPr>
          <w:p w14:paraId="75A0248A"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76.600</w:t>
            </w:r>
          </w:p>
        </w:tc>
        <w:tc>
          <w:tcPr>
            <w:tcW w:w="1060" w:type="dxa"/>
            <w:noWrap/>
            <w:hideMark/>
          </w:tcPr>
          <w:p w14:paraId="1BA6C509"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91.564</w:t>
            </w:r>
          </w:p>
        </w:tc>
        <w:tc>
          <w:tcPr>
            <w:tcW w:w="1125" w:type="dxa"/>
            <w:noWrap/>
            <w:hideMark/>
          </w:tcPr>
          <w:p w14:paraId="67E1AA55"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94.400</w:t>
            </w:r>
          </w:p>
        </w:tc>
        <w:tc>
          <w:tcPr>
            <w:tcW w:w="1024" w:type="dxa"/>
            <w:noWrap/>
            <w:hideMark/>
          </w:tcPr>
          <w:p w14:paraId="57506455"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112.595</w:t>
            </w:r>
          </w:p>
        </w:tc>
        <w:tc>
          <w:tcPr>
            <w:tcW w:w="1252" w:type="dxa"/>
            <w:noWrap/>
            <w:hideMark/>
          </w:tcPr>
          <w:p w14:paraId="4225E878"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164.804</w:t>
            </w:r>
          </w:p>
        </w:tc>
      </w:tr>
      <w:tr w:rsidR="00043827" w:rsidRPr="00043827" w14:paraId="1050046A"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0EEB46A0"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Renda total </w:t>
            </w:r>
          </w:p>
        </w:tc>
        <w:tc>
          <w:tcPr>
            <w:tcW w:w="1060" w:type="dxa"/>
            <w:gridSpan w:val="2"/>
            <w:noWrap/>
            <w:hideMark/>
          </w:tcPr>
          <w:p w14:paraId="73012B1C"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1.321.793</w:t>
            </w:r>
          </w:p>
        </w:tc>
        <w:tc>
          <w:tcPr>
            <w:tcW w:w="1060" w:type="dxa"/>
            <w:noWrap/>
            <w:hideMark/>
          </w:tcPr>
          <w:p w14:paraId="0EDFB9DA"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1.400.381</w:t>
            </w:r>
          </w:p>
        </w:tc>
        <w:tc>
          <w:tcPr>
            <w:tcW w:w="1125" w:type="dxa"/>
            <w:noWrap/>
            <w:hideMark/>
          </w:tcPr>
          <w:p w14:paraId="37E98A3B"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2.236.923</w:t>
            </w:r>
          </w:p>
        </w:tc>
        <w:tc>
          <w:tcPr>
            <w:tcW w:w="1024" w:type="dxa"/>
            <w:noWrap/>
            <w:hideMark/>
          </w:tcPr>
          <w:p w14:paraId="1568CF74"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2.450.136</w:t>
            </w:r>
          </w:p>
        </w:tc>
        <w:tc>
          <w:tcPr>
            <w:tcW w:w="1252" w:type="dxa"/>
            <w:noWrap/>
            <w:hideMark/>
          </w:tcPr>
          <w:p w14:paraId="70EB5CB2"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2.536.311</w:t>
            </w:r>
          </w:p>
        </w:tc>
      </w:tr>
      <w:tr w:rsidR="00043827" w:rsidRPr="00043827" w14:paraId="4FA3B1CA"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68C611C6"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Custos com pessoal </w:t>
            </w:r>
          </w:p>
        </w:tc>
        <w:tc>
          <w:tcPr>
            <w:tcW w:w="1060" w:type="dxa"/>
            <w:gridSpan w:val="2"/>
            <w:noWrap/>
            <w:hideMark/>
          </w:tcPr>
          <w:p w14:paraId="11A4CCC6"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680.283</w:t>
            </w:r>
          </w:p>
        </w:tc>
        <w:tc>
          <w:tcPr>
            <w:tcW w:w="1060" w:type="dxa"/>
            <w:noWrap/>
            <w:hideMark/>
          </w:tcPr>
          <w:p w14:paraId="7A50745C"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708.253</w:t>
            </w:r>
          </w:p>
        </w:tc>
        <w:tc>
          <w:tcPr>
            <w:tcW w:w="1125" w:type="dxa"/>
            <w:noWrap/>
            <w:hideMark/>
          </w:tcPr>
          <w:p w14:paraId="7B8CE29B"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982.379</w:t>
            </w:r>
          </w:p>
        </w:tc>
        <w:tc>
          <w:tcPr>
            <w:tcW w:w="1024" w:type="dxa"/>
            <w:noWrap/>
            <w:hideMark/>
          </w:tcPr>
          <w:p w14:paraId="66DE57CE"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1.337.125</w:t>
            </w:r>
          </w:p>
        </w:tc>
        <w:tc>
          <w:tcPr>
            <w:tcW w:w="1252" w:type="dxa"/>
            <w:noWrap/>
            <w:hideMark/>
          </w:tcPr>
          <w:p w14:paraId="7ADB71A5"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887.675</w:t>
            </w:r>
          </w:p>
        </w:tc>
      </w:tr>
      <w:tr w:rsidR="00043827" w:rsidRPr="00043827" w14:paraId="5209EBAA"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55E86D1F"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Custos de reestruturação</w:t>
            </w:r>
          </w:p>
        </w:tc>
        <w:tc>
          <w:tcPr>
            <w:tcW w:w="1060" w:type="dxa"/>
            <w:gridSpan w:val="2"/>
            <w:noWrap/>
            <w:hideMark/>
          </w:tcPr>
          <w:p w14:paraId="50AF16D4"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0</w:t>
            </w:r>
          </w:p>
        </w:tc>
        <w:tc>
          <w:tcPr>
            <w:tcW w:w="1060" w:type="dxa"/>
            <w:noWrap/>
            <w:hideMark/>
          </w:tcPr>
          <w:p w14:paraId="680B9150"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0</w:t>
            </w:r>
          </w:p>
        </w:tc>
        <w:tc>
          <w:tcPr>
            <w:tcW w:w="1125" w:type="dxa"/>
            <w:noWrap/>
            <w:hideMark/>
          </w:tcPr>
          <w:p w14:paraId="1ED2A326"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0</w:t>
            </w:r>
          </w:p>
        </w:tc>
        <w:tc>
          <w:tcPr>
            <w:tcW w:w="1024" w:type="dxa"/>
            <w:noWrap/>
            <w:hideMark/>
          </w:tcPr>
          <w:p w14:paraId="11C9B0AA"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0</w:t>
            </w:r>
          </w:p>
        </w:tc>
        <w:tc>
          <w:tcPr>
            <w:tcW w:w="1252" w:type="dxa"/>
            <w:noWrap/>
            <w:hideMark/>
          </w:tcPr>
          <w:p w14:paraId="018B24A8"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0</w:t>
            </w:r>
          </w:p>
        </w:tc>
      </w:tr>
      <w:tr w:rsidR="00043827" w:rsidRPr="00043827" w14:paraId="661C81C6"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61A2C029"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lastRenderedPageBreak/>
              <w:t xml:space="preserve">Outras despesas de operação </w:t>
            </w:r>
          </w:p>
        </w:tc>
        <w:tc>
          <w:tcPr>
            <w:tcW w:w="1060" w:type="dxa"/>
            <w:gridSpan w:val="2"/>
            <w:noWrap/>
            <w:hideMark/>
          </w:tcPr>
          <w:p w14:paraId="3BB2BD4F"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556.346</w:t>
            </w:r>
          </w:p>
        </w:tc>
        <w:tc>
          <w:tcPr>
            <w:tcW w:w="1060" w:type="dxa"/>
            <w:noWrap/>
            <w:hideMark/>
          </w:tcPr>
          <w:p w14:paraId="5315666D"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576.137</w:t>
            </w:r>
          </w:p>
        </w:tc>
        <w:tc>
          <w:tcPr>
            <w:tcW w:w="1125" w:type="dxa"/>
            <w:noWrap/>
            <w:hideMark/>
          </w:tcPr>
          <w:p w14:paraId="77073E8F"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1.023.999</w:t>
            </w:r>
          </w:p>
        </w:tc>
        <w:tc>
          <w:tcPr>
            <w:tcW w:w="1024" w:type="dxa"/>
            <w:noWrap/>
            <w:hideMark/>
          </w:tcPr>
          <w:p w14:paraId="6BF7E16B"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1.066.796</w:t>
            </w:r>
          </w:p>
        </w:tc>
        <w:tc>
          <w:tcPr>
            <w:tcW w:w="1252" w:type="dxa"/>
            <w:noWrap/>
            <w:hideMark/>
          </w:tcPr>
          <w:p w14:paraId="1F8FAE40"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1.103.764</w:t>
            </w:r>
          </w:p>
        </w:tc>
      </w:tr>
      <w:tr w:rsidR="00043827" w:rsidRPr="00043827" w14:paraId="4E7C6EF5"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6EAB6F6E"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Depreciação e amortização </w:t>
            </w:r>
          </w:p>
        </w:tc>
        <w:tc>
          <w:tcPr>
            <w:tcW w:w="1060" w:type="dxa"/>
            <w:gridSpan w:val="2"/>
            <w:noWrap/>
            <w:hideMark/>
          </w:tcPr>
          <w:p w14:paraId="41DEBB62"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87.101</w:t>
            </w:r>
          </w:p>
        </w:tc>
        <w:tc>
          <w:tcPr>
            <w:tcW w:w="1060" w:type="dxa"/>
            <w:noWrap/>
            <w:hideMark/>
          </w:tcPr>
          <w:p w14:paraId="18C77226"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102.643</w:t>
            </w:r>
          </w:p>
        </w:tc>
        <w:tc>
          <w:tcPr>
            <w:tcW w:w="1125" w:type="dxa"/>
            <w:noWrap/>
            <w:hideMark/>
          </w:tcPr>
          <w:p w14:paraId="3672E396"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145.476</w:t>
            </w:r>
          </w:p>
        </w:tc>
        <w:tc>
          <w:tcPr>
            <w:tcW w:w="1024" w:type="dxa"/>
            <w:noWrap/>
            <w:hideMark/>
          </w:tcPr>
          <w:p w14:paraId="7091CBC7"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145.231</w:t>
            </w:r>
          </w:p>
        </w:tc>
        <w:tc>
          <w:tcPr>
            <w:tcW w:w="1252" w:type="dxa"/>
            <w:noWrap/>
            <w:hideMark/>
          </w:tcPr>
          <w:p w14:paraId="24438CC7"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112,102</w:t>
            </w:r>
          </w:p>
        </w:tc>
      </w:tr>
      <w:tr w:rsidR="00043827" w:rsidRPr="00043827" w14:paraId="3696E008" w14:textId="77777777" w:rsidTr="00043827">
        <w:trPr>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16B97D7B"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Juros e outros custos financeiros </w:t>
            </w:r>
          </w:p>
        </w:tc>
        <w:tc>
          <w:tcPr>
            <w:tcW w:w="1060" w:type="dxa"/>
            <w:gridSpan w:val="2"/>
            <w:noWrap/>
            <w:hideMark/>
          </w:tcPr>
          <w:p w14:paraId="650F8E4E"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12.772</w:t>
            </w:r>
          </w:p>
        </w:tc>
        <w:tc>
          <w:tcPr>
            <w:tcW w:w="1060" w:type="dxa"/>
            <w:noWrap/>
            <w:hideMark/>
          </w:tcPr>
          <w:p w14:paraId="20D33023"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9.901</w:t>
            </w:r>
          </w:p>
        </w:tc>
        <w:tc>
          <w:tcPr>
            <w:tcW w:w="1125" w:type="dxa"/>
            <w:noWrap/>
            <w:hideMark/>
          </w:tcPr>
          <w:p w14:paraId="60EA7479"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28.629</w:t>
            </w:r>
          </w:p>
        </w:tc>
        <w:tc>
          <w:tcPr>
            <w:tcW w:w="1024" w:type="dxa"/>
            <w:noWrap/>
            <w:hideMark/>
          </w:tcPr>
          <w:p w14:paraId="1D8323EB"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33.087</w:t>
            </w:r>
          </w:p>
        </w:tc>
        <w:tc>
          <w:tcPr>
            <w:tcW w:w="1252" w:type="dxa"/>
            <w:noWrap/>
            <w:hideMark/>
          </w:tcPr>
          <w:p w14:paraId="4B05BFAB" w14:textId="77777777" w:rsidR="00043827" w:rsidRPr="00043827" w:rsidRDefault="00043827" w:rsidP="00043827">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41.955</w:t>
            </w:r>
          </w:p>
        </w:tc>
      </w:tr>
      <w:tr w:rsidR="00043827" w:rsidRPr="00043827" w14:paraId="4902E995" w14:textId="77777777" w:rsidTr="0004382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26" w:type="dxa"/>
            <w:gridSpan w:val="2"/>
            <w:noWrap/>
            <w:hideMark/>
          </w:tcPr>
          <w:p w14:paraId="551D75BC" w14:textId="77777777" w:rsidR="00043827" w:rsidRPr="00043827" w:rsidRDefault="00043827" w:rsidP="00043827">
            <w:pPr>
              <w:tabs>
                <w:tab w:val="clear" w:pos="1615"/>
              </w:tabs>
              <w:spacing w:line="360" w:lineRule="auto"/>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 xml:space="preserve">Despesa total </w:t>
            </w:r>
          </w:p>
        </w:tc>
        <w:tc>
          <w:tcPr>
            <w:tcW w:w="1060" w:type="dxa"/>
            <w:gridSpan w:val="2"/>
            <w:noWrap/>
            <w:hideMark/>
          </w:tcPr>
          <w:p w14:paraId="663A9D8A"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1.336.502</w:t>
            </w:r>
          </w:p>
        </w:tc>
        <w:tc>
          <w:tcPr>
            <w:tcW w:w="1060" w:type="dxa"/>
            <w:noWrap/>
            <w:hideMark/>
          </w:tcPr>
          <w:p w14:paraId="71BA94B7"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1.396.934</w:t>
            </w:r>
          </w:p>
        </w:tc>
        <w:tc>
          <w:tcPr>
            <w:tcW w:w="1125" w:type="dxa"/>
            <w:noWrap/>
            <w:hideMark/>
          </w:tcPr>
          <w:p w14:paraId="1DE82BAA"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2.180.483</w:t>
            </w:r>
          </w:p>
        </w:tc>
        <w:tc>
          <w:tcPr>
            <w:tcW w:w="1024" w:type="dxa"/>
            <w:noWrap/>
            <w:hideMark/>
          </w:tcPr>
          <w:p w14:paraId="6EDFE3E9"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2.582.239</w:t>
            </w:r>
          </w:p>
        </w:tc>
        <w:tc>
          <w:tcPr>
            <w:tcW w:w="1252" w:type="dxa"/>
            <w:noWrap/>
            <w:hideMark/>
          </w:tcPr>
          <w:p w14:paraId="1E37429B" w14:textId="77777777" w:rsidR="00043827" w:rsidRPr="00043827" w:rsidRDefault="00043827" w:rsidP="00043827">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pt-BR"/>
              </w:rPr>
            </w:pPr>
            <w:r w:rsidRPr="00043827">
              <w:rPr>
                <w:rFonts w:asciiTheme="majorHAnsi" w:eastAsia="Times New Roman" w:hAnsiTheme="majorHAnsi" w:cstheme="majorHAnsi"/>
                <w:color w:val="000000"/>
                <w:sz w:val="20"/>
                <w:szCs w:val="20"/>
                <w:lang w:eastAsia="pt-BR"/>
              </w:rPr>
              <w:t>2.145.496</w:t>
            </w:r>
          </w:p>
        </w:tc>
      </w:tr>
      <w:tr w:rsidR="00043827" w:rsidRPr="00043827" w14:paraId="6BCCE5EC" w14:textId="77777777" w:rsidTr="00043827">
        <w:trPr>
          <w:trHeight w:val="1007"/>
        </w:trPr>
        <w:tc>
          <w:tcPr>
            <w:cnfStyle w:val="001000000000" w:firstRow="0" w:lastRow="0" w:firstColumn="1" w:lastColumn="0" w:oddVBand="0" w:evenVBand="0" w:oddHBand="0" w:evenHBand="0" w:firstRowFirstColumn="0" w:firstRowLastColumn="0" w:lastRowFirstColumn="0" w:lastRowLastColumn="0"/>
            <w:tcW w:w="4117" w:type="dxa"/>
          </w:tcPr>
          <w:p w14:paraId="0FC7D897" w14:textId="77777777" w:rsidR="00043827" w:rsidRPr="00043827" w:rsidRDefault="00043827" w:rsidP="00043827">
            <w:pPr>
              <w:spacing w:line="360" w:lineRule="auto"/>
              <w:jc w:val="both"/>
              <w:rPr>
                <w:rFonts w:asciiTheme="majorHAnsi" w:hAnsiTheme="majorHAnsi" w:cstheme="majorHAnsi"/>
                <w:b w:val="0"/>
                <w:sz w:val="20"/>
                <w:szCs w:val="20"/>
              </w:rPr>
            </w:pPr>
            <w:r w:rsidRPr="00043827">
              <w:rPr>
                <w:rFonts w:asciiTheme="majorHAnsi" w:hAnsiTheme="majorHAnsi" w:cstheme="majorHAnsi"/>
                <w:sz w:val="20"/>
                <w:szCs w:val="20"/>
              </w:rPr>
              <w:t>Observações:</w:t>
            </w:r>
          </w:p>
        </w:tc>
        <w:tc>
          <w:tcPr>
            <w:tcW w:w="5630" w:type="dxa"/>
            <w:gridSpan w:val="7"/>
          </w:tcPr>
          <w:p w14:paraId="00CCDC12"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b/>
                <w:sz w:val="20"/>
                <w:szCs w:val="20"/>
              </w:rPr>
              <w:t xml:space="preserve">* Dados coletados do site da </w:t>
            </w:r>
            <w:r w:rsidRPr="00043827">
              <w:rPr>
                <w:rFonts w:asciiTheme="majorHAnsi" w:hAnsiTheme="majorHAnsi" w:cstheme="majorHAnsi"/>
                <w:sz w:val="20"/>
                <w:szCs w:val="20"/>
              </w:rPr>
              <w:t xml:space="preserve">HESA, (Higher Education Statistics Agency), órgão de dados designado para a Inglaterra, especialista em dados de ensino superior do Reino Unido). </w:t>
            </w:r>
          </w:p>
          <w:p w14:paraId="4E234F64" w14:textId="77777777" w:rsidR="00043827" w:rsidRPr="00043827" w:rsidRDefault="00A515B3"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hyperlink r:id="rId176" w:history="1">
              <w:r w:rsidR="00043827" w:rsidRPr="00043827">
                <w:rPr>
                  <w:rFonts w:asciiTheme="majorHAnsi" w:hAnsiTheme="majorHAnsi" w:cstheme="majorHAnsi"/>
                  <w:color w:val="4875BD" w:themeColor="accent1"/>
                  <w:sz w:val="20"/>
                  <w:szCs w:val="20"/>
                  <w:u w:val="single"/>
                </w:rPr>
                <w:t>https://www.hesa.ac.uk/data-and-analysis/finances/income</w:t>
              </w:r>
            </w:hyperlink>
            <w:r w:rsidR="00043827" w:rsidRPr="00043827">
              <w:rPr>
                <w:rFonts w:asciiTheme="majorHAnsi" w:hAnsiTheme="majorHAnsi" w:cstheme="majorHAnsi"/>
                <w:sz w:val="20"/>
                <w:szCs w:val="20"/>
              </w:rPr>
              <w:t xml:space="preserve"> </w:t>
            </w:r>
          </w:p>
          <w:p w14:paraId="3BA999A7"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478774D"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 xml:space="preserve">** Outros dados podem ser acessados em </w:t>
            </w:r>
            <w:hyperlink r:id="rId177" w:history="1">
              <w:r w:rsidRPr="00043827">
                <w:rPr>
                  <w:rFonts w:asciiTheme="majorHAnsi" w:hAnsiTheme="majorHAnsi" w:cstheme="majorHAnsi"/>
                  <w:color w:val="4875BD" w:themeColor="accent1"/>
                  <w:sz w:val="20"/>
                  <w:szCs w:val="20"/>
                  <w:u w:val="single"/>
                </w:rPr>
                <w:t>https://www.ox.ac.uk/about/organisation/finance-and-funding</w:t>
              </w:r>
            </w:hyperlink>
            <w:r w:rsidRPr="00043827">
              <w:rPr>
                <w:rFonts w:asciiTheme="majorHAnsi" w:hAnsiTheme="majorHAnsi" w:cstheme="majorHAnsi"/>
                <w:sz w:val="20"/>
                <w:szCs w:val="20"/>
              </w:rPr>
              <w:t xml:space="preserve"> </w:t>
            </w:r>
          </w:p>
          <w:p w14:paraId="4C85CACB"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3C1B778"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9A85BBE"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As demonstrações financeiras das 36 faculdades da Universidade de Oxford para o ano encerrado em 31 de julho de 2020 estão disponíveis como pdfs, juntamente com uma demonstração agregada de atividades financeiras (SOFA) e um balanço patrimonial consolidado agregado.</w:t>
            </w:r>
          </w:p>
          <w:p w14:paraId="4AD49078"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7B71C97"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As faculdades são independentes, autônomas e financeiramente autônomas e suas contas são publicadas de acordo com a convenção de contabilidade desenvolvida pela Charity Commission para uso por instituições de caridade no Reino Unido (Charity SORP).</w:t>
            </w:r>
          </w:p>
          <w:p w14:paraId="26D0B442"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FA014EE"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O Kellogg College, o Reuben College e o St Cross College não possuem Royal Charters e, para fins contábeis, são departamentos da Universidade. Como tal, seus resultados financeiros são consolidados nas demonstrações financeiras da Universidade. Segue link de acesso:</w:t>
            </w:r>
          </w:p>
          <w:p w14:paraId="2B4FB6D8"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C2641C7" w14:textId="77777777" w:rsidR="00043827" w:rsidRPr="00043827" w:rsidRDefault="00A515B3"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hyperlink r:id="rId178" w:history="1">
              <w:r w:rsidR="00043827" w:rsidRPr="00043827">
                <w:rPr>
                  <w:rFonts w:asciiTheme="majorHAnsi" w:hAnsiTheme="majorHAnsi" w:cstheme="majorHAnsi"/>
                  <w:color w:val="4875BD" w:themeColor="accent1"/>
                  <w:sz w:val="20"/>
                  <w:szCs w:val="20"/>
                  <w:u w:val="single"/>
                </w:rPr>
                <w:t>https://www.ox.ac.uk/about/organisation/finance-and-funding/financial-statements-oxford-colleges-2019-20</w:t>
              </w:r>
            </w:hyperlink>
            <w:r w:rsidR="00043827" w:rsidRPr="00043827">
              <w:rPr>
                <w:rFonts w:asciiTheme="majorHAnsi" w:hAnsiTheme="majorHAnsi" w:cstheme="majorHAnsi"/>
                <w:sz w:val="20"/>
                <w:szCs w:val="20"/>
              </w:rPr>
              <w:t xml:space="preserve"> </w:t>
            </w:r>
          </w:p>
          <w:p w14:paraId="52B649CE"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63A4DDC"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5C9CB95"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 xml:space="preserve">Para a arrecadação de fundos para a Universidade existe o “Development Office (UODO)” um escritório dedicado que busca arrecadar fundos para apoiar as prioridades acadêmicas da </w:t>
            </w:r>
            <w:r w:rsidRPr="00043827">
              <w:rPr>
                <w:rFonts w:asciiTheme="majorHAnsi" w:hAnsiTheme="majorHAnsi" w:cstheme="majorHAnsi"/>
                <w:sz w:val="20"/>
                <w:szCs w:val="20"/>
              </w:rPr>
              <w:lastRenderedPageBreak/>
              <w:t>Universidade. A UODO colabora com colegas em toda a universidade colegiada para garantir doações em todos os aspectos do esforço acadêmico e estudantil. Isso inclui:</w:t>
            </w:r>
          </w:p>
          <w:p w14:paraId="59940B16" w14:textId="77777777" w:rsidR="00043827" w:rsidRPr="00043827" w:rsidRDefault="00043827" w:rsidP="00043827">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Apoiar os alunos por meio de bolsas de estudo, esquemas de acesso, esporte e outros aspectos da vida estudantil</w:t>
            </w:r>
          </w:p>
          <w:p w14:paraId="1F7A43DB" w14:textId="77777777" w:rsidR="00043827" w:rsidRPr="00043827" w:rsidRDefault="00043827" w:rsidP="00043827">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Apoiar postagens acadêmicas e programas de ensino e pesquisa</w:t>
            </w:r>
          </w:p>
          <w:p w14:paraId="3089DB83" w14:textId="77777777" w:rsidR="00043827" w:rsidRPr="00043827" w:rsidRDefault="00043827" w:rsidP="00043827">
            <w:pPr>
              <w:numPr>
                <w:ilvl w:val="0"/>
                <w:numId w:val="3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Infraestrutura e edifícios de apoio</w:t>
            </w:r>
          </w:p>
          <w:p w14:paraId="33B6F7D9"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D4F0FB6"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£ 316 milhões arrecadados 1 de agosto de 2019 - 31 de julho de 2020</w:t>
            </w:r>
          </w:p>
          <w:p w14:paraId="2D1A5E5C"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(Universidade, faculdades e Rhodes Trust)</w:t>
            </w:r>
          </w:p>
          <w:p w14:paraId="67A2AD76"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43827">
              <w:rPr>
                <w:rFonts w:asciiTheme="majorHAnsi" w:hAnsiTheme="majorHAnsi" w:cstheme="majorHAnsi"/>
                <w:sz w:val="20"/>
                <w:szCs w:val="20"/>
              </w:rPr>
              <w:t>Link com os relatórios de arrecadação:</w:t>
            </w:r>
          </w:p>
          <w:p w14:paraId="66E570FD" w14:textId="77777777" w:rsidR="00043827" w:rsidRPr="00043827" w:rsidRDefault="00A515B3"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hyperlink r:id="rId179" w:history="1">
              <w:r w:rsidR="00043827" w:rsidRPr="00043827">
                <w:rPr>
                  <w:rFonts w:asciiTheme="majorHAnsi" w:hAnsiTheme="majorHAnsi" w:cstheme="majorHAnsi"/>
                  <w:color w:val="4875BD" w:themeColor="accent1"/>
                  <w:sz w:val="20"/>
                  <w:szCs w:val="20"/>
                  <w:u w:val="single"/>
                </w:rPr>
                <w:t>https://www.development.ox.ac.uk/fundraising-reports</w:t>
              </w:r>
            </w:hyperlink>
            <w:r w:rsidR="00043827" w:rsidRPr="00043827">
              <w:rPr>
                <w:rFonts w:asciiTheme="majorHAnsi" w:hAnsiTheme="majorHAnsi" w:cstheme="majorHAnsi"/>
                <w:sz w:val="20"/>
                <w:szCs w:val="20"/>
              </w:rPr>
              <w:t xml:space="preserve"> </w:t>
            </w:r>
          </w:p>
          <w:p w14:paraId="0B2C940C" w14:textId="77777777" w:rsidR="00043827" w:rsidRPr="00043827" w:rsidRDefault="00043827" w:rsidP="0004382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83846AF"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p w14:paraId="31FC7580"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 xml:space="preserve">O planejamento estratégico da Instituição possui uma dimensão dedicada à alocação consciente dos recursos Institucionais. O objetivo é garantir que a Universidade permaneça financeiramente e ambientalmente sustentável no futuro . Assim a Universidade acredita que para aumentar a eficiência e eficácia de seus serviços é necessário trabalhar de forma mais colaborativa para fornecer uma plataforma sustentável da educação e pesquisa ofertados. </w:t>
            </w:r>
          </w:p>
          <w:p w14:paraId="3D3485BE"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p w14:paraId="22FBA67D"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 xml:space="preserve">As prioridades dos recursão: </w:t>
            </w:r>
          </w:p>
          <w:p w14:paraId="2B2EC26F"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25. Diversificar as fontes de renda e investimento, inclusive por meio de parcerias com o setor privado, atividades comerciais, filantropia e a variedade de fontes de financiamento para pesquisa.</w:t>
            </w:r>
          </w:p>
          <w:p w14:paraId="3BE5D891"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p w14:paraId="7BB20E03"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26. Por meio do programa Focus, forneça melhorias de serviço e processo para permitir o crescimento contínuo em pesquisa e educação sem um crescimento equivalente nos custos de serviço.</w:t>
            </w:r>
          </w:p>
          <w:p w14:paraId="78D07309"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p w14:paraId="6FDA1A7A"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27. Oferecer um programa de investimento de capital em propriedade e TI de pelo menos £ 500 milhões até 2023.</w:t>
            </w:r>
          </w:p>
          <w:p w14:paraId="1D369E0D"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p w14:paraId="535A2992"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043827">
              <w:rPr>
                <w:rFonts w:asciiTheme="majorHAnsi" w:hAnsiTheme="majorHAnsi" w:cstheme="majorHAnsi"/>
                <w:bCs/>
                <w:sz w:val="20"/>
                <w:szCs w:val="20"/>
              </w:rPr>
              <w:t>28. Até 2023, em parceria com o setor privado, ter iniciado a construção de pelo menos 1.000 novas moradias subsidiadas para universidades e funcionários de faculdades.</w:t>
            </w:r>
          </w:p>
          <w:p w14:paraId="44F99F81"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
          <w:p w14:paraId="3768ED0F"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043827">
              <w:rPr>
                <w:rFonts w:asciiTheme="majorHAnsi" w:hAnsiTheme="majorHAnsi" w:cstheme="majorHAnsi"/>
                <w:bCs/>
                <w:sz w:val="20"/>
                <w:szCs w:val="20"/>
              </w:rPr>
              <w:t>29. Conceber e implementar uma estratégia de desenvolvimento, com recursos adequados, que corresponda à escala e ambição dos objectivos estratégicos da Universidade.</w:t>
            </w:r>
          </w:p>
          <w:p w14:paraId="4F5B2014"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p w14:paraId="75EA91FA"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043827">
              <w:rPr>
                <w:rFonts w:asciiTheme="majorHAnsi" w:hAnsiTheme="majorHAnsi" w:cstheme="majorHAnsi"/>
                <w:bCs/>
                <w:sz w:val="20"/>
                <w:szCs w:val="20"/>
              </w:rPr>
              <w:t>Mais informações:</w:t>
            </w:r>
            <w:r w:rsidRPr="00043827">
              <w:rPr>
                <w:rFonts w:asciiTheme="majorHAnsi" w:hAnsiTheme="majorHAnsi" w:cstheme="majorHAnsi"/>
                <w:b/>
                <w:sz w:val="20"/>
                <w:szCs w:val="20"/>
              </w:rPr>
              <w:t xml:space="preserve"> </w:t>
            </w:r>
            <w:hyperlink r:id="rId180" w:history="1">
              <w:r w:rsidRPr="00043827">
                <w:rPr>
                  <w:rFonts w:asciiTheme="majorHAnsi" w:hAnsiTheme="majorHAnsi" w:cstheme="majorHAnsi"/>
                  <w:b/>
                  <w:color w:val="4875BD" w:themeColor="accent1"/>
                  <w:sz w:val="20"/>
                  <w:szCs w:val="20"/>
                  <w:u w:val="single"/>
                </w:rPr>
                <w:t>https://www.ox.ac.uk/about/organisation/strategic-plan-2018-23/resources</w:t>
              </w:r>
            </w:hyperlink>
            <w:r w:rsidRPr="00043827">
              <w:rPr>
                <w:rFonts w:asciiTheme="majorHAnsi" w:hAnsiTheme="majorHAnsi" w:cstheme="majorHAnsi"/>
                <w:b/>
                <w:sz w:val="20"/>
                <w:szCs w:val="20"/>
              </w:rPr>
              <w:t xml:space="preserve"> </w:t>
            </w:r>
          </w:p>
          <w:p w14:paraId="42EF278B" w14:textId="77777777" w:rsidR="00043827" w:rsidRPr="00043827" w:rsidRDefault="00043827" w:rsidP="0004382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r>
    </w:tbl>
    <w:p w14:paraId="4218A583" w14:textId="05E4E879" w:rsidR="0069013B" w:rsidRDefault="0069013B">
      <w:pPr>
        <w:tabs>
          <w:tab w:val="clear" w:pos="1615"/>
        </w:tabs>
        <w:spacing w:line="259" w:lineRule="auto"/>
        <w:rPr>
          <w:rFonts w:asciiTheme="majorHAnsi" w:hAnsiTheme="majorHAnsi" w:cstheme="majorHAnsi"/>
          <w:sz w:val="20"/>
          <w:szCs w:val="20"/>
        </w:rPr>
      </w:pPr>
      <w:r>
        <w:rPr>
          <w:rFonts w:asciiTheme="majorHAnsi" w:hAnsiTheme="majorHAnsi" w:cstheme="majorHAnsi"/>
          <w:sz w:val="20"/>
          <w:szCs w:val="20"/>
        </w:rPr>
        <w:lastRenderedPageBreak/>
        <w:br w:type="page"/>
      </w:r>
    </w:p>
    <w:tbl>
      <w:tblPr>
        <w:tblStyle w:val="TabeladeLista6Colorida-nfase311"/>
        <w:tblW w:w="10491" w:type="dxa"/>
        <w:tblLook w:val="04A0" w:firstRow="1" w:lastRow="0" w:firstColumn="1" w:lastColumn="0" w:noHBand="0" w:noVBand="1"/>
      </w:tblPr>
      <w:tblGrid>
        <w:gridCol w:w="1730"/>
        <w:gridCol w:w="322"/>
        <w:gridCol w:w="559"/>
        <w:gridCol w:w="225"/>
        <w:gridCol w:w="113"/>
        <w:gridCol w:w="388"/>
        <w:gridCol w:w="179"/>
        <w:gridCol w:w="130"/>
        <w:gridCol w:w="485"/>
        <w:gridCol w:w="660"/>
        <w:gridCol w:w="455"/>
        <w:gridCol w:w="998"/>
        <w:gridCol w:w="107"/>
        <w:gridCol w:w="284"/>
        <w:gridCol w:w="336"/>
        <w:gridCol w:w="359"/>
        <w:gridCol w:w="367"/>
        <w:gridCol w:w="364"/>
        <w:gridCol w:w="2430"/>
      </w:tblGrid>
      <w:tr w:rsidR="00DE19E1" w:rsidRPr="001C5F76" w14:paraId="7084579D" w14:textId="77777777" w:rsidTr="00E21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03A8745A" w14:textId="77777777" w:rsidR="00DE19E1" w:rsidRPr="001C5F76" w:rsidRDefault="00DE19E1" w:rsidP="00E2153F">
            <w:pPr>
              <w:spacing w:line="360" w:lineRule="auto"/>
              <w:jc w:val="both"/>
              <w:rPr>
                <w:b w:val="0"/>
              </w:rPr>
            </w:pPr>
            <w:r w:rsidRPr="001C5F76">
              <w:lastRenderedPageBreak/>
              <w:t>Dimensão 8. Política de relacionamento externo</w:t>
            </w:r>
          </w:p>
        </w:tc>
      </w:tr>
      <w:tr w:rsidR="00DE19E1" w:rsidRPr="001C5F76" w14:paraId="727FA9C9"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202227B6" w14:textId="77777777" w:rsidR="00DE19E1" w:rsidRPr="001C5F76" w:rsidRDefault="00DE19E1" w:rsidP="00E2153F">
            <w:pPr>
              <w:spacing w:line="360" w:lineRule="auto"/>
              <w:jc w:val="both"/>
            </w:pPr>
            <w:r w:rsidRPr="001C5F76">
              <w:t>8.1. Convênios/parcerias para estágios nacionais e internacionais</w:t>
            </w:r>
          </w:p>
          <w:p w14:paraId="595A2664" w14:textId="77777777" w:rsidR="00DE19E1" w:rsidRPr="001C5F76" w:rsidRDefault="00DE19E1" w:rsidP="00E2153F">
            <w:pPr>
              <w:spacing w:line="360" w:lineRule="auto"/>
              <w:jc w:val="both"/>
              <w:rPr>
                <w:b w:val="0"/>
              </w:rPr>
            </w:pPr>
          </w:p>
        </w:tc>
      </w:tr>
      <w:tr w:rsidR="00DE19E1" w:rsidRPr="001C5F76" w14:paraId="53926F00" w14:textId="77777777" w:rsidTr="00E2153F">
        <w:tc>
          <w:tcPr>
            <w:cnfStyle w:val="001000000000" w:firstRow="0" w:lastRow="0" w:firstColumn="1" w:lastColumn="0" w:oddVBand="0" w:evenVBand="0" w:oddHBand="0" w:evenHBand="0" w:firstRowFirstColumn="0" w:firstRowLastColumn="0" w:lastRowFirstColumn="0" w:lastRowLastColumn="0"/>
            <w:tcW w:w="1730" w:type="dxa"/>
            <w:tcBorders>
              <w:top w:val="single" w:sz="4" w:space="0" w:color="auto"/>
              <w:left w:val="single" w:sz="4" w:space="0" w:color="auto"/>
              <w:bottom w:val="single" w:sz="4" w:space="0" w:color="auto"/>
              <w:right w:val="single" w:sz="4" w:space="0" w:color="auto"/>
            </w:tcBorders>
          </w:tcPr>
          <w:p w14:paraId="26A16D98" w14:textId="77777777" w:rsidR="00DE19E1" w:rsidRPr="001C5F76" w:rsidRDefault="00DE19E1" w:rsidP="00E2153F">
            <w:pPr>
              <w:spacing w:line="360" w:lineRule="auto"/>
              <w:jc w:val="center"/>
              <w:rPr>
                <w:b w:val="0"/>
              </w:rPr>
            </w:pPr>
            <w:r w:rsidRPr="001C5F76">
              <w:t>Número de Convênios</w:t>
            </w:r>
          </w:p>
        </w:tc>
        <w:tc>
          <w:tcPr>
            <w:tcW w:w="3061" w:type="dxa"/>
            <w:gridSpan w:val="9"/>
            <w:tcBorders>
              <w:top w:val="single" w:sz="4" w:space="0" w:color="auto"/>
              <w:left w:val="single" w:sz="4" w:space="0" w:color="auto"/>
              <w:bottom w:val="single" w:sz="4" w:space="0" w:color="auto"/>
              <w:right w:val="single" w:sz="4" w:space="0" w:color="auto"/>
            </w:tcBorders>
          </w:tcPr>
          <w:p w14:paraId="19F63783" w14:textId="77777777" w:rsidR="00DE19E1" w:rsidRPr="001C5F76" w:rsidRDefault="00DE19E1" w:rsidP="00E2153F">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1C5F76">
              <w:rPr>
                <w:b/>
              </w:rPr>
              <w:t>Descrição</w:t>
            </w:r>
          </w:p>
        </w:tc>
        <w:tc>
          <w:tcPr>
            <w:tcW w:w="1844" w:type="dxa"/>
            <w:gridSpan w:val="4"/>
            <w:tcBorders>
              <w:top w:val="single" w:sz="4" w:space="0" w:color="auto"/>
              <w:left w:val="single" w:sz="4" w:space="0" w:color="auto"/>
              <w:bottom w:val="single" w:sz="4" w:space="0" w:color="auto"/>
              <w:right w:val="single" w:sz="4" w:space="0" w:color="auto"/>
            </w:tcBorders>
          </w:tcPr>
          <w:p w14:paraId="15BC6785" w14:textId="77777777" w:rsidR="00DE19E1" w:rsidRPr="001C5F76" w:rsidRDefault="00DE19E1" w:rsidP="00E2153F">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1C5F76">
              <w:rPr>
                <w:b/>
              </w:rPr>
              <w:t>Nacionais</w:t>
            </w:r>
          </w:p>
        </w:tc>
        <w:tc>
          <w:tcPr>
            <w:tcW w:w="3856" w:type="dxa"/>
            <w:gridSpan w:val="5"/>
            <w:tcBorders>
              <w:top w:val="single" w:sz="4" w:space="0" w:color="auto"/>
              <w:left w:val="single" w:sz="4" w:space="0" w:color="auto"/>
              <w:bottom w:val="single" w:sz="4" w:space="0" w:color="auto"/>
              <w:right w:val="single" w:sz="4" w:space="0" w:color="auto"/>
            </w:tcBorders>
          </w:tcPr>
          <w:p w14:paraId="77DC255E"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Internacionais</w:t>
            </w:r>
          </w:p>
        </w:tc>
      </w:tr>
      <w:tr w:rsidR="00DE19E1" w:rsidRPr="001C5F76" w14:paraId="54041978"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Borders>
              <w:top w:val="single" w:sz="4" w:space="0" w:color="auto"/>
              <w:left w:val="single" w:sz="4" w:space="0" w:color="auto"/>
              <w:bottom w:val="single" w:sz="4" w:space="0" w:color="auto"/>
              <w:right w:val="single" w:sz="4" w:space="0" w:color="auto"/>
            </w:tcBorders>
          </w:tcPr>
          <w:p w14:paraId="33B9238D" w14:textId="77777777" w:rsidR="00DE19E1" w:rsidRPr="001C5F76" w:rsidRDefault="00DE19E1" w:rsidP="00E2153F">
            <w:pPr>
              <w:spacing w:line="360" w:lineRule="auto"/>
              <w:jc w:val="both"/>
              <w:rPr>
                <w:b w:val="0"/>
              </w:rPr>
            </w:pPr>
            <w:r w:rsidRPr="001C5F76">
              <w:t>Não se aplica</w:t>
            </w:r>
          </w:p>
        </w:tc>
        <w:tc>
          <w:tcPr>
            <w:tcW w:w="3061" w:type="dxa"/>
            <w:gridSpan w:val="9"/>
            <w:tcBorders>
              <w:top w:val="single" w:sz="4" w:space="0" w:color="auto"/>
              <w:left w:val="single" w:sz="4" w:space="0" w:color="auto"/>
              <w:bottom w:val="single" w:sz="4" w:space="0" w:color="auto"/>
              <w:right w:val="single" w:sz="4" w:space="0" w:color="auto"/>
            </w:tcBorders>
          </w:tcPr>
          <w:p w14:paraId="609595D0"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 se aplica</w:t>
            </w:r>
          </w:p>
        </w:tc>
        <w:tc>
          <w:tcPr>
            <w:tcW w:w="1844" w:type="dxa"/>
            <w:gridSpan w:val="4"/>
            <w:tcBorders>
              <w:top w:val="single" w:sz="4" w:space="0" w:color="auto"/>
              <w:left w:val="single" w:sz="4" w:space="0" w:color="auto"/>
              <w:bottom w:val="single" w:sz="4" w:space="0" w:color="auto"/>
              <w:right w:val="single" w:sz="4" w:space="0" w:color="auto"/>
            </w:tcBorders>
          </w:tcPr>
          <w:p w14:paraId="65A1323D"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Nãos e aplica</w:t>
            </w:r>
          </w:p>
        </w:tc>
        <w:tc>
          <w:tcPr>
            <w:tcW w:w="3856" w:type="dxa"/>
            <w:gridSpan w:val="5"/>
            <w:tcBorders>
              <w:top w:val="single" w:sz="4" w:space="0" w:color="auto"/>
              <w:left w:val="single" w:sz="4" w:space="0" w:color="auto"/>
              <w:bottom w:val="single" w:sz="4" w:space="0" w:color="auto"/>
              <w:right w:val="single" w:sz="4" w:space="0" w:color="auto"/>
            </w:tcBorders>
          </w:tcPr>
          <w:p w14:paraId="74113AA7"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 se aplica</w:t>
            </w:r>
          </w:p>
        </w:tc>
      </w:tr>
      <w:tr w:rsidR="00DE19E1" w:rsidRPr="001C5F76" w14:paraId="592516C3"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3C51F3B9" w14:textId="77777777" w:rsidR="00DE19E1" w:rsidRPr="001C5F76" w:rsidRDefault="00DE19E1" w:rsidP="00E2153F">
            <w:pPr>
              <w:spacing w:line="360" w:lineRule="auto"/>
              <w:jc w:val="both"/>
            </w:pPr>
            <w:r w:rsidRPr="001C5F76">
              <w:t>Observações:</w:t>
            </w:r>
          </w:p>
          <w:p w14:paraId="2EFFE5F6" w14:textId="77777777" w:rsidR="00DE19E1" w:rsidRPr="001C5F76" w:rsidRDefault="00DE19E1" w:rsidP="00E2153F">
            <w:pPr>
              <w:spacing w:line="360" w:lineRule="auto"/>
              <w:jc w:val="both"/>
            </w:pPr>
          </w:p>
          <w:p w14:paraId="2A25DB78" w14:textId="77777777" w:rsidR="00DE19E1" w:rsidRPr="001C5F76" w:rsidRDefault="00DE19E1" w:rsidP="00E2153F">
            <w:pPr>
              <w:spacing w:line="360" w:lineRule="auto"/>
              <w:jc w:val="both"/>
            </w:pPr>
            <w:r w:rsidRPr="001C5F76">
              <w:t>Oxford possui um escritório especializado para organizar as demandas de estágios nacionais e internacionais para seus alunos e chama-se “Internship Office”.</w:t>
            </w:r>
          </w:p>
          <w:p w14:paraId="096160EA" w14:textId="77777777" w:rsidR="00DE19E1" w:rsidRPr="001C5F76" w:rsidRDefault="00DE19E1" w:rsidP="00E2153F">
            <w:pPr>
              <w:spacing w:line="360" w:lineRule="auto"/>
              <w:jc w:val="both"/>
            </w:pPr>
            <w:r w:rsidRPr="001C5F76">
              <w:t xml:space="preserve">O escritório oferece 4 diferentes programas a saber: </w:t>
            </w:r>
          </w:p>
          <w:p w14:paraId="77CFAE12" w14:textId="77777777" w:rsidR="00DE19E1" w:rsidRPr="001C5F76" w:rsidRDefault="00DE19E1" w:rsidP="00E2153F">
            <w:pPr>
              <w:spacing w:line="360" w:lineRule="auto"/>
              <w:jc w:val="both"/>
            </w:pPr>
          </w:p>
          <w:p w14:paraId="7555EA29" w14:textId="77777777" w:rsidR="00DE19E1" w:rsidRPr="001C5F76" w:rsidRDefault="00DE19E1" w:rsidP="00E2153F">
            <w:pPr>
              <w:spacing w:line="360" w:lineRule="auto"/>
              <w:jc w:val="both"/>
              <w:rPr>
                <w:b w:val="0"/>
                <w:bCs w:val="0"/>
              </w:rPr>
            </w:pPr>
            <w:r w:rsidRPr="001C5F76">
              <w:t>- The Summer Internship Programme</w:t>
            </w:r>
          </w:p>
          <w:p w14:paraId="7C053062" w14:textId="77777777" w:rsidR="00DE19E1" w:rsidRPr="001C5F76" w:rsidRDefault="00DE19E1" w:rsidP="00E2153F">
            <w:pPr>
              <w:spacing w:line="360" w:lineRule="auto"/>
              <w:jc w:val="both"/>
            </w:pPr>
            <w:r w:rsidRPr="001C5F76">
              <w:t>Os estágios são oferecidos por nossos ex-alunos internacionais, por corporações multinacionais, por ONGs líderes mundiais, por instituições de pesquisa de ponta e muitas outras organizações, e todos estão disponíveis exclusivamente para alunos da Universidade de Oxford. Desde o início do programa, os alunos concluíram estágios em mais de 40 países e ganharam uma valiosa experiência de trabalho enquanto viajavam para locais emocionantes e exóticos. O Summer Internship Program também oferece a oportunidade de explorar opções de experiência de trabalho em uma variedade de setores no Reino Unido. O programa está aberto a todos os atuais alunos matriculados da Oxford University (graduandos e pós-graduados), incluindo os que estão no último ano de estudo.</w:t>
            </w:r>
          </w:p>
          <w:p w14:paraId="6E1E2BCA" w14:textId="77777777" w:rsidR="00DE19E1" w:rsidRPr="001C5F76" w:rsidRDefault="00DE19E1" w:rsidP="00E2153F">
            <w:pPr>
              <w:spacing w:line="360" w:lineRule="auto"/>
              <w:jc w:val="both"/>
            </w:pPr>
          </w:p>
          <w:p w14:paraId="1682DEE5" w14:textId="77777777" w:rsidR="00DE19E1" w:rsidRPr="001C5F76" w:rsidRDefault="00DE19E1" w:rsidP="00E2153F">
            <w:pPr>
              <w:spacing w:line="360" w:lineRule="auto"/>
              <w:jc w:val="both"/>
            </w:pPr>
            <w:r w:rsidRPr="001C5F76">
              <w:t>Os estágios ainda não estavam abertos então não foi possível checar quais empresas ofertavam vagas na data da coleta em 13 de agosto de 2021. Contudo foi possível observar as áreas de oferta de vagas nacionais e internacionais.</w:t>
            </w:r>
          </w:p>
          <w:p w14:paraId="35ADAA12" w14:textId="77777777" w:rsidR="00DE19E1" w:rsidRPr="001C5F76" w:rsidRDefault="00DE19E1" w:rsidP="00E2153F">
            <w:pPr>
              <w:spacing w:line="360" w:lineRule="auto"/>
              <w:jc w:val="both"/>
            </w:pPr>
          </w:p>
          <w:p w14:paraId="626234D3" w14:textId="77777777" w:rsidR="00DE19E1" w:rsidRPr="001C5F76" w:rsidRDefault="00DE19E1" w:rsidP="00DE19E1">
            <w:pPr>
              <w:numPr>
                <w:ilvl w:val="0"/>
                <w:numId w:val="29"/>
              </w:numPr>
              <w:spacing w:line="360" w:lineRule="auto"/>
              <w:contextualSpacing/>
              <w:jc w:val="both"/>
            </w:pPr>
            <w:r w:rsidRPr="001C5F76">
              <w:t>Advertising, Marketing and Communications</w:t>
            </w:r>
          </w:p>
          <w:p w14:paraId="6C917D02" w14:textId="77777777" w:rsidR="00DE19E1" w:rsidRPr="001C5F76" w:rsidRDefault="00DE19E1" w:rsidP="00DE19E1">
            <w:pPr>
              <w:numPr>
                <w:ilvl w:val="0"/>
                <w:numId w:val="29"/>
              </w:numPr>
              <w:spacing w:line="360" w:lineRule="auto"/>
              <w:contextualSpacing/>
              <w:jc w:val="both"/>
            </w:pPr>
            <w:r w:rsidRPr="001C5F76">
              <w:t>Arts and Heritage</w:t>
            </w:r>
          </w:p>
          <w:p w14:paraId="2475A752" w14:textId="77777777" w:rsidR="00DE19E1" w:rsidRPr="001C5F76" w:rsidRDefault="00DE19E1" w:rsidP="00DE19E1">
            <w:pPr>
              <w:numPr>
                <w:ilvl w:val="0"/>
                <w:numId w:val="29"/>
              </w:numPr>
              <w:spacing w:line="360" w:lineRule="auto"/>
              <w:contextualSpacing/>
              <w:jc w:val="both"/>
              <w:rPr>
                <w:lang w:val="es-ES"/>
              </w:rPr>
            </w:pPr>
            <w:r w:rsidRPr="001C5F76">
              <w:rPr>
                <w:lang w:val="es-ES"/>
              </w:rPr>
              <w:t>Consultancy</w:t>
            </w:r>
          </w:p>
          <w:p w14:paraId="50A0B65A" w14:textId="77777777" w:rsidR="00DE19E1" w:rsidRPr="001C5F76" w:rsidRDefault="00DE19E1" w:rsidP="00DE19E1">
            <w:pPr>
              <w:numPr>
                <w:ilvl w:val="0"/>
                <w:numId w:val="29"/>
              </w:numPr>
              <w:spacing w:line="360" w:lineRule="auto"/>
              <w:contextualSpacing/>
              <w:jc w:val="both"/>
              <w:rPr>
                <w:lang w:val="es-ES"/>
              </w:rPr>
            </w:pPr>
            <w:r w:rsidRPr="001C5F76">
              <w:rPr>
                <w:lang w:val="es-ES"/>
              </w:rPr>
              <w:t>Education</w:t>
            </w:r>
          </w:p>
          <w:p w14:paraId="40807210" w14:textId="77777777" w:rsidR="00DE19E1" w:rsidRPr="001C5F76" w:rsidRDefault="00DE19E1" w:rsidP="00DE19E1">
            <w:pPr>
              <w:numPr>
                <w:ilvl w:val="0"/>
                <w:numId w:val="29"/>
              </w:numPr>
              <w:spacing w:line="360" w:lineRule="auto"/>
              <w:contextualSpacing/>
              <w:jc w:val="both"/>
              <w:rPr>
                <w:lang w:val="es-ES"/>
              </w:rPr>
            </w:pPr>
            <w:r w:rsidRPr="001C5F76">
              <w:rPr>
                <w:lang w:val="es-ES"/>
              </w:rPr>
              <w:t>Energy, Sustainability and the Environment</w:t>
            </w:r>
          </w:p>
          <w:p w14:paraId="1AA4A1B6" w14:textId="77777777" w:rsidR="00DE19E1" w:rsidRPr="001C5F76" w:rsidRDefault="00DE19E1" w:rsidP="00DE19E1">
            <w:pPr>
              <w:numPr>
                <w:ilvl w:val="0"/>
                <w:numId w:val="29"/>
              </w:numPr>
              <w:spacing w:line="360" w:lineRule="auto"/>
              <w:contextualSpacing/>
              <w:jc w:val="both"/>
            </w:pPr>
            <w:r w:rsidRPr="001C5F76">
              <w:t>Financial Services</w:t>
            </w:r>
          </w:p>
          <w:p w14:paraId="38DC8B0D" w14:textId="77777777" w:rsidR="00DE19E1" w:rsidRPr="001C5F76" w:rsidRDefault="00DE19E1" w:rsidP="00DE19E1">
            <w:pPr>
              <w:numPr>
                <w:ilvl w:val="0"/>
                <w:numId w:val="29"/>
              </w:numPr>
              <w:spacing w:line="360" w:lineRule="auto"/>
              <w:contextualSpacing/>
              <w:jc w:val="both"/>
            </w:pPr>
            <w:r w:rsidRPr="001C5F76">
              <w:t>Law</w:t>
            </w:r>
          </w:p>
          <w:p w14:paraId="7FCF3395" w14:textId="77777777" w:rsidR="00DE19E1" w:rsidRPr="007B6DC0" w:rsidRDefault="00DE19E1" w:rsidP="00DE19E1">
            <w:pPr>
              <w:numPr>
                <w:ilvl w:val="0"/>
                <w:numId w:val="29"/>
              </w:numPr>
              <w:spacing w:line="360" w:lineRule="auto"/>
              <w:contextualSpacing/>
              <w:jc w:val="both"/>
              <w:rPr>
                <w:lang w:val="en-US"/>
              </w:rPr>
            </w:pPr>
            <w:r w:rsidRPr="007B6DC0">
              <w:rPr>
                <w:lang w:val="en-US"/>
              </w:rPr>
              <w:t>Tech: IT, Data, AI &amp; Machine Learning</w:t>
            </w:r>
          </w:p>
          <w:p w14:paraId="4AFACE5E" w14:textId="77777777" w:rsidR="00DE19E1" w:rsidRPr="007B6DC0" w:rsidRDefault="00DE19E1" w:rsidP="00E2153F">
            <w:pPr>
              <w:spacing w:line="360" w:lineRule="auto"/>
              <w:jc w:val="both"/>
              <w:rPr>
                <w:lang w:val="en-US"/>
              </w:rPr>
            </w:pPr>
          </w:p>
          <w:p w14:paraId="12CBD414" w14:textId="77777777" w:rsidR="00DE19E1" w:rsidRPr="001C5F76" w:rsidRDefault="00DE19E1" w:rsidP="00E2153F">
            <w:pPr>
              <w:spacing w:line="360" w:lineRule="auto"/>
              <w:jc w:val="both"/>
            </w:pPr>
            <w:r w:rsidRPr="001C5F76">
              <w:lastRenderedPageBreak/>
              <w:t>Manual com experiências dos alunos sobre a experiência</w:t>
            </w:r>
          </w:p>
          <w:p w14:paraId="3093B445" w14:textId="77777777" w:rsidR="00DE19E1" w:rsidRPr="001C5F76" w:rsidRDefault="00A515B3" w:rsidP="00E2153F">
            <w:pPr>
              <w:spacing w:line="360" w:lineRule="auto"/>
              <w:jc w:val="both"/>
            </w:pPr>
            <w:hyperlink r:id="rId181" w:anchor="/" w:history="1">
              <w:r w:rsidR="00DE19E1" w:rsidRPr="001C5F76">
                <w:rPr>
                  <w:color w:val="4875BD" w:themeColor="accent1"/>
                  <w:u w:val="single"/>
                </w:rPr>
                <w:t>https://www.careers.ox.ac.uk/internship-experience#/</w:t>
              </w:r>
            </w:hyperlink>
            <w:r w:rsidR="00DE19E1" w:rsidRPr="001C5F76">
              <w:t xml:space="preserve"> </w:t>
            </w:r>
          </w:p>
          <w:p w14:paraId="2D778CF7" w14:textId="77777777" w:rsidR="00DE19E1" w:rsidRPr="001C5F76" w:rsidRDefault="00DE19E1" w:rsidP="00E2153F">
            <w:pPr>
              <w:spacing w:line="360" w:lineRule="auto"/>
              <w:jc w:val="both"/>
            </w:pPr>
          </w:p>
          <w:p w14:paraId="5E67A7A9" w14:textId="77777777" w:rsidR="00DE19E1" w:rsidRPr="001C5F76" w:rsidRDefault="00DE19E1" w:rsidP="00E2153F">
            <w:pPr>
              <w:spacing w:line="360" w:lineRule="auto"/>
              <w:jc w:val="both"/>
            </w:pPr>
            <w:r w:rsidRPr="001C5F76">
              <w:t>Mais informações no link:</w:t>
            </w:r>
          </w:p>
          <w:p w14:paraId="4997E69F" w14:textId="77777777" w:rsidR="00DE19E1" w:rsidRPr="001C5F76" w:rsidRDefault="00A515B3" w:rsidP="00E2153F">
            <w:pPr>
              <w:spacing w:line="360" w:lineRule="auto"/>
              <w:jc w:val="both"/>
            </w:pPr>
            <w:hyperlink r:id="rId182" w:anchor="/" w:history="1">
              <w:r w:rsidR="00DE19E1" w:rsidRPr="001C5F76">
                <w:rPr>
                  <w:color w:val="4875BD" w:themeColor="accent1"/>
                  <w:u w:val="single"/>
                </w:rPr>
                <w:t>https://www.careers.ox.ac.uk/the-summer-internship-programme#/</w:t>
              </w:r>
            </w:hyperlink>
            <w:r w:rsidR="00DE19E1" w:rsidRPr="001C5F76">
              <w:t xml:space="preserve"> </w:t>
            </w:r>
          </w:p>
          <w:p w14:paraId="63772EA3" w14:textId="77777777" w:rsidR="00DE19E1" w:rsidRPr="001C5F76" w:rsidRDefault="00DE19E1" w:rsidP="00E2153F">
            <w:pPr>
              <w:spacing w:line="360" w:lineRule="auto"/>
              <w:jc w:val="both"/>
            </w:pPr>
          </w:p>
          <w:p w14:paraId="6E450AFD" w14:textId="77777777" w:rsidR="00DE19E1" w:rsidRPr="001C5F76" w:rsidRDefault="00DE19E1" w:rsidP="00E2153F">
            <w:pPr>
              <w:spacing w:line="360" w:lineRule="auto"/>
              <w:jc w:val="both"/>
            </w:pPr>
          </w:p>
          <w:p w14:paraId="69C37BB3" w14:textId="77777777" w:rsidR="00DE19E1" w:rsidRPr="001C5F76" w:rsidRDefault="00DE19E1" w:rsidP="00E2153F">
            <w:pPr>
              <w:spacing w:line="360" w:lineRule="auto"/>
              <w:jc w:val="both"/>
            </w:pPr>
          </w:p>
          <w:p w14:paraId="0B6D8288" w14:textId="77777777" w:rsidR="00DE19E1" w:rsidRPr="001C5F76" w:rsidRDefault="00DE19E1" w:rsidP="00E2153F">
            <w:pPr>
              <w:spacing w:line="360" w:lineRule="auto"/>
              <w:jc w:val="both"/>
              <w:rPr>
                <w:b w:val="0"/>
                <w:bCs w:val="0"/>
              </w:rPr>
            </w:pPr>
            <w:r w:rsidRPr="001C5F76">
              <w:t>- The Micro-Internship Programme</w:t>
            </w:r>
          </w:p>
          <w:p w14:paraId="03356298" w14:textId="77777777" w:rsidR="00DE19E1" w:rsidRPr="001C5F76" w:rsidRDefault="00DE19E1" w:rsidP="00E2153F">
            <w:pPr>
              <w:spacing w:line="360" w:lineRule="auto"/>
              <w:jc w:val="both"/>
            </w:pPr>
            <w:r w:rsidRPr="001C5F76">
              <w:t>Os microestágios são oportunidades de aprendizagem e desenvolvimento voluntárias (e não remuneradas) de 2 a 5 dias, oferecidas exclusivamente aos alunos da Universidade de Oxford. Cada colocação dá ao aluno a oportunidade de observar e ajudar em um projeto notável. O objetivo é desenvolver competências de empregabilidade, adicionar ao currículo do aluno experiência de mercado e oferecer-lhe a oportunidade de fazer novos contatos profissionais.</w:t>
            </w:r>
          </w:p>
          <w:p w14:paraId="321403C3" w14:textId="77777777" w:rsidR="00DE19E1" w:rsidRPr="001C5F76" w:rsidRDefault="00DE19E1" w:rsidP="00E2153F">
            <w:pPr>
              <w:spacing w:line="360" w:lineRule="auto"/>
              <w:jc w:val="both"/>
            </w:pPr>
            <w:r w:rsidRPr="001C5F76">
              <w:t>Há uma ampla gama de colocações anunciadas por meio do programa em vários setores e envolvendo muitas habilidades diferentes, porém o site não informava empresas parceiras ou vagas abertas na data da coleta, em 13 de agosto de 2021. Apenas as áreas puderam ser coletadas:</w:t>
            </w:r>
          </w:p>
          <w:p w14:paraId="44E11F91" w14:textId="77777777" w:rsidR="00DE19E1" w:rsidRPr="001C5F76" w:rsidRDefault="00DE19E1" w:rsidP="00E2153F">
            <w:pPr>
              <w:spacing w:line="360" w:lineRule="auto"/>
              <w:jc w:val="both"/>
            </w:pPr>
          </w:p>
          <w:p w14:paraId="0B84D259" w14:textId="77777777" w:rsidR="00DE19E1" w:rsidRPr="001C5F76" w:rsidRDefault="00DE19E1" w:rsidP="00E2153F">
            <w:pPr>
              <w:spacing w:line="360" w:lineRule="auto"/>
              <w:jc w:val="both"/>
            </w:pPr>
          </w:p>
          <w:p w14:paraId="01865D8D" w14:textId="77777777" w:rsidR="00DE19E1" w:rsidRPr="001C5F76" w:rsidRDefault="00DE19E1" w:rsidP="00E2153F">
            <w:pPr>
              <w:spacing w:line="360" w:lineRule="auto"/>
              <w:jc w:val="both"/>
            </w:pPr>
          </w:p>
          <w:p w14:paraId="1ABFAD10" w14:textId="77777777" w:rsidR="00DE19E1" w:rsidRPr="001C5F76" w:rsidRDefault="00DE19E1" w:rsidP="00E2153F">
            <w:pPr>
              <w:spacing w:line="360" w:lineRule="auto"/>
              <w:jc w:val="both"/>
            </w:pPr>
          </w:p>
          <w:p w14:paraId="465EF330" w14:textId="77777777" w:rsidR="00DE19E1" w:rsidRPr="001C5F76" w:rsidRDefault="00DE19E1" w:rsidP="00DE19E1">
            <w:pPr>
              <w:numPr>
                <w:ilvl w:val="0"/>
                <w:numId w:val="30"/>
              </w:numPr>
              <w:spacing w:line="360" w:lineRule="auto"/>
              <w:contextualSpacing/>
              <w:jc w:val="both"/>
            </w:pPr>
            <w:r w:rsidRPr="001C5F76">
              <w:t>Academia &amp; Higher Education</w:t>
            </w:r>
          </w:p>
          <w:p w14:paraId="43A45C81" w14:textId="77777777" w:rsidR="00DE19E1" w:rsidRPr="001C5F76" w:rsidRDefault="00DE19E1" w:rsidP="00DE19E1">
            <w:pPr>
              <w:numPr>
                <w:ilvl w:val="0"/>
                <w:numId w:val="30"/>
              </w:numPr>
              <w:spacing w:line="360" w:lineRule="auto"/>
              <w:contextualSpacing/>
              <w:jc w:val="both"/>
            </w:pPr>
            <w:r w:rsidRPr="001C5F76">
              <w:t>Advertising, Marketing &amp; Communications</w:t>
            </w:r>
          </w:p>
          <w:p w14:paraId="137D9DC7" w14:textId="77777777" w:rsidR="00DE19E1" w:rsidRPr="001C5F76" w:rsidRDefault="00DE19E1" w:rsidP="00DE19E1">
            <w:pPr>
              <w:numPr>
                <w:ilvl w:val="0"/>
                <w:numId w:val="30"/>
              </w:numPr>
              <w:spacing w:line="360" w:lineRule="auto"/>
              <w:contextualSpacing/>
              <w:jc w:val="both"/>
            </w:pPr>
            <w:r w:rsidRPr="001C5F76">
              <w:t>Arts &amp; Heritage</w:t>
            </w:r>
          </w:p>
          <w:p w14:paraId="551A97C2" w14:textId="77777777" w:rsidR="00DE19E1" w:rsidRPr="001C5F76" w:rsidRDefault="00DE19E1" w:rsidP="00DE19E1">
            <w:pPr>
              <w:numPr>
                <w:ilvl w:val="0"/>
                <w:numId w:val="30"/>
              </w:numPr>
              <w:spacing w:line="360" w:lineRule="auto"/>
              <w:contextualSpacing/>
              <w:jc w:val="both"/>
            </w:pPr>
            <w:r w:rsidRPr="001C5F76">
              <w:t>Banking &amp; Investment</w:t>
            </w:r>
          </w:p>
          <w:p w14:paraId="783CDDB7" w14:textId="77777777" w:rsidR="00DE19E1" w:rsidRPr="001C5F76" w:rsidRDefault="00DE19E1" w:rsidP="00DE19E1">
            <w:pPr>
              <w:numPr>
                <w:ilvl w:val="0"/>
                <w:numId w:val="30"/>
              </w:numPr>
              <w:spacing w:line="360" w:lineRule="auto"/>
              <w:contextualSpacing/>
              <w:jc w:val="both"/>
            </w:pPr>
            <w:r w:rsidRPr="001C5F76">
              <w:t>Buying, Selling &amp; Merchandising</w:t>
            </w:r>
          </w:p>
          <w:p w14:paraId="5212B96E" w14:textId="77777777" w:rsidR="00DE19E1" w:rsidRPr="007B6DC0" w:rsidRDefault="00DE19E1" w:rsidP="00DE19E1">
            <w:pPr>
              <w:numPr>
                <w:ilvl w:val="0"/>
                <w:numId w:val="30"/>
              </w:numPr>
              <w:spacing w:line="360" w:lineRule="auto"/>
              <w:contextualSpacing/>
              <w:jc w:val="both"/>
              <w:rPr>
                <w:lang w:val="en-US"/>
              </w:rPr>
            </w:pPr>
            <w:r w:rsidRPr="007B6DC0">
              <w:rPr>
                <w:lang w:val="en-US"/>
              </w:rPr>
              <w:t>Charity, Development, Not for Profit &amp; Think Tanks</w:t>
            </w:r>
          </w:p>
          <w:p w14:paraId="336085DB" w14:textId="77777777" w:rsidR="00DE19E1" w:rsidRPr="001C5F76" w:rsidRDefault="00DE19E1" w:rsidP="00DE19E1">
            <w:pPr>
              <w:numPr>
                <w:ilvl w:val="0"/>
                <w:numId w:val="30"/>
              </w:numPr>
              <w:spacing w:line="360" w:lineRule="auto"/>
              <w:contextualSpacing/>
              <w:jc w:val="both"/>
            </w:pPr>
            <w:r w:rsidRPr="001C5F76">
              <w:t>Civil Engineering, Construction &amp; Property</w:t>
            </w:r>
          </w:p>
          <w:p w14:paraId="18FBF4AF" w14:textId="77777777" w:rsidR="00DE19E1" w:rsidRPr="001C5F76" w:rsidRDefault="00DE19E1" w:rsidP="00DE19E1">
            <w:pPr>
              <w:numPr>
                <w:ilvl w:val="0"/>
                <w:numId w:val="30"/>
              </w:numPr>
              <w:spacing w:line="360" w:lineRule="auto"/>
              <w:contextualSpacing/>
              <w:jc w:val="both"/>
            </w:pPr>
            <w:r w:rsidRPr="001C5F76">
              <w:t>Consultancy</w:t>
            </w:r>
          </w:p>
          <w:p w14:paraId="14E6940D" w14:textId="77777777" w:rsidR="00DE19E1" w:rsidRPr="001C5F76" w:rsidRDefault="00DE19E1" w:rsidP="00DE19E1">
            <w:pPr>
              <w:numPr>
                <w:ilvl w:val="0"/>
                <w:numId w:val="30"/>
              </w:numPr>
              <w:spacing w:line="360" w:lineRule="auto"/>
              <w:contextualSpacing/>
              <w:jc w:val="both"/>
            </w:pPr>
            <w:r w:rsidRPr="001C5F76">
              <w:t>Consumer Goods &amp; Retail</w:t>
            </w:r>
          </w:p>
          <w:p w14:paraId="6CCA6C38" w14:textId="77777777" w:rsidR="00DE19E1" w:rsidRPr="001C5F76" w:rsidRDefault="00DE19E1" w:rsidP="00DE19E1">
            <w:pPr>
              <w:numPr>
                <w:ilvl w:val="0"/>
                <w:numId w:val="30"/>
              </w:numPr>
              <w:spacing w:line="360" w:lineRule="auto"/>
              <w:contextualSpacing/>
              <w:jc w:val="both"/>
            </w:pPr>
            <w:r w:rsidRPr="001C5F76">
              <w:t>Education</w:t>
            </w:r>
          </w:p>
          <w:p w14:paraId="2CA694B5" w14:textId="77777777" w:rsidR="00DE19E1" w:rsidRPr="001C5F76" w:rsidRDefault="00DE19E1" w:rsidP="00DE19E1">
            <w:pPr>
              <w:numPr>
                <w:ilvl w:val="0"/>
                <w:numId w:val="30"/>
              </w:numPr>
              <w:spacing w:line="360" w:lineRule="auto"/>
              <w:contextualSpacing/>
              <w:jc w:val="both"/>
            </w:pPr>
            <w:r w:rsidRPr="001C5F76">
              <w:t>Energy, Sustainability &amp; the Environment</w:t>
            </w:r>
          </w:p>
          <w:p w14:paraId="0DA3C10B" w14:textId="77777777" w:rsidR="00DE19E1" w:rsidRPr="001C5F76" w:rsidRDefault="00DE19E1" w:rsidP="00DE19E1">
            <w:pPr>
              <w:numPr>
                <w:ilvl w:val="0"/>
                <w:numId w:val="30"/>
              </w:numPr>
              <w:spacing w:line="360" w:lineRule="auto"/>
              <w:contextualSpacing/>
              <w:jc w:val="both"/>
            </w:pPr>
            <w:r w:rsidRPr="001C5F76">
              <w:t>Engineering &amp; Manufacturing</w:t>
            </w:r>
          </w:p>
          <w:p w14:paraId="5E317BF1" w14:textId="77777777" w:rsidR="00DE19E1" w:rsidRPr="001C5F76" w:rsidRDefault="00DE19E1" w:rsidP="00DE19E1">
            <w:pPr>
              <w:numPr>
                <w:ilvl w:val="0"/>
                <w:numId w:val="30"/>
              </w:numPr>
              <w:spacing w:line="360" w:lineRule="auto"/>
              <w:contextualSpacing/>
              <w:jc w:val="both"/>
            </w:pPr>
            <w:r w:rsidRPr="001C5F76">
              <w:t>Government &amp; Public Services</w:t>
            </w:r>
          </w:p>
          <w:p w14:paraId="2B6CA831" w14:textId="77777777" w:rsidR="00DE19E1" w:rsidRPr="001C5F76" w:rsidRDefault="00DE19E1" w:rsidP="00DE19E1">
            <w:pPr>
              <w:numPr>
                <w:ilvl w:val="0"/>
                <w:numId w:val="30"/>
              </w:numPr>
              <w:spacing w:line="360" w:lineRule="auto"/>
              <w:contextualSpacing/>
              <w:jc w:val="both"/>
            </w:pPr>
            <w:r w:rsidRPr="001C5F76">
              <w:t>HR &amp; Recruitment</w:t>
            </w:r>
          </w:p>
          <w:p w14:paraId="027D18E6" w14:textId="77777777" w:rsidR="00DE19E1" w:rsidRPr="001C5F76" w:rsidRDefault="00DE19E1" w:rsidP="00DE19E1">
            <w:pPr>
              <w:numPr>
                <w:ilvl w:val="0"/>
                <w:numId w:val="30"/>
              </w:numPr>
              <w:spacing w:line="360" w:lineRule="auto"/>
              <w:contextualSpacing/>
              <w:jc w:val="both"/>
            </w:pPr>
            <w:r w:rsidRPr="001C5F76">
              <w:lastRenderedPageBreak/>
              <w:t>Health &amp; Social Care</w:t>
            </w:r>
          </w:p>
          <w:p w14:paraId="1430F2C5" w14:textId="77777777" w:rsidR="00DE19E1" w:rsidRPr="001C5F76" w:rsidRDefault="00DE19E1" w:rsidP="00DE19E1">
            <w:pPr>
              <w:numPr>
                <w:ilvl w:val="0"/>
                <w:numId w:val="30"/>
              </w:numPr>
              <w:spacing w:line="360" w:lineRule="auto"/>
              <w:contextualSpacing/>
              <w:jc w:val="both"/>
            </w:pPr>
            <w:r w:rsidRPr="001C5F76">
              <w:t>Language Services</w:t>
            </w:r>
          </w:p>
          <w:p w14:paraId="34DE206C" w14:textId="77777777" w:rsidR="00DE19E1" w:rsidRPr="001C5F76" w:rsidRDefault="00DE19E1" w:rsidP="00DE19E1">
            <w:pPr>
              <w:numPr>
                <w:ilvl w:val="0"/>
                <w:numId w:val="30"/>
              </w:numPr>
              <w:spacing w:line="360" w:lineRule="auto"/>
              <w:contextualSpacing/>
              <w:jc w:val="both"/>
            </w:pPr>
            <w:r w:rsidRPr="001C5F76">
              <w:t>Law</w:t>
            </w:r>
          </w:p>
          <w:p w14:paraId="488EAA32" w14:textId="77777777" w:rsidR="00DE19E1" w:rsidRPr="001C5F76" w:rsidRDefault="00DE19E1" w:rsidP="00DE19E1">
            <w:pPr>
              <w:numPr>
                <w:ilvl w:val="0"/>
                <w:numId w:val="30"/>
              </w:numPr>
              <w:spacing w:line="360" w:lineRule="auto"/>
              <w:contextualSpacing/>
              <w:jc w:val="both"/>
            </w:pPr>
            <w:r w:rsidRPr="001C5F76">
              <w:t>Logistics &amp; Transport</w:t>
            </w:r>
          </w:p>
          <w:p w14:paraId="24242DA3" w14:textId="77777777" w:rsidR="00DE19E1" w:rsidRPr="001C5F76" w:rsidRDefault="00DE19E1" w:rsidP="00DE19E1">
            <w:pPr>
              <w:numPr>
                <w:ilvl w:val="0"/>
                <w:numId w:val="30"/>
              </w:numPr>
              <w:spacing w:line="360" w:lineRule="auto"/>
              <w:contextualSpacing/>
              <w:jc w:val="both"/>
            </w:pPr>
            <w:r w:rsidRPr="001C5F76">
              <w:t>Management, Business &amp; Information Services</w:t>
            </w:r>
          </w:p>
          <w:p w14:paraId="1AF78828" w14:textId="77777777" w:rsidR="00DE19E1" w:rsidRPr="001C5F76" w:rsidRDefault="00DE19E1" w:rsidP="00DE19E1">
            <w:pPr>
              <w:numPr>
                <w:ilvl w:val="0"/>
                <w:numId w:val="30"/>
              </w:numPr>
              <w:spacing w:line="360" w:lineRule="auto"/>
              <w:contextualSpacing/>
              <w:jc w:val="both"/>
            </w:pPr>
            <w:r w:rsidRPr="001C5F76">
              <w:t>Media, Journalism &amp; Publishing</w:t>
            </w:r>
          </w:p>
          <w:p w14:paraId="252F1404" w14:textId="77777777" w:rsidR="00DE19E1" w:rsidRPr="007B6DC0" w:rsidRDefault="00DE19E1" w:rsidP="00DE19E1">
            <w:pPr>
              <w:numPr>
                <w:ilvl w:val="0"/>
                <w:numId w:val="30"/>
              </w:numPr>
              <w:spacing w:line="360" w:lineRule="auto"/>
              <w:contextualSpacing/>
              <w:jc w:val="both"/>
              <w:rPr>
                <w:lang w:val="en-US"/>
              </w:rPr>
            </w:pPr>
            <w:r w:rsidRPr="007B6DC0">
              <w:rPr>
                <w:lang w:val="en-US"/>
              </w:rPr>
              <w:t>Scientific R&amp;D &amp; Other Research Services</w:t>
            </w:r>
          </w:p>
          <w:p w14:paraId="1A1F9ABF" w14:textId="77777777" w:rsidR="00DE19E1" w:rsidRPr="001C5F76" w:rsidRDefault="00DE19E1" w:rsidP="00DE19E1">
            <w:pPr>
              <w:numPr>
                <w:ilvl w:val="0"/>
                <w:numId w:val="30"/>
              </w:numPr>
              <w:spacing w:line="360" w:lineRule="auto"/>
              <w:contextualSpacing/>
              <w:jc w:val="both"/>
            </w:pPr>
            <w:r w:rsidRPr="001C5F76">
              <w:t>Sport, Leisure &amp; Tourism</w:t>
            </w:r>
          </w:p>
          <w:p w14:paraId="49805B31" w14:textId="77777777" w:rsidR="00DE19E1" w:rsidRPr="007B6DC0" w:rsidRDefault="00DE19E1" w:rsidP="00DE19E1">
            <w:pPr>
              <w:numPr>
                <w:ilvl w:val="0"/>
                <w:numId w:val="30"/>
              </w:numPr>
              <w:spacing w:line="360" w:lineRule="auto"/>
              <w:contextualSpacing/>
              <w:jc w:val="both"/>
              <w:rPr>
                <w:lang w:val="en-US"/>
              </w:rPr>
            </w:pPr>
            <w:r w:rsidRPr="007B6DC0">
              <w:rPr>
                <w:lang w:val="en-US"/>
              </w:rPr>
              <w:t>Tech: IT, Data, AI &amp; Machine Learning</w:t>
            </w:r>
          </w:p>
          <w:p w14:paraId="5C373D6B" w14:textId="77777777" w:rsidR="00DE19E1" w:rsidRPr="007B6DC0" w:rsidRDefault="00DE19E1" w:rsidP="00E2153F">
            <w:pPr>
              <w:spacing w:line="360" w:lineRule="auto"/>
              <w:jc w:val="both"/>
              <w:rPr>
                <w:lang w:val="en-US"/>
              </w:rPr>
            </w:pPr>
          </w:p>
          <w:p w14:paraId="4E3C0ACF" w14:textId="77777777" w:rsidR="00DE19E1" w:rsidRPr="001C5F76" w:rsidRDefault="00DE19E1" w:rsidP="00E2153F">
            <w:pPr>
              <w:spacing w:line="360" w:lineRule="auto"/>
              <w:jc w:val="both"/>
            </w:pPr>
            <w:r w:rsidRPr="001C5F76">
              <w:t>Mais informações no link:</w:t>
            </w:r>
          </w:p>
          <w:p w14:paraId="70779857" w14:textId="77777777" w:rsidR="00DE19E1" w:rsidRPr="001C5F76" w:rsidRDefault="00A515B3" w:rsidP="00E2153F">
            <w:pPr>
              <w:spacing w:line="360" w:lineRule="auto"/>
              <w:jc w:val="both"/>
            </w:pPr>
            <w:hyperlink r:id="rId183" w:anchor="/" w:history="1">
              <w:r w:rsidR="00DE19E1" w:rsidRPr="001C5F76">
                <w:rPr>
                  <w:color w:val="4875BD" w:themeColor="accent1"/>
                  <w:u w:val="single"/>
                </w:rPr>
                <w:t>https://www.careers.ox.ac.uk/micros#/</w:t>
              </w:r>
            </w:hyperlink>
            <w:r w:rsidR="00DE19E1" w:rsidRPr="001C5F76">
              <w:t xml:space="preserve"> </w:t>
            </w:r>
          </w:p>
          <w:p w14:paraId="371C2616" w14:textId="77777777" w:rsidR="00DE19E1" w:rsidRPr="001C5F76" w:rsidRDefault="00DE19E1" w:rsidP="00E2153F">
            <w:pPr>
              <w:spacing w:line="360" w:lineRule="auto"/>
              <w:jc w:val="both"/>
            </w:pPr>
          </w:p>
          <w:p w14:paraId="4DEDE3CC" w14:textId="77777777" w:rsidR="00DE19E1" w:rsidRPr="001C5F76" w:rsidRDefault="00DE19E1" w:rsidP="00E2153F">
            <w:pPr>
              <w:spacing w:line="360" w:lineRule="auto"/>
              <w:jc w:val="both"/>
            </w:pPr>
          </w:p>
          <w:p w14:paraId="3A48DFBA" w14:textId="77777777" w:rsidR="00DE19E1" w:rsidRPr="007B6DC0" w:rsidRDefault="00DE19E1" w:rsidP="00E2153F">
            <w:pPr>
              <w:spacing w:line="360" w:lineRule="auto"/>
              <w:jc w:val="both"/>
              <w:rPr>
                <w:b w:val="0"/>
                <w:bCs w:val="0"/>
                <w:lang w:val="en-US"/>
              </w:rPr>
            </w:pPr>
            <w:r w:rsidRPr="007B6DC0">
              <w:rPr>
                <w:lang w:val="en-US"/>
              </w:rPr>
              <w:t>- The Crankstart Internship &amp; Careers Mentoring Programmes</w:t>
            </w:r>
          </w:p>
          <w:p w14:paraId="18BBBB83" w14:textId="77777777" w:rsidR="00DE19E1" w:rsidRPr="001C5F76" w:rsidRDefault="00DE19E1" w:rsidP="00E2153F">
            <w:pPr>
              <w:spacing w:line="360" w:lineRule="auto"/>
              <w:jc w:val="both"/>
            </w:pPr>
            <w:r w:rsidRPr="001C5F76">
              <w:t>O aluno é incentivado a ganhar experiência de trabalho durante seu tempo em Oxford, e recebe financiamento e suporte para ajudá-lo a fazer isso. Ele pode pode receber aconselhamento e orientação através do programa a qualquer momento com o objetivo de conseguir um estágio em uma de suas férias. Esse estágios são exclusivos para bolsistas do Crankstart. O aluno tem acesso a recursos para apoiar experiências de trabalho não remuneradas / mal remuneradas e colocações em pesquisas</w:t>
            </w:r>
          </w:p>
          <w:p w14:paraId="75155B5E" w14:textId="77777777" w:rsidR="00DE19E1" w:rsidRPr="001C5F76" w:rsidRDefault="00DE19E1" w:rsidP="00E2153F">
            <w:pPr>
              <w:spacing w:line="360" w:lineRule="auto"/>
              <w:jc w:val="both"/>
            </w:pPr>
            <w:r w:rsidRPr="001C5F76">
              <w:t>Um boletim semanal destacando estágios e oportunidades de carreira, bem como eventos de interesse / disponíveis para bolsistas. São ofertados sessões de Aconselhamento de Estágio e CV individuais ilimitadas, com uma equipe dedicada do Programa Crankstart. O programa oferece mentorias com alunos interessados ​​em ter um mentor em uma profissão de seu interesse.</w:t>
            </w:r>
          </w:p>
          <w:p w14:paraId="4F5F09A0" w14:textId="77777777" w:rsidR="00DE19E1" w:rsidRPr="001C5F76" w:rsidRDefault="00DE19E1" w:rsidP="00E2153F">
            <w:pPr>
              <w:spacing w:line="360" w:lineRule="auto"/>
              <w:jc w:val="both"/>
            </w:pPr>
            <w:r w:rsidRPr="001C5F76">
              <w:t>As áreas de oferta são:</w:t>
            </w:r>
          </w:p>
          <w:p w14:paraId="0C012F4C" w14:textId="77777777" w:rsidR="00DE19E1" w:rsidRPr="001C5F76" w:rsidRDefault="00DE19E1" w:rsidP="00DE19E1">
            <w:pPr>
              <w:numPr>
                <w:ilvl w:val="0"/>
                <w:numId w:val="31"/>
              </w:numPr>
              <w:spacing w:line="360" w:lineRule="auto"/>
              <w:contextualSpacing/>
              <w:jc w:val="both"/>
            </w:pPr>
            <w:r w:rsidRPr="001C5F76">
              <w:t>Academia and Higher Education</w:t>
            </w:r>
          </w:p>
          <w:p w14:paraId="248026DD" w14:textId="77777777" w:rsidR="00DE19E1" w:rsidRPr="001C5F76" w:rsidRDefault="00DE19E1" w:rsidP="00DE19E1">
            <w:pPr>
              <w:numPr>
                <w:ilvl w:val="0"/>
                <w:numId w:val="31"/>
              </w:numPr>
              <w:spacing w:line="360" w:lineRule="auto"/>
              <w:contextualSpacing/>
              <w:jc w:val="both"/>
            </w:pPr>
            <w:r w:rsidRPr="001C5F76">
              <w:t>Advertising, Marketing and Communications</w:t>
            </w:r>
          </w:p>
          <w:p w14:paraId="635FC539" w14:textId="77777777" w:rsidR="00DE19E1" w:rsidRPr="001C5F76" w:rsidRDefault="00DE19E1" w:rsidP="00DE19E1">
            <w:pPr>
              <w:numPr>
                <w:ilvl w:val="0"/>
                <w:numId w:val="31"/>
              </w:numPr>
              <w:spacing w:line="360" w:lineRule="auto"/>
              <w:contextualSpacing/>
              <w:jc w:val="both"/>
            </w:pPr>
            <w:r w:rsidRPr="001C5F76">
              <w:t>Arts &amp; Heritage</w:t>
            </w:r>
          </w:p>
          <w:p w14:paraId="6C1E0CD9" w14:textId="77777777" w:rsidR="00DE19E1" w:rsidRPr="007B6DC0" w:rsidRDefault="00DE19E1" w:rsidP="00DE19E1">
            <w:pPr>
              <w:numPr>
                <w:ilvl w:val="0"/>
                <w:numId w:val="31"/>
              </w:numPr>
              <w:spacing w:line="360" w:lineRule="auto"/>
              <w:contextualSpacing/>
              <w:jc w:val="both"/>
              <w:rPr>
                <w:lang w:val="en-US"/>
              </w:rPr>
            </w:pPr>
            <w:r w:rsidRPr="007B6DC0">
              <w:rPr>
                <w:lang w:val="en-US"/>
              </w:rPr>
              <w:t>Charity, Development, Not for Profit &amp; Think Tanks</w:t>
            </w:r>
          </w:p>
          <w:p w14:paraId="57DFC54F" w14:textId="77777777" w:rsidR="00DE19E1" w:rsidRPr="001C5F76" w:rsidRDefault="00DE19E1" w:rsidP="00DE19E1">
            <w:pPr>
              <w:numPr>
                <w:ilvl w:val="0"/>
                <w:numId w:val="31"/>
              </w:numPr>
              <w:spacing w:line="360" w:lineRule="auto"/>
              <w:contextualSpacing/>
              <w:jc w:val="both"/>
              <w:rPr>
                <w:lang w:val="es-ES"/>
              </w:rPr>
            </w:pPr>
            <w:r w:rsidRPr="001C5F76">
              <w:rPr>
                <w:lang w:val="es-ES"/>
              </w:rPr>
              <w:t>Consultancy</w:t>
            </w:r>
          </w:p>
          <w:p w14:paraId="3EA157DE" w14:textId="77777777" w:rsidR="00DE19E1" w:rsidRPr="001C5F76" w:rsidRDefault="00DE19E1" w:rsidP="00DE19E1">
            <w:pPr>
              <w:numPr>
                <w:ilvl w:val="0"/>
                <w:numId w:val="31"/>
              </w:numPr>
              <w:spacing w:line="360" w:lineRule="auto"/>
              <w:contextualSpacing/>
              <w:jc w:val="both"/>
              <w:rPr>
                <w:lang w:val="es-ES"/>
              </w:rPr>
            </w:pPr>
            <w:r w:rsidRPr="001C5F76">
              <w:rPr>
                <w:lang w:val="es-ES"/>
              </w:rPr>
              <w:t>Education</w:t>
            </w:r>
          </w:p>
          <w:p w14:paraId="4EB4B644" w14:textId="77777777" w:rsidR="00DE19E1" w:rsidRPr="001C5F76" w:rsidRDefault="00DE19E1" w:rsidP="00DE19E1">
            <w:pPr>
              <w:numPr>
                <w:ilvl w:val="0"/>
                <w:numId w:val="31"/>
              </w:numPr>
              <w:spacing w:line="360" w:lineRule="auto"/>
              <w:contextualSpacing/>
              <w:jc w:val="both"/>
              <w:rPr>
                <w:lang w:val="es-ES"/>
              </w:rPr>
            </w:pPr>
            <w:r w:rsidRPr="001C5F76">
              <w:rPr>
                <w:lang w:val="es-ES"/>
              </w:rPr>
              <w:t>Energy, Sustainability and the Environment</w:t>
            </w:r>
          </w:p>
          <w:p w14:paraId="05C127A6" w14:textId="77777777" w:rsidR="00DE19E1" w:rsidRPr="001C5F76" w:rsidRDefault="00DE19E1" w:rsidP="00DE19E1">
            <w:pPr>
              <w:numPr>
                <w:ilvl w:val="0"/>
                <w:numId w:val="31"/>
              </w:numPr>
              <w:spacing w:line="360" w:lineRule="auto"/>
              <w:contextualSpacing/>
              <w:jc w:val="both"/>
            </w:pPr>
            <w:r w:rsidRPr="001C5F76">
              <w:t>Financial Services</w:t>
            </w:r>
          </w:p>
          <w:p w14:paraId="5E1AAFB8" w14:textId="77777777" w:rsidR="00DE19E1" w:rsidRPr="001C5F76" w:rsidRDefault="00DE19E1" w:rsidP="00DE19E1">
            <w:pPr>
              <w:numPr>
                <w:ilvl w:val="0"/>
                <w:numId w:val="31"/>
              </w:numPr>
              <w:spacing w:line="360" w:lineRule="auto"/>
              <w:contextualSpacing/>
              <w:jc w:val="both"/>
            </w:pPr>
            <w:r w:rsidRPr="001C5F76">
              <w:t>Government and Public Services</w:t>
            </w:r>
          </w:p>
          <w:p w14:paraId="40D40A53" w14:textId="77777777" w:rsidR="00DE19E1" w:rsidRPr="001C5F76" w:rsidRDefault="00DE19E1" w:rsidP="00DE19E1">
            <w:pPr>
              <w:numPr>
                <w:ilvl w:val="0"/>
                <w:numId w:val="31"/>
              </w:numPr>
              <w:spacing w:line="360" w:lineRule="auto"/>
              <w:contextualSpacing/>
              <w:jc w:val="both"/>
            </w:pPr>
            <w:r w:rsidRPr="001C5F76">
              <w:lastRenderedPageBreak/>
              <w:t>Health &amp; Social Care</w:t>
            </w:r>
          </w:p>
          <w:p w14:paraId="219CDBE2" w14:textId="77777777" w:rsidR="00DE19E1" w:rsidRPr="001C5F76" w:rsidRDefault="00DE19E1" w:rsidP="00DE19E1">
            <w:pPr>
              <w:numPr>
                <w:ilvl w:val="0"/>
                <w:numId w:val="31"/>
              </w:numPr>
              <w:spacing w:line="360" w:lineRule="auto"/>
              <w:contextualSpacing/>
              <w:jc w:val="both"/>
            </w:pPr>
            <w:r w:rsidRPr="001C5F76">
              <w:t>Media, Journalism &amp; Publishing</w:t>
            </w:r>
          </w:p>
          <w:p w14:paraId="19AC3CC1" w14:textId="77777777" w:rsidR="00DE19E1" w:rsidRPr="007B6DC0" w:rsidRDefault="00DE19E1" w:rsidP="00DE19E1">
            <w:pPr>
              <w:numPr>
                <w:ilvl w:val="0"/>
                <w:numId w:val="31"/>
              </w:numPr>
              <w:spacing w:line="360" w:lineRule="auto"/>
              <w:contextualSpacing/>
              <w:jc w:val="both"/>
              <w:rPr>
                <w:lang w:val="en-US"/>
              </w:rPr>
            </w:pPr>
            <w:r w:rsidRPr="007B6DC0">
              <w:rPr>
                <w:lang w:val="en-US"/>
              </w:rPr>
              <w:t>Scientific R&amp;D &amp; Other Research Services</w:t>
            </w:r>
          </w:p>
          <w:p w14:paraId="7FA36ECF" w14:textId="77777777" w:rsidR="00DE19E1" w:rsidRPr="001C5F76" w:rsidRDefault="00DE19E1" w:rsidP="00DE19E1">
            <w:pPr>
              <w:numPr>
                <w:ilvl w:val="0"/>
                <w:numId w:val="31"/>
              </w:numPr>
              <w:spacing w:line="360" w:lineRule="auto"/>
              <w:contextualSpacing/>
              <w:jc w:val="both"/>
            </w:pPr>
            <w:r w:rsidRPr="001C5F76">
              <w:t>Start Ups</w:t>
            </w:r>
          </w:p>
          <w:p w14:paraId="3BDEEBF8" w14:textId="77777777" w:rsidR="00DE19E1" w:rsidRPr="007B6DC0" w:rsidRDefault="00DE19E1" w:rsidP="00DE19E1">
            <w:pPr>
              <w:numPr>
                <w:ilvl w:val="0"/>
                <w:numId w:val="31"/>
              </w:numPr>
              <w:spacing w:line="360" w:lineRule="auto"/>
              <w:contextualSpacing/>
              <w:jc w:val="both"/>
              <w:rPr>
                <w:lang w:val="en-US"/>
              </w:rPr>
            </w:pPr>
            <w:r w:rsidRPr="007B6DC0">
              <w:rPr>
                <w:lang w:val="en-US"/>
              </w:rPr>
              <w:t>Tech: IT, Data, AI &amp; Machine Learning</w:t>
            </w:r>
          </w:p>
          <w:p w14:paraId="720F4ACE" w14:textId="77777777" w:rsidR="00DE19E1" w:rsidRPr="007B6DC0" w:rsidRDefault="00DE19E1" w:rsidP="00E2153F">
            <w:pPr>
              <w:spacing w:line="360" w:lineRule="auto"/>
              <w:jc w:val="both"/>
              <w:rPr>
                <w:lang w:val="en-US"/>
              </w:rPr>
            </w:pPr>
          </w:p>
          <w:p w14:paraId="4FB5A623" w14:textId="77777777" w:rsidR="00DE19E1" w:rsidRPr="001C5F76" w:rsidRDefault="00DE19E1" w:rsidP="00E2153F">
            <w:pPr>
              <w:spacing w:line="360" w:lineRule="auto"/>
              <w:jc w:val="both"/>
            </w:pPr>
            <w:r w:rsidRPr="001C5F76">
              <w:t>Mais informações no link:</w:t>
            </w:r>
          </w:p>
          <w:p w14:paraId="06B37CBD" w14:textId="77777777" w:rsidR="00DE19E1" w:rsidRPr="001C5F76" w:rsidRDefault="00A515B3" w:rsidP="00E2153F">
            <w:pPr>
              <w:spacing w:line="360" w:lineRule="auto"/>
              <w:jc w:val="both"/>
            </w:pPr>
            <w:hyperlink r:id="rId184" w:anchor="/" w:history="1">
              <w:r w:rsidR="00DE19E1" w:rsidRPr="001C5F76">
                <w:rPr>
                  <w:color w:val="4875BD" w:themeColor="accent1"/>
                  <w:u w:val="single"/>
                </w:rPr>
                <w:t>https://www.careers.ox.ac.uk/crankstart-internship-programme#/</w:t>
              </w:r>
            </w:hyperlink>
            <w:r w:rsidR="00DE19E1" w:rsidRPr="001C5F76">
              <w:t xml:space="preserve"> </w:t>
            </w:r>
          </w:p>
          <w:p w14:paraId="2EC500FB" w14:textId="77777777" w:rsidR="00DE19E1" w:rsidRPr="001C5F76" w:rsidRDefault="00DE19E1" w:rsidP="00E2153F">
            <w:pPr>
              <w:spacing w:line="360" w:lineRule="auto"/>
              <w:jc w:val="both"/>
            </w:pPr>
          </w:p>
          <w:p w14:paraId="56C35800" w14:textId="77777777" w:rsidR="00DE19E1" w:rsidRPr="001C5F76" w:rsidRDefault="00DE19E1" w:rsidP="00E2153F">
            <w:pPr>
              <w:spacing w:line="360" w:lineRule="auto"/>
              <w:jc w:val="both"/>
            </w:pPr>
          </w:p>
          <w:p w14:paraId="1F13E865" w14:textId="77777777" w:rsidR="00DE19E1" w:rsidRPr="007B6DC0" w:rsidRDefault="00DE19E1" w:rsidP="00E2153F">
            <w:pPr>
              <w:spacing w:line="360" w:lineRule="auto"/>
              <w:jc w:val="both"/>
              <w:rPr>
                <w:lang w:val="en-US"/>
              </w:rPr>
            </w:pPr>
            <w:r w:rsidRPr="007B6DC0">
              <w:rPr>
                <w:lang w:val="en-US"/>
              </w:rPr>
              <w:t>- The Promentor Programme: An Alumni Mentoring Programme</w:t>
            </w:r>
          </w:p>
          <w:p w14:paraId="59C72FD9" w14:textId="77777777" w:rsidR="00DE19E1" w:rsidRPr="001C5F76" w:rsidRDefault="00DE19E1" w:rsidP="00E2153F">
            <w:pPr>
              <w:spacing w:line="360" w:lineRule="auto"/>
              <w:jc w:val="both"/>
            </w:pPr>
            <w:r w:rsidRPr="001C5F76">
              <w:t xml:space="preserve">Oferece orientação de ex-alunos de Oxford exclusivamente para alunos do primeiro ano de graduação em bolsas da Universidade de Oxford, durante o período de graduação. Este programa é exclusivo para alunos bolsistas e oferece uma oportunidade incomparável de se envolver com uma gama de profissionais de carreira experientes em um contexto de mentoria. </w:t>
            </w:r>
          </w:p>
          <w:p w14:paraId="49838AC6" w14:textId="77777777" w:rsidR="00DE19E1" w:rsidRPr="001C5F76" w:rsidRDefault="00DE19E1" w:rsidP="00E2153F">
            <w:pPr>
              <w:spacing w:line="360" w:lineRule="auto"/>
              <w:jc w:val="both"/>
            </w:pPr>
          </w:p>
          <w:p w14:paraId="566F99D5" w14:textId="77777777" w:rsidR="00DE19E1" w:rsidRPr="001C5F76" w:rsidRDefault="00DE19E1" w:rsidP="00E2153F">
            <w:pPr>
              <w:spacing w:line="360" w:lineRule="auto"/>
              <w:jc w:val="both"/>
            </w:pPr>
            <w:r w:rsidRPr="001C5F76">
              <w:t>Mentees</w:t>
            </w:r>
          </w:p>
          <w:p w14:paraId="126D5A4C" w14:textId="77777777" w:rsidR="00DE19E1" w:rsidRPr="001C5F76" w:rsidRDefault="00DE19E1" w:rsidP="00E2153F">
            <w:pPr>
              <w:spacing w:line="360" w:lineRule="auto"/>
              <w:jc w:val="both"/>
            </w:pPr>
            <w:r w:rsidRPr="001C5F76">
              <w:t>A cada ano, dez alunos do primeiro ano são selecionados para ingressar no programa, após um processo de inscrição. Os alunos qualificados serão convidados a se inscrever por e-mail e concluirão o processo por meio de um formulário de inscrição no  CareerConnect .</w:t>
            </w:r>
          </w:p>
          <w:p w14:paraId="082DC7E4" w14:textId="77777777" w:rsidR="00DE19E1" w:rsidRPr="001C5F76" w:rsidRDefault="00DE19E1" w:rsidP="00E2153F">
            <w:pPr>
              <w:spacing w:line="360" w:lineRule="auto"/>
              <w:jc w:val="both"/>
            </w:pPr>
          </w:p>
          <w:p w14:paraId="5F5A24BB" w14:textId="77777777" w:rsidR="00DE19E1" w:rsidRPr="001C5F76" w:rsidRDefault="00DE19E1" w:rsidP="00E2153F">
            <w:pPr>
              <w:spacing w:line="360" w:lineRule="auto"/>
              <w:jc w:val="both"/>
            </w:pPr>
            <w:r w:rsidRPr="001C5F76">
              <w:t xml:space="preserve">Já os orientadores do Promentor Programme: An Alumni Mentoring Programme receberão: </w:t>
            </w:r>
          </w:p>
          <w:p w14:paraId="20400EE6" w14:textId="77777777" w:rsidR="00DE19E1" w:rsidRPr="001C5F76" w:rsidRDefault="00DE19E1" w:rsidP="00DE19E1">
            <w:pPr>
              <w:numPr>
                <w:ilvl w:val="0"/>
                <w:numId w:val="32"/>
              </w:numPr>
              <w:spacing w:line="360" w:lineRule="auto"/>
              <w:contextualSpacing/>
              <w:jc w:val="both"/>
            </w:pPr>
            <w:r w:rsidRPr="001C5F76">
              <w:t>Treinamento para que os alunos estejam prontos para se envolver totalmente no programa e equipados com as ferramentas para fazê-lo</w:t>
            </w:r>
          </w:p>
          <w:p w14:paraId="548855C9" w14:textId="77777777" w:rsidR="00DE19E1" w:rsidRPr="001C5F76" w:rsidRDefault="00DE19E1" w:rsidP="00DE19E1">
            <w:pPr>
              <w:numPr>
                <w:ilvl w:val="0"/>
                <w:numId w:val="32"/>
              </w:numPr>
              <w:spacing w:line="360" w:lineRule="auto"/>
              <w:contextualSpacing/>
              <w:jc w:val="both"/>
            </w:pPr>
            <w:r w:rsidRPr="001C5F76">
              <w:t xml:space="preserve">Apresentações a três mentores, atualmente trabalhando em seus setores de interesse. As apresentações acontecem no período de Hilary e Trinity  </w:t>
            </w:r>
          </w:p>
          <w:p w14:paraId="0D4FDDC2" w14:textId="77777777" w:rsidR="00DE19E1" w:rsidRPr="001C5F76" w:rsidRDefault="00DE19E1" w:rsidP="00DE19E1">
            <w:pPr>
              <w:numPr>
                <w:ilvl w:val="0"/>
                <w:numId w:val="32"/>
              </w:numPr>
              <w:spacing w:line="360" w:lineRule="auto"/>
              <w:contextualSpacing/>
              <w:jc w:val="both"/>
            </w:pPr>
            <w:r w:rsidRPr="001C5F76">
              <w:t>Um pagamento de £ 250 para cada ano em que o pupilo se envolve com o programa durante seu curso de graduação.</w:t>
            </w:r>
          </w:p>
          <w:p w14:paraId="4BFB17DE" w14:textId="77777777" w:rsidR="00DE19E1" w:rsidRPr="001C5F76" w:rsidRDefault="00DE19E1" w:rsidP="00E2153F">
            <w:pPr>
              <w:spacing w:line="360" w:lineRule="auto"/>
              <w:jc w:val="both"/>
            </w:pPr>
          </w:p>
          <w:p w14:paraId="7ACF88EB" w14:textId="77777777" w:rsidR="00DE19E1" w:rsidRPr="001C5F76" w:rsidRDefault="00DE19E1" w:rsidP="00E2153F">
            <w:pPr>
              <w:spacing w:line="360" w:lineRule="auto"/>
              <w:jc w:val="both"/>
            </w:pPr>
            <w:r w:rsidRPr="001C5F76">
              <w:t>Mais informações no link:</w:t>
            </w:r>
          </w:p>
          <w:p w14:paraId="06C4A772" w14:textId="77777777" w:rsidR="00DE19E1" w:rsidRPr="001C5F76" w:rsidRDefault="00A515B3" w:rsidP="00E2153F">
            <w:pPr>
              <w:spacing w:line="360" w:lineRule="auto"/>
              <w:jc w:val="both"/>
            </w:pPr>
            <w:hyperlink r:id="rId185" w:anchor="tab-1557201" w:history="1">
              <w:r w:rsidR="00DE19E1" w:rsidRPr="001C5F76">
                <w:rPr>
                  <w:color w:val="4875BD" w:themeColor="accent1"/>
                  <w:u w:val="single"/>
                </w:rPr>
                <w:t>https://www.careers.ox.ac.uk/promentor-programme#tab-1557201</w:t>
              </w:r>
            </w:hyperlink>
            <w:r w:rsidR="00DE19E1" w:rsidRPr="001C5F76">
              <w:t xml:space="preserve"> </w:t>
            </w:r>
          </w:p>
          <w:p w14:paraId="41586E7F" w14:textId="77777777" w:rsidR="00DE19E1" w:rsidRPr="001C5F76" w:rsidRDefault="00DE19E1" w:rsidP="00E2153F">
            <w:pPr>
              <w:spacing w:line="360" w:lineRule="auto"/>
              <w:jc w:val="both"/>
            </w:pPr>
          </w:p>
          <w:p w14:paraId="7893CCCF" w14:textId="77777777" w:rsidR="00DE19E1" w:rsidRPr="001C5F76" w:rsidRDefault="00DE19E1" w:rsidP="00E2153F">
            <w:pPr>
              <w:spacing w:line="360" w:lineRule="auto"/>
              <w:jc w:val="both"/>
            </w:pPr>
          </w:p>
        </w:tc>
      </w:tr>
      <w:tr w:rsidR="00DE19E1" w:rsidRPr="001C5F76" w14:paraId="0171F525"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EE71087" w14:textId="77777777" w:rsidR="00DE19E1" w:rsidRPr="001C5F76" w:rsidRDefault="00DE19E1" w:rsidP="00E2153F">
            <w:pPr>
              <w:spacing w:line="360" w:lineRule="auto"/>
              <w:jc w:val="both"/>
            </w:pPr>
            <w:r w:rsidRPr="001C5F76">
              <w:lastRenderedPageBreak/>
              <w:t>8.2. Parceria com IES: Nacionais e Internacionais (Públicas e Privadas)</w:t>
            </w:r>
          </w:p>
        </w:tc>
      </w:tr>
      <w:tr w:rsidR="00DE19E1" w:rsidRPr="001C5F76" w14:paraId="7EB6E476" w14:textId="77777777" w:rsidTr="00E2153F">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tcPr>
          <w:p w14:paraId="0BD647B7" w14:textId="77777777" w:rsidR="00DE19E1" w:rsidRPr="001C5F76" w:rsidRDefault="00DE19E1" w:rsidP="00E2153F">
            <w:pPr>
              <w:spacing w:line="360" w:lineRule="auto"/>
              <w:jc w:val="both"/>
              <w:rPr>
                <w:b w:val="0"/>
              </w:rPr>
            </w:pPr>
            <w:r w:rsidRPr="001C5F76">
              <w:lastRenderedPageBreak/>
              <w:t>Relação de IES</w:t>
            </w:r>
          </w:p>
        </w:tc>
        <w:tc>
          <w:tcPr>
            <w:tcW w:w="2410" w:type="dxa"/>
            <w:gridSpan w:val="7"/>
            <w:tcBorders>
              <w:top w:val="single" w:sz="4" w:space="0" w:color="auto"/>
              <w:left w:val="single" w:sz="4" w:space="0" w:color="auto"/>
              <w:bottom w:val="single" w:sz="4" w:space="0" w:color="auto"/>
              <w:right w:val="single" w:sz="4" w:space="0" w:color="auto"/>
            </w:tcBorders>
          </w:tcPr>
          <w:p w14:paraId="3689DE98"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Pública ou Privada</w:t>
            </w:r>
          </w:p>
        </w:tc>
        <w:tc>
          <w:tcPr>
            <w:tcW w:w="5245" w:type="dxa"/>
            <w:gridSpan w:val="8"/>
            <w:tcBorders>
              <w:top w:val="single" w:sz="4" w:space="0" w:color="auto"/>
              <w:left w:val="single" w:sz="4" w:space="0" w:color="auto"/>
              <w:bottom w:val="single" w:sz="4" w:space="0" w:color="auto"/>
              <w:right w:val="single" w:sz="4" w:space="0" w:color="auto"/>
            </w:tcBorders>
          </w:tcPr>
          <w:p w14:paraId="622D4B84"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Forma de vínculo (ano/contínuo ou atividade específica)</w:t>
            </w:r>
          </w:p>
        </w:tc>
      </w:tr>
      <w:tr w:rsidR="00DE19E1" w:rsidRPr="001C5F76" w14:paraId="62032466"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9677715"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ANU - Australian National University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21502FFB"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1C4D7160"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4D292857"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2D98438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ETH Zurich</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45648B0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D359F3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3D368132"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EFD7004"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Freie Universität Berlin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1BBF1E33"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DF64EB7"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16A13FF1"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F073646" w14:textId="77777777" w:rsidR="00DE19E1" w:rsidRPr="007B6DC0" w:rsidRDefault="00DE19E1" w:rsidP="00E2153F">
            <w:pPr>
              <w:tabs>
                <w:tab w:val="clear" w:pos="1615"/>
              </w:tabs>
              <w:spacing w:line="360" w:lineRule="auto"/>
              <w:rPr>
                <w:rFonts w:ascii="Calibri" w:eastAsia="Times New Roman" w:hAnsi="Calibri" w:cs="Calibri"/>
                <w:color w:val="000000"/>
                <w:lang w:val="en-US" w:eastAsia="pt-BR"/>
              </w:rPr>
            </w:pPr>
            <w:r w:rsidRPr="007B6DC0">
              <w:rPr>
                <w:rFonts w:ascii="Calibri" w:eastAsia="Times New Roman" w:hAnsi="Calibri" w:cs="Calibri"/>
                <w:color w:val="000000"/>
                <w:lang w:val="en-US" w:eastAsia="pt-BR"/>
              </w:rPr>
              <w:t>Graduate Institute of International &amp; Development Studies, Geneva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2BA16D7"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Semi-private, semi-public</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80AEFE0"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1157C257"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31EC9AE"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Imperial College London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F2BFCD8"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58F9BC6"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43831B4"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EC73B0D"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KU Leuven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C314B7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Privada, Confessional</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A2839A5"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 Liga das Universidades de Pesquisa Européias (LERU)</w:t>
            </w:r>
          </w:p>
        </w:tc>
      </w:tr>
      <w:tr w:rsidR="00DE19E1" w:rsidRPr="001C5F76" w14:paraId="2B0FF447"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AD79A28"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Ludwig-Maximilians-Universität München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C41F394"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92A6921"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 Liga das Universidades de Pesquisa Européias (LERU)</w:t>
            </w:r>
          </w:p>
        </w:tc>
      </w:tr>
      <w:tr w:rsidR="00DE19E1" w:rsidRPr="001C5F76" w14:paraId="47A3EAC0"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1E1B00BE"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Lund University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CF82E4D"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pública estatal</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814F91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CAC4466"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76719EF7"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Sorbonne University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7FEC540D"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8616D56"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28827DC3"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7C8D3D3"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Trinity College Dublin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2E73062B"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DC06229"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01B7C759"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11F6487"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 Complutense de Madrid</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1C605BD9"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7B04E47"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373695BB"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026754BD"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Católica Portuguesa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12A7B01"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Ensino concordatário</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65BDA38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1FE4062E"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41B092A"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da Califórnia - Berkeley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C3B6F1E"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6F22AA16"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353FFF09"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09CDD3AD"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de Cambridge</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83E59D5"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4B090CE1"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 Liga das Universidades de Pesquisa Européias (LERU)</w:t>
            </w:r>
          </w:p>
        </w:tc>
      </w:tr>
      <w:tr w:rsidR="00DE19E1" w:rsidRPr="001C5F76" w14:paraId="3705953F"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7327DA4D"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de Cidade do Cabo</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AEEBA9A"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13797EE3"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1D81BB36"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C3B5000"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de Copenhagen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A790018"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4F05685E"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3B667C1E"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14F7D106"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de Pequim</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21A94D2"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0CBF443"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15F0BA19"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5B46A35"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Universidade de Tóquio </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55B4EE4"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AEE604A"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67CB134B"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F2001E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de Yale</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19F71826"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privada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76639FB"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2456E9B3"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74B01E87"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Universidade Nacional de Cingapura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23900BAB"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681C64E1"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Aliança Internacional de Universidades de Pesquisa</w:t>
            </w:r>
          </w:p>
        </w:tc>
      </w:tr>
      <w:tr w:rsidR="00DE19E1" w:rsidRPr="001C5F76" w14:paraId="0AB28DD3"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5504953"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lastRenderedPageBreak/>
              <w:t>Universitá di Bologna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419D210"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4D9C92A4"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12CF6576"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7EF78ED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Universitat de Barcelona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7A30FC31"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4447D551"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15E63A3"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9741BF6"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Universität Heidelberg</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66179C5"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4894665"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5E7899C8"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0D2140FB"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Universitat Pompeu Fabra</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4FC68BB7"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EEABD9B"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6433EE8E"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53B06984"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Université de Genève</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1CCE151"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1BECBDA4"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288018C0"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7539D58"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Université Paris I</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1DC8180E"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04F97D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04DC9947"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55423FD6"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Université Paris-Saclay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997D685"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10DAE19"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71D362C0"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1DF0E202"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Universiteit Leiden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D1B21F4"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4F2632C"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 Liga das Universidades de Pesquisa Européias (LERU)</w:t>
            </w:r>
          </w:p>
        </w:tc>
      </w:tr>
      <w:tr w:rsidR="00DE19E1" w:rsidRPr="001C5F76" w14:paraId="3E5C0CF6"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558062CC"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College London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95B2079"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77F99F2A"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2BCED399"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C6A1933"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Amsterdam</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D559F95"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18D7D9E5"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17C3AB6B"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8987145"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Cambridge</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4B3E31FE"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C10B384"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2ED83B6B"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893E0E4"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Copenhagen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C276D6E"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F9E16AA"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 Liga das Universidades de Pesquisa Européias (LERU)</w:t>
            </w:r>
          </w:p>
        </w:tc>
      </w:tr>
      <w:tr w:rsidR="00DE19E1" w:rsidRPr="001C5F76" w14:paraId="156A7663"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86C5289"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Edinburgh</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2EA7235E"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D049F91"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22B6797E"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04C7F58"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Freiburg</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1BE2279"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763D24B7"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2AD3165"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D5FAEAA" w14:textId="77777777" w:rsidR="00DE19E1" w:rsidRPr="007B6DC0" w:rsidRDefault="00DE19E1" w:rsidP="00E2153F">
            <w:pPr>
              <w:tabs>
                <w:tab w:val="clear" w:pos="1615"/>
              </w:tabs>
              <w:spacing w:line="360" w:lineRule="auto"/>
              <w:rPr>
                <w:rFonts w:ascii="Calibri" w:eastAsia="Times New Roman" w:hAnsi="Calibri" w:cs="Calibri"/>
                <w:color w:val="000000"/>
                <w:lang w:val="en-US" w:eastAsia="pt-BR"/>
              </w:rPr>
            </w:pPr>
            <w:r w:rsidRPr="007B6DC0">
              <w:rPr>
                <w:rFonts w:ascii="Calibri" w:eastAsia="Times New Roman" w:hAnsi="Calibri" w:cs="Calibri"/>
                <w:color w:val="000000"/>
                <w:lang w:val="en-US" w:eastAsia="pt-BR"/>
              </w:rPr>
              <w:t>University of Helsinki (Helsingin Yliopisto)</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ABC8C11" w14:textId="77777777" w:rsidR="00DE19E1" w:rsidRPr="007B6DC0"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pt-BR"/>
              </w:rPr>
            </w:pPr>
            <w:r w:rsidRPr="007B6DC0">
              <w:rPr>
                <w:rFonts w:ascii="Calibri" w:eastAsia="Times New Roman" w:hAnsi="Calibri" w:cs="Calibri"/>
                <w:color w:val="000000"/>
                <w:lang w:val="en-US"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E565FFC"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 Liga das Universidades de Pesquisa Européias (LERU)</w:t>
            </w:r>
          </w:p>
        </w:tc>
      </w:tr>
      <w:tr w:rsidR="00DE19E1" w:rsidRPr="001C5F76" w14:paraId="0E328D4A"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94CCA48"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University of Luxembourg</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1F8F6C9"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7205390"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3A0A6ECB"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462F86B"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Milan</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23E104FA"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A88B813"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1F28392F"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D493CE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University of St Andrews</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DB378D6"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292F85AE"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126F8354"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52672CC"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Strasbourg</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F0EFB31"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4CC73CAC"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70A369BD"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5B0DF61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Tartu</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41A7DD7A"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FE85F78"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650CEA72"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481C6E1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University of Zurich</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05B97BD9"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37D0EC7B"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DE225B0"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3B8B075C"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Univerzita Karlova, Prague</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5FA61622"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01ABFBA9"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63CA478F"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27CC999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Uniwersytet Jagiellonski</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6F2E3A95"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val="es-ES" w:eastAsia="pt-BR"/>
              </w:rPr>
              <w:t xml:space="preserve">Pública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5B8A4D74"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Europaeum</w:t>
            </w:r>
          </w:p>
        </w:tc>
      </w:tr>
      <w:tr w:rsidR="00DE19E1" w:rsidRPr="001C5F76" w14:paraId="046B3021"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hideMark/>
          </w:tcPr>
          <w:p w14:paraId="622832C8"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Times New Roman" w:hAnsi="Calibri" w:cs="Calibri"/>
                <w:color w:val="000000"/>
                <w:lang w:val="es-ES" w:eastAsia="pt-BR"/>
              </w:rPr>
              <w:t>Utrecht University</w:t>
            </w:r>
          </w:p>
        </w:tc>
        <w:tc>
          <w:tcPr>
            <w:tcW w:w="2410" w:type="dxa"/>
            <w:gridSpan w:val="7"/>
            <w:tcBorders>
              <w:top w:val="single" w:sz="4" w:space="0" w:color="auto"/>
              <w:left w:val="single" w:sz="4" w:space="0" w:color="auto"/>
              <w:bottom w:val="single" w:sz="4" w:space="0" w:color="auto"/>
              <w:right w:val="single" w:sz="4" w:space="0" w:color="auto"/>
            </w:tcBorders>
            <w:noWrap/>
            <w:hideMark/>
          </w:tcPr>
          <w:p w14:paraId="3B3109D5"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 </w:t>
            </w:r>
          </w:p>
        </w:tc>
        <w:tc>
          <w:tcPr>
            <w:tcW w:w="5245" w:type="dxa"/>
            <w:gridSpan w:val="8"/>
            <w:tcBorders>
              <w:top w:val="single" w:sz="4" w:space="0" w:color="auto"/>
              <w:left w:val="single" w:sz="4" w:space="0" w:color="auto"/>
              <w:bottom w:val="single" w:sz="4" w:space="0" w:color="auto"/>
              <w:right w:val="single" w:sz="4" w:space="0" w:color="auto"/>
            </w:tcBorders>
            <w:noWrap/>
            <w:hideMark/>
          </w:tcPr>
          <w:p w14:paraId="63530EC9" w14:textId="77777777" w:rsidR="00DE19E1" w:rsidRPr="001C5F76" w:rsidRDefault="00DE19E1" w:rsidP="00E2153F">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Liga das Universidades de Pesquisa Européias (LERU)</w:t>
            </w:r>
          </w:p>
        </w:tc>
      </w:tr>
      <w:tr w:rsidR="00DE19E1" w:rsidRPr="001C5F76" w14:paraId="372B7C24"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gridSpan w:val="4"/>
            <w:tcBorders>
              <w:top w:val="single" w:sz="4" w:space="0" w:color="auto"/>
              <w:left w:val="single" w:sz="4" w:space="0" w:color="auto"/>
              <w:bottom w:val="single" w:sz="4" w:space="0" w:color="auto"/>
              <w:right w:val="single" w:sz="4" w:space="0" w:color="auto"/>
            </w:tcBorders>
            <w:noWrap/>
          </w:tcPr>
          <w:p w14:paraId="1F22262D" w14:textId="77777777" w:rsidR="00DE19E1" w:rsidRPr="001C5F76" w:rsidRDefault="00DE19E1" w:rsidP="00E2153F">
            <w:pPr>
              <w:tabs>
                <w:tab w:val="clear" w:pos="1615"/>
              </w:tabs>
              <w:spacing w:line="360" w:lineRule="auto"/>
              <w:rPr>
                <w:rFonts w:ascii="Calibri" w:eastAsia="Times New Roman" w:hAnsi="Calibri" w:cs="Calibri"/>
                <w:bCs w:val="0"/>
                <w:color w:val="000000"/>
                <w:lang w:val="es-ES" w:eastAsia="pt-BR"/>
              </w:rPr>
            </w:pPr>
            <w:r w:rsidRPr="001C5F76">
              <w:rPr>
                <w:rFonts w:ascii="Calibri" w:eastAsia="Times New Roman" w:hAnsi="Calibri" w:cs="Calibri"/>
                <w:color w:val="000000"/>
                <w:lang w:val="es-ES" w:eastAsia="pt-BR"/>
              </w:rPr>
              <w:t>Princeton university</w:t>
            </w:r>
          </w:p>
        </w:tc>
        <w:tc>
          <w:tcPr>
            <w:tcW w:w="2410" w:type="dxa"/>
            <w:gridSpan w:val="7"/>
            <w:tcBorders>
              <w:top w:val="single" w:sz="4" w:space="0" w:color="auto"/>
              <w:left w:val="single" w:sz="4" w:space="0" w:color="auto"/>
              <w:bottom w:val="single" w:sz="4" w:space="0" w:color="auto"/>
              <w:right w:val="single" w:sz="4" w:space="0" w:color="auto"/>
            </w:tcBorders>
            <w:noWrap/>
          </w:tcPr>
          <w:p w14:paraId="7C1F4B0F" w14:textId="77777777" w:rsidR="00DE19E1" w:rsidRPr="001C5F76" w:rsidRDefault="00DE19E1" w:rsidP="00E2153F">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Privada</w:t>
            </w:r>
          </w:p>
        </w:tc>
        <w:tc>
          <w:tcPr>
            <w:tcW w:w="5245" w:type="dxa"/>
            <w:gridSpan w:val="8"/>
            <w:tcBorders>
              <w:top w:val="single" w:sz="4" w:space="0" w:color="auto"/>
              <w:left w:val="single" w:sz="4" w:space="0" w:color="auto"/>
              <w:bottom w:val="single" w:sz="4" w:space="0" w:color="auto"/>
              <w:right w:val="single" w:sz="4" w:space="0" w:color="auto"/>
            </w:tcBorders>
            <w:noWrap/>
          </w:tcPr>
          <w:p w14:paraId="578F7FED"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Aliança Oxford-Princeton</w:t>
            </w:r>
          </w:p>
        </w:tc>
      </w:tr>
      <w:tr w:rsidR="00DE19E1" w:rsidRPr="001C5F76" w14:paraId="46B7E502"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A465124" w14:textId="77777777" w:rsidR="00DE19E1" w:rsidRPr="001C5F76" w:rsidRDefault="00DE19E1" w:rsidP="00E2153F">
            <w:pPr>
              <w:spacing w:line="360" w:lineRule="auto"/>
              <w:jc w:val="both"/>
            </w:pPr>
            <w:r w:rsidRPr="001C5F76">
              <w:t>Observações:</w:t>
            </w:r>
          </w:p>
          <w:p w14:paraId="16A38050" w14:textId="77777777" w:rsidR="00DE19E1" w:rsidRPr="001C5F76" w:rsidRDefault="00DE19E1" w:rsidP="00E2153F">
            <w:pPr>
              <w:spacing w:line="360" w:lineRule="auto"/>
              <w:jc w:val="both"/>
            </w:pPr>
          </w:p>
          <w:p w14:paraId="197E3350" w14:textId="77777777" w:rsidR="00DE19E1" w:rsidRPr="001C5F76" w:rsidRDefault="00DE19E1" w:rsidP="00E2153F">
            <w:pPr>
              <w:spacing w:line="360" w:lineRule="auto"/>
              <w:jc w:val="both"/>
            </w:pPr>
            <w:r w:rsidRPr="001C5F76">
              <w:t>Oxford participa de várias alianças valiosas com outras universidades. Esses grupos realizam iniciativas conjuntas de educação e pesquisa, criam oportunidades internacionais para estudantes, permitem-nos trabalhar com instituições semelhantes em tópicos de interesse mútuo, como financiamento de pesquisas, e facilitam o compartilhamento de boas práticas entre líderes universitários.</w:t>
            </w:r>
          </w:p>
          <w:p w14:paraId="19834B06" w14:textId="77777777" w:rsidR="00DE19E1" w:rsidRPr="001C5F76" w:rsidRDefault="00DE19E1" w:rsidP="00E2153F">
            <w:pPr>
              <w:spacing w:line="360" w:lineRule="auto"/>
              <w:jc w:val="both"/>
            </w:pPr>
          </w:p>
          <w:p w14:paraId="5CE1D92E" w14:textId="77777777" w:rsidR="00DE19E1" w:rsidRPr="001C5F76" w:rsidRDefault="00DE19E1" w:rsidP="00E2153F">
            <w:pPr>
              <w:spacing w:line="360" w:lineRule="auto"/>
              <w:jc w:val="both"/>
              <w:rPr>
                <w:b w:val="0"/>
                <w:bCs w:val="0"/>
              </w:rPr>
            </w:pPr>
            <w:r w:rsidRPr="001C5F76">
              <w:t>Aliança Internacional de Universidades de Pesquisa</w:t>
            </w:r>
          </w:p>
          <w:p w14:paraId="5F5595CC" w14:textId="77777777" w:rsidR="00DE19E1" w:rsidRPr="001C5F76" w:rsidRDefault="00DE19E1" w:rsidP="00E2153F">
            <w:pPr>
              <w:spacing w:line="360" w:lineRule="auto"/>
              <w:jc w:val="both"/>
            </w:pPr>
            <w:r w:rsidRPr="001C5F76">
              <w:t>A  Aliança Internacional de Universidades de Pesquisa  (IARU) é uma aliança de 11 das principais universidades de pesquisa do mundo: ANU, ETH Zurich, Universidade Nacional de Cingapura, Universidade de Pequim, Universidade da Califórnia - Berkeley, Universidade de Cambridge, Universidade de Copenhagen, Universidade de Cidade do Cabo, Universidade de Oxford, Universidade de Tóquio e Universidade de Yale. É uma aproximação estratégica de universidades que compartilham uma visão semelhante e têm o compromisso de formar futuros líderes.</w:t>
            </w:r>
          </w:p>
          <w:p w14:paraId="71609603" w14:textId="77777777" w:rsidR="00DE19E1" w:rsidRPr="001C5F76" w:rsidRDefault="00DE19E1" w:rsidP="00E2153F">
            <w:pPr>
              <w:spacing w:line="360" w:lineRule="auto"/>
              <w:jc w:val="both"/>
            </w:pPr>
          </w:p>
          <w:p w14:paraId="2167E84E" w14:textId="77777777" w:rsidR="00DE19E1" w:rsidRPr="001C5F76" w:rsidRDefault="00DE19E1" w:rsidP="00E2153F">
            <w:pPr>
              <w:spacing w:line="360" w:lineRule="auto"/>
              <w:jc w:val="both"/>
            </w:pPr>
            <w:r w:rsidRPr="001C5F76">
              <w:t>Os colegas da IARU trabalham juntos em questões de interesse mútuo, como a sustentabilidade do campus, e para organizar uma série de experiências dos alunos. O principal programa para os alunos é o Programa Global de Verão da IARU (GSP), que oferece uma experiência de aprendizado para os alunos das 11 universidades membros por meio de cursos residenciais intensivos de verão.</w:t>
            </w:r>
          </w:p>
          <w:p w14:paraId="2A47AB83" w14:textId="77777777" w:rsidR="00DE19E1" w:rsidRPr="001C5F76" w:rsidRDefault="00DE19E1" w:rsidP="00E2153F">
            <w:pPr>
              <w:spacing w:line="360" w:lineRule="auto"/>
              <w:jc w:val="both"/>
            </w:pPr>
          </w:p>
          <w:p w14:paraId="1A8B9CC1" w14:textId="77777777" w:rsidR="00DE19E1" w:rsidRPr="001C5F76" w:rsidRDefault="00DE19E1" w:rsidP="00E2153F">
            <w:pPr>
              <w:spacing w:line="360" w:lineRule="auto"/>
              <w:jc w:val="both"/>
              <w:rPr>
                <w:b w:val="0"/>
                <w:bCs w:val="0"/>
              </w:rPr>
            </w:pPr>
            <w:r w:rsidRPr="001C5F76">
              <w:t>Europaeum</w:t>
            </w:r>
          </w:p>
          <w:p w14:paraId="79095B9F" w14:textId="77777777" w:rsidR="00DE19E1" w:rsidRPr="001C5F76" w:rsidRDefault="00DE19E1" w:rsidP="00E2153F">
            <w:pPr>
              <w:spacing w:line="360" w:lineRule="auto"/>
              <w:jc w:val="both"/>
            </w:pPr>
            <w:r w:rsidRPr="001C5F76">
              <w:t>O  Europaeum  foi estabelecido como um consórcio europeu pelas universidades de Oxford, Leiden e Bologna em 1992 e tem agora dezessete instituições universitárias europeias importantes como membros. A rede foi projetada para servir como uma 'universidade internacional sem paredes' na qual futuros acadêmicos e líderes de nossa nova Europa tenham a oportunidade de compartilhar aprendizados comuns e confrontar preocupações comuns. O Europaeum oferece oportunidades para acadêmicos e graduados por meio de conferências internacionais, escolas de verão, colóquios, bolsas e um programa de treinamento de habilidades profissionais para estudantes de doutorado. Ele também permite que figuras importantes do mundo dos negócios, da política e da cultura participem de um diálogo transnacional e interdisciplinar com o mundo da bolsa de estudos.</w:t>
            </w:r>
          </w:p>
          <w:p w14:paraId="770CD5D9" w14:textId="77777777" w:rsidR="00DE19E1" w:rsidRPr="001C5F76" w:rsidRDefault="00DE19E1" w:rsidP="00E2153F">
            <w:pPr>
              <w:spacing w:line="360" w:lineRule="auto"/>
              <w:jc w:val="both"/>
            </w:pPr>
            <w:r w:rsidRPr="001C5F76">
              <w:t xml:space="preserve">Fonte: </w:t>
            </w:r>
            <w:hyperlink r:id="rId186" w:history="1">
              <w:r w:rsidRPr="001C5F76">
                <w:rPr>
                  <w:color w:val="4875BD" w:themeColor="accent1"/>
                  <w:u w:val="single"/>
                </w:rPr>
                <w:t>https://europaeum.org/about-us/members/</w:t>
              </w:r>
            </w:hyperlink>
            <w:r w:rsidRPr="001C5F76">
              <w:t xml:space="preserve"> </w:t>
            </w:r>
          </w:p>
          <w:p w14:paraId="4274E609" w14:textId="77777777" w:rsidR="00DE19E1" w:rsidRPr="001C5F76" w:rsidRDefault="00DE19E1" w:rsidP="00E2153F">
            <w:pPr>
              <w:spacing w:line="360" w:lineRule="auto"/>
              <w:jc w:val="both"/>
            </w:pPr>
          </w:p>
          <w:p w14:paraId="19A9B905" w14:textId="77777777" w:rsidR="00DE19E1" w:rsidRPr="001C5F76" w:rsidRDefault="00DE19E1" w:rsidP="00E2153F">
            <w:pPr>
              <w:spacing w:line="360" w:lineRule="auto"/>
              <w:jc w:val="both"/>
            </w:pPr>
          </w:p>
          <w:p w14:paraId="1F2BAED0" w14:textId="77777777" w:rsidR="00DE19E1" w:rsidRPr="001C5F76" w:rsidRDefault="00DE19E1" w:rsidP="00E2153F">
            <w:pPr>
              <w:spacing w:line="360" w:lineRule="auto"/>
              <w:jc w:val="both"/>
              <w:rPr>
                <w:b w:val="0"/>
                <w:bCs w:val="0"/>
              </w:rPr>
            </w:pPr>
            <w:r w:rsidRPr="001C5F76">
              <w:t>Liga das Universidades de Pesquisa Européias</w:t>
            </w:r>
          </w:p>
          <w:p w14:paraId="69DE2BAA" w14:textId="77777777" w:rsidR="00DE19E1" w:rsidRPr="001C5F76" w:rsidRDefault="00DE19E1" w:rsidP="00E2153F">
            <w:pPr>
              <w:spacing w:line="360" w:lineRule="auto"/>
              <w:jc w:val="both"/>
            </w:pPr>
            <w:r w:rsidRPr="001C5F76">
              <w:t>A League of European Research Universities (LERU) é uma associação de 23 universidades líderes de pesquisa intensiva que compartilham os valores do ensino de alta qualidade em um ambiente de pesquisa competitiva internacionalmente. Iniciativas recentes centraram-se no papel das universidades, carreiras de investigação, estudos de doutoramento, ensino baseado na investigação, avaliação da investigação e na política de investigação da UE, tanto geral como sectorial (ambiente, energia, clima, alimentação, nano, mobilidade).</w:t>
            </w:r>
          </w:p>
          <w:p w14:paraId="0B3E0B40" w14:textId="77777777" w:rsidR="00DE19E1" w:rsidRPr="001C5F76" w:rsidRDefault="00DE19E1" w:rsidP="00E2153F">
            <w:pPr>
              <w:spacing w:line="360" w:lineRule="auto"/>
              <w:jc w:val="both"/>
            </w:pPr>
            <w:r w:rsidRPr="001C5F76">
              <w:t xml:space="preserve">Fonte: </w:t>
            </w:r>
            <w:hyperlink r:id="rId187" w:history="1">
              <w:r w:rsidRPr="001C5F76">
                <w:rPr>
                  <w:color w:val="4875BD" w:themeColor="accent1"/>
                  <w:u w:val="single"/>
                </w:rPr>
                <w:t>https://www.leru.org/members</w:t>
              </w:r>
            </w:hyperlink>
            <w:r w:rsidRPr="001C5F76">
              <w:t xml:space="preserve">  </w:t>
            </w:r>
          </w:p>
          <w:p w14:paraId="66425EB4" w14:textId="77777777" w:rsidR="00DE19E1" w:rsidRPr="001C5F76" w:rsidRDefault="00DE19E1" w:rsidP="00E2153F">
            <w:pPr>
              <w:spacing w:line="360" w:lineRule="auto"/>
              <w:jc w:val="both"/>
            </w:pPr>
          </w:p>
          <w:p w14:paraId="1B381209" w14:textId="77777777" w:rsidR="00DE19E1" w:rsidRPr="001C5F76" w:rsidRDefault="00DE19E1" w:rsidP="00E2153F">
            <w:pPr>
              <w:spacing w:line="360" w:lineRule="auto"/>
              <w:jc w:val="both"/>
            </w:pPr>
          </w:p>
          <w:p w14:paraId="5118934C" w14:textId="77777777" w:rsidR="00DE19E1" w:rsidRPr="001C5F76" w:rsidRDefault="00DE19E1" w:rsidP="00E2153F">
            <w:pPr>
              <w:spacing w:line="360" w:lineRule="auto"/>
              <w:jc w:val="both"/>
              <w:rPr>
                <w:b w:val="0"/>
                <w:bCs w:val="0"/>
              </w:rPr>
            </w:pPr>
            <w:r w:rsidRPr="001C5F76">
              <w:lastRenderedPageBreak/>
              <w:t>Aliança Oxford-Princeton</w:t>
            </w:r>
          </w:p>
          <w:p w14:paraId="36D7B502" w14:textId="77777777" w:rsidR="00DE19E1" w:rsidRPr="001C5F76" w:rsidRDefault="00DE19E1" w:rsidP="00E2153F">
            <w:pPr>
              <w:spacing w:line="360" w:lineRule="auto"/>
              <w:jc w:val="both"/>
            </w:pPr>
            <w:r w:rsidRPr="001C5F76">
              <w:t>Com base em conexões de longa data entre acadêmicos, Oxford e Princeton firmaram um acordo em 2001 para fortalecer ainda mais os laços. Existem três componentes principais para o relacionamento: colaboração em pesquisa, intercâmbio de alunos e um programa conjunto de pós-doutorado em economia política global.</w:t>
            </w:r>
          </w:p>
          <w:p w14:paraId="0C47E4DF" w14:textId="77777777" w:rsidR="00DE19E1" w:rsidRPr="001C5F76" w:rsidRDefault="00DE19E1" w:rsidP="00E2153F">
            <w:pPr>
              <w:spacing w:line="360" w:lineRule="auto"/>
              <w:jc w:val="both"/>
            </w:pPr>
            <w:r w:rsidRPr="001C5F76">
              <w:t>Colaboração em pesquisa : as duas universidades fornecem financiamento inicial para projetos de pesquisa conjuntos entre seus acadêmicos.</w:t>
            </w:r>
          </w:p>
          <w:p w14:paraId="3D23FC01" w14:textId="77777777" w:rsidR="00DE19E1" w:rsidRPr="001C5F76" w:rsidRDefault="00DE19E1" w:rsidP="00E2153F">
            <w:pPr>
              <w:spacing w:line="360" w:lineRule="auto"/>
              <w:jc w:val="both"/>
            </w:pPr>
            <w:r w:rsidRPr="001C5F76">
              <w:t>Intercâmbio de alunos : a cada ano, 10-15 alunos de bioquímica e engenharia passam meio ano ou todo o ano estudando em outra universidade como parte do  Oxford-Princeton Exchange .</w:t>
            </w:r>
          </w:p>
          <w:p w14:paraId="288786A9" w14:textId="77777777" w:rsidR="00DE19E1" w:rsidRPr="001C5F76" w:rsidRDefault="00DE19E1" w:rsidP="00E2153F">
            <w:pPr>
              <w:spacing w:line="360" w:lineRule="auto"/>
              <w:jc w:val="both"/>
            </w:pPr>
            <w:r w:rsidRPr="001C5F76">
              <w:t>Programa de Bolsas de Estudo : Como parte do Programa de Bolsas de Estudo para Líderes Globais de Oxford-Princeton , entre três e cinco jovens acadêmicos em política mundial e economia política de países em desenvolvimento são indicados a cada ano, e passam um ano em Oxford e um ano em Princeton.</w:t>
            </w:r>
          </w:p>
          <w:p w14:paraId="7245C221" w14:textId="77777777" w:rsidR="00DE19E1" w:rsidRPr="001C5F76" w:rsidRDefault="00DE19E1" w:rsidP="00E2153F">
            <w:pPr>
              <w:spacing w:line="360" w:lineRule="auto"/>
              <w:jc w:val="both"/>
            </w:pPr>
          </w:p>
          <w:p w14:paraId="793569CA" w14:textId="77777777" w:rsidR="00DE19E1" w:rsidRPr="001C5F76" w:rsidRDefault="00DE19E1" w:rsidP="00E2153F">
            <w:pPr>
              <w:spacing w:line="360" w:lineRule="auto"/>
              <w:jc w:val="both"/>
            </w:pPr>
            <w:r w:rsidRPr="001C5F76">
              <w:t xml:space="preserve">Fonte: </w:t>
            </w:r>
            <w:hyperlink r:id="rId188" w:history="1">
              <w:r w:rsidRPr="001C5F76">
                <w:rPr>
                  <w:color w:val="4875BD" w:themeColor="accent1"/>
                  <w:u w:val="single"/>
                </w:rPr>
                <w:t>https://www.ox.ac.uk/about/international-oxford/oxfords-international-profile/international-alliances</w:t>
              </w:r>
            </w:hyperlink>
            <w:r w:rsidRPr="001C5F76">
              <w:t xml:space="preserve"> </w:t>
            </w:r>
          </w:p>
          <w:p w14:paraId="112869B0" w14:textId="77777777" w:rsidR="00DE19E1" w:rsidRPr="001C5F76" w:rsidRDefault="00DE19E1" w:rsidP="00E2153F">
            <w:pPr>
              <w:spacing w:line="360" w:lineRule="auto"/>
              <w:jc w:val="both"/>
            </w:pPr>
            <w:r w:rsidRPr="001C5F76">
              <w:t>Mais informações no escritório de engajamento internacional:</w:t>
            </w:r>
          </w:p>
          <w:p w14:paraId="566B4FCA" w14:textId="77777777" w:rsidR="00DE19E1" w:rsidRPr="001C5F76" w:rsidRDefault="00A515B3" w:rsidP="00E2153F">
            <w:pPr>
              <w:spacing w:line="360" w:lineRule="auto"/>
              <w:jc w:val="both"/>
            </w:pPr>
            <w:hyperlink r:id="rId189" w:history="1">
              <w:r w:rsidR="00DE19E1" w:rsidRPr="001C5F76">
                <w:rPr>
                  <w:color w:val="4875BD" w:themeColor="accent1"/>
                  <w:u w:val="single"/>
                </w:rPr>
                <w:t>https://www.ox.ac.uk/about/international-oxford/international-engagement-office</w:t>
              </w:r>
            </w:hyperlink>
            <w:r w:rsidR="00DE19E1" w:rsidRPr="001C5F76">
              <w:t xml:space="preserve"> </w:t>
            </w:r>
          </w:p>
          <w:p w14:paraId="6DE0E3D4" w14:textId="77777777" w:rsidR="00DE19E1" w:rsidRPr="001C5F76" w:rsidRDefault="00DE19E1" w:rsidP="00E2153F">
            <w:pPr>
              <w:spacing w:line="360" w:lineRule="auto"/>
              <w:jc w:val="both"/>
            </w:pPr>
          </w:p>
          <w:p w14:paraId="679127FC" w14:textId="77777777" w:rsidR="00DE19E1" w:rsidRPr="001C5F76" w:rsidRDefault="00DE19E1" w:rsidP="00E2153F">
            <w:pPr>
              <w:spacing w:line="360" w:lineRule="auto"/>
              <w:jc w:val="both"/>
            </w:pPr>
          </w:p>
        </w:tc>
      </w:tr>
      <w:tr w:rsidR="00DE19E1" w:rsidRPr="001C5F76" w14:paraId="0900FBD7"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7D95E3D" w14:textId="77777777" w:rsidR="00DE19E1" w:rsidRPr="001C5F76" w:rsidRDefault="00DE19E1" w:rsidP="00E2153F">
            <w:pPr>
              <w:spacing w:line="360" w:lineRule="auto"/>
              <w:jc w:val="both"/>
            </w:pPr>
            <w:r w:rsidRPr="001C5F76">
              <w:lastRenderedPageBreak/>
              <w:t>8.3. Parceria com Empresas Nacionais, Internacionais, Multinacionais (Públicas e Privadas);</w:t>
            </w:r>
          </w:p>
        </w:tc>
      </w:tr>
      <w:tr w:rsidR="00DE19E1" w:rsidRPr="001C5F76" w14:paraId="6BBE3326" w14:textId="77777777" w:rsidTr="00E2153F">
        <w:tc>
          <w:tcPr>
            <w:cnfStyle w:val="001000000000" w:firstRow="0" w:lastRow="0" w:firstColumn="1" w:lastColumn="0" w:oddVBand="0" w:evenVBand="0" w:oddHBand="0" w:evenHBand="0" w:firstRowFirstColumn="0" w:firstRowLastColumn="0" w:lastRowFirstColumn="0" w:lastRowLastColumn="0"/>
            <w:tcW w:w="2052" w:type="dxa"/>
            <w:gridSpan w:val="2"/>
            <w:tcBorders>
              <w:top w:val="single" w:sz="4" w:space="0" w:color="auto"/>
              <w:left w:val="single" w:sz="4" w:space="0" w:color="auto"/>
              <w:bottom w:val="single" w:sz="4" w:space="0" w:color="auto"/>
              <w:right w:val="single" w:sz="4" w:space="0" w:color="auto"/>
            </w:tcBorders>
          </w:tcPr>
          <w:p w14:paraId="05CA2AFF" w14:textId="77777777" w:rsidR="00DE19E1" w:rsidRPr="001C5F76" w:rsidRDefault="00DE19E1" w:rsidP="00E2153F">
            <w:pPr>
              <w:spacing w:line="360" w:lineRule="auto"/>
              <w:jc w:val="both"/>
              <w:rPr>
                <w:b w:val="0"/>
              </w:rPr>
            </w:pPr>
            <w:r w:rsidRPr="001C5F76">
              <w:t>Nome da Empresa</w:t>
            </w:r>
          </w:p>
        </w:tc>
        <w:tc>
          <w:tcPr>
            <w:tcW w:w="1594" w:type="dxa"/>
            <w:gridSpan w:val="6"/>
            <w:tcBorders>
              <w:top w:val="single" w:sz="4" w:space="0" w:color="auto"/>
              <w:left w:val="single" w:sz="4" w:space="0" w:color="auto"/>
              <w:bottom w:val="single" w:sz="4" w:space="0" w:color="auto"/>
              <w:right w:val="single" w:sz="4" w:space="0" w:color="auto"/>
            </w:tcBorders>
          </w:tcPr>
          <w:p w14:paraId="37E01B7B"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Tipo de parceria</w:t>
            </w:r>
          </w:p>
        </w:tc>
        <w:tc>
          <w:tcPr>
            <w:tcW w:w="3684" w:type="dxa"/>
            <w:gridSpan w:val="8"/>
            <w:tcBorders>
              <w:top w:val="single" w:sz="4" w:space="0" w:color="auto"/>
              <w:left w:val="single" w:sz="4" w:space="0" w:color="auto"/>
              <w:bottom w:val="single" w:sz="4" w:space="0" w:color="auto"/>
              <w:right w:val="single" w:sz="4" w:space="0" w:color="auto"/>
            </w:tcBorders>
          </w:tcPr>
          <w:p w14:paraId="2B8B02EB"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Nacional/Internacional/Multinacional</w:t>
            </w:r>
          </w:p>
        </w:tc>
        <w:tc>
          <w:tcPr>
            <w:tcW w:w="3161" w:type="dxa"/>
            <w:gridSpan w:val="3"/>
            <w:tcBorders>
              <w:top w:val="single" w:sz="4" w:space="0" w:color="auto"/>
              <w:left w:val="single" w:sz="4" w:space="0" w:color="auto"/>
              <w:bottom w:val="single" w:sz="4" w:space="0" w:color="auto"/>
              <w:right w:val="single" w:sz="4" w:space="0" w:color="auto"/>
            </w:tcBorders>
          </w:tcPr>
          <w:p w14:paraId="0EFBC4EB"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1C5F76">
              <w:rPr>
                <w:b/>
              </w:rPr>
              <w:t>Essas empresas possuem parcerias com outras IES?</w:t>
            </w:r>
          </w:p>
        </w:tc>
      </w:tr>
      <w:tr w:rsidR="00DE19E1" w:rsidRPr="001C5F76" w14:paraId="61576DA3"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gridSpan w:val="2"/>
            <w:tcBorders>
              <w:top w:val="single" w:sz="4" w:space="0" w:color="auto"/>
              <w:left w:val="single" w:sz="4" w:space="0" w:color="auto"/>
              <w:bottom w:val="single" w:sz="4" w:space="0" w:color="auto"/>
              <w:right w:val="single" w:sz="4" w:space="0" w:color="auto"/>
            </w:tcBorders>
          </w:tcPr>
          <w:p w14:paraId="7ABD3974" w14:textId="77777777" w:rsidR="00DE19E1" w:rsidRPr="001C5F76" w:rsidRDefault="00DE19E1" w:rsidP="00E2153F">
            <w:pPr>
              <w:spacing w:line="360" w:lineRule="auto"/>
              <w:jc w:val="both"/>
              <w:rPr>
                <w:b w:val="0"/>
              </w:rPr>
            </w:pPr>
            <w:r w:rsidRPr="001C5F76">
              <w:t>Não se aplica</w:t>
            </w:r>
          </w:p>
        </w:tc>
        <w:tc>
          <w:tcPr>
            <w:tcW w:w="1594" w:type="dxa"/>
            <w:gridSpan w:val="6"/>
            <w:tcBorders>
              <w:top w:val="single" w:sz="4" w:space="0" w:color="auto"/>
              <w:left w:val="single" w:sz="4" w:space="0" w:color="auto"/>
              <w:bottom w:val="single" w:sz="4" w:space="0" w:color="auto"/>
              <w:right w:val="single" w:sz="4" w:space="0" w:color="auto"/>
            </w:tcBorders>
          </w:tcPr>
          <w:p w14:paraId="485212B2"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 se aplica</w:t>
            </w:r>
          </w:p>
        </w:tc>
        <w:tc>
          <w:tcPr>
            <w:tcW w:w="3684" w:type="dxa"/>
            <w:gridSpan w:val="8"/>
            <w:tcBorders>
              <w:top w:val="single" w:sz="4" w:space="0" w:color="auto"/>
              <w:left w:val="single" w:sz="4" w:space="0" w:color="auto"/>
              <w:bottom w:val="single" w:sz="4" w:space="0" w:color="auto"/>
              <w:right w:val="single" w:sz="4" w:space="0" w:color="auto"/>
            </w:tcBorders>
          </w:tcPr>
          <w:p w14:paraId="0FA424BD"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 se aplica</w:t>
            </w:r>
          </w:p>
        </w:tc>
        <w:tc>
          <w:tcPr>
            <w:tcW w:w="3161" w:type="dxa"/>
            <w:gridSpan w:val="3"/>
            <w:tcBorders>
              <w:top w:val="single" w:sz="4" w:space="0" w:color="auto"/>
              <w:left w:val="single" w:sz="4" w:space="0" w:color="auto"/>
              <w:bottom w:val="single" w:sz="4" w:space="0" w:color="auto"/>
              <w:right w:val="single" w:sz="4" w:space="0" w:color="auto"/>
            </w:tcBorders>
          </w:tcPr>
          <w:p w14:paraId="2722139E"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1C5F76">
              <w:rPr>
                <w:b/>
              </w:rPr>
              <w:t>Não se aplica</w:t>
            </w:r>
          </w:p>
        </w:tc>
      </w:tr>
      <w:tr w:rsidR="00DE19E1" w:rsidRPr="001C5F76" w14:paraId="7C569C1C"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215ECDD" w14:textId="77777777" w:rsidR="00DE19E1" w:rsidRPr="001C5F76" w:rsidRDefault="00DE19E1" w:rsidP="00E2153F">
            <w:pPr>
              <w:spacing w:line="360" w:lineRule="auto"/>
              <w:jc w:val="both"/>
            </w:pPr>
            <w:r w:rsidRPr="001C5F76">
              <w:t>Observações:</w:t>
            </w:r>
          </w:p>
          <w:p w14:paraId="4E2CD4A4" w14:textId="77777777" w:rsidR="00DE19E1" w:rsidRPr="001C5F76" w:rsidRDefault="00DE19E1" w:rsidP="00E2153F">
            <w:pPr>
              <w:spacing w:line="360" w:lineRule="auto"/>
              <w:jc w:val="both"/>
            </w:pPr>
          </w:p>
          <w:p w14:paraId="28E6893F" w14:textId="77777777" w:rsidR="00DE19E1" w:rsidRPr="001C5F76" w:rsidRDefault="00DE19E1" w:rsidP="00E2153F">
            <w:pPr>
              <w:spacing w:line="360" w:lineRule="auto"/>
              <w:jc w:val="both"/>
            </w:pPr>
            <w:r w:rsidRPr="001C5F76">
              <w:t>As parcerias de Oxford acontecem em âmbito nacional e internacional e diversas esferas da universidade a saber:</w:t>
            </w:r>
          </w:p>
          <w:p w14:paraId="2F2BFE6B" w14:textId="77777777" w:rsidR="00DE19E1" w:rsidRPr="001C5F76" w:rsidRDefault="00DE19E1" w:rsidP="00E2153F">
            <w:pPr>
              <w:spacing w:line="360" w:lineRule="auto"/>
              <w:jc w:val="both"/>
            </w:pPr>
            <w:r w:rsidRPr="001C5F76">
              <w:t xml:space="preserve">- O próprio Planejamento estratégico trata a questão da parceria e do engajamento como um de seus 5 pilares prioritários: </w:t>
            </w:r>
            <w:hyperlink r:id="rId190" w:history="1">
              <w:r w:rsidRPr="001C5F76">
                <w:rPr>
                  <w:color w:val="4875BD" w:themeColor="accent1"/>
                  <w:u w:val="single"/>
                </w:rPr>
                <w:t>https://www.ox.ac.uk/about/organisation/strategic-plan-2018-23/engagement-and-partnership</w:t>
              </w:r>
            </w:hyperlink>
            <w:r w:rsidRPr="001C5F76">
              <w:t xml:space="preserve"> </w:t>
            </w:r>
          </w:p>
          <w:p w14:paraId="45CC221E" w14:textId="77777777" w:rsidR="00DE19E1" w:rsidRPr="001C5F76" w:rsidRDefault="00DE19E1" w:rsidP="00E2153F">
            <w:pPr>
              <w:spacing w:line="360" w:lineRule="auto"/>
              <w:jc w:val="both"/>
            </w:pPr>
            <w:r w:rsidRPr="001C5F76">
              <w:t>- Pesquisa nos diversos times das divisões acadêmicas, principalmente MPLS (</w:t>
            </w:r>
            <w:hyperlink r:id="rId191" w:history="1">
              <w:r w:rsidRPr="001C5F76">
                <w:rPr>
                  <w:color w:val="4875BD" w:themeColor="accent1"/>
                  <w:u w:val="single"/>
                </w:rPr>
                <w:t>https://www.mpls.ox.ac.uk/our-team/industry-links</w:t>
              </w:r>
            </w:hyperlink>
            <w:r w:rsidRPr="001C5F76">
              <w:t>)  e a Medical Science (</w:t>
            </w:r>
            <w:hyperlink r:id="rId192" w:history="1">
              <w:r w:rsidRPr="001C5F76">
                <w:rPr>
                  <w:color w:val="4875BD" w:themeColor="accent1"/>
                  <w:u w:val="single"/>
                </w:rPr>
                <w:t>https://www.medsci.ox.ac.uk/divisional-services/support-services-1/business-partnerships-office</w:t>
              </w:r>
            </w:hyperlink>
            <w:r w:rsidRPr="001C5F76">
              <w:t xml:space="preserve">) </w:t>
            </w:r>
          </w:p>
          <w:p w14:paraId="4345AB2B" w14:textId="77777777" w:rsidR="00DE19E1" w:rsidRPr="001C5F76" w:rsidRDefault="00DE19E1" w:rsidP="00E2153F">
            <w:pPr>
              <w:spacing w:line="360" w:lineRule="auto"/>
              <w:jc w:val="both"/>
            </w:pPr>
            <w:r w:rsidRPr="001C5F76">
              <w:t>- Inovação por meio da Oxford University Innovation</w:t>
            </w:r>
          </w:p>
          <w:p w14:paraId="62C47B64" w14:textId="77777777" w:rsidR="00DE19E1" w:rsidRPr="001C5F76" w:rsidRDefault="00DE19E1" w:rsidP="00E2153F">
            <w:pPr>
              <w:spacing w:line="360" w:lineRule="auto"/>
              <w:jc w:val="both"/>
            </w:pPr>
            <w:r w:rsidRPr="001C5F76">
              <w:t xml:space="preserve">- Estágios por meio do departamento de carreiras com as parcerias na comunidade </w:t>
            </w:r>
            <w:hyperlink r:id="rId193" w:history="1">
              <w:r w:rsidRPr="001C5F76">
                <w:rPr>
                  <w:color w:val="4875BD" w:themeColor="accent1"/>
                  <w:u w:val="single"/>
                </w:rPr>
                <w:t>https://www.careers.ox.ac.uk/partnerships-in-the-community</w:t>
              </w:r>
            </w:hyperlink>
            <w:r w:rsidRPr="001C5F76">
              <w:t xml:space="preserve"> </w:t>
            </w:r>
          </w:p>
          <w:p w14:paraId="26BEA550" w14:textId="77777777" w:rsidR="00DE19E1" w:rsidRPr="007B6DC0" w:rsidRDefault="00DE19E1" w:rsidP="00E2153F">
            <w:pPr>
              <w:spacing w:line="360" w:lineRule="auto"/>
              <w:jc w:val="both"/>
              <w:rPr>
                <w:lang w:val="en-US"/>
              </w:rPr>
            </w:pPr>
            <w:r w:rsidRPr="007B6DC0">
              <w:rPr>
                <w:lang w:val="en-US"/>
              </w:rPr>
              <w:t xml:space="preserve">- Business por meio da Saïd Business School </w:t>
            </w:r>
            <w:hyperlink r:id="rId194" w:history="1">
              <w:r w:rsidRPr="007B6DC0">
                <w:rPr>
                  <w:color w:val="4875BD" w:themeColor="accent1"/>
                  <w:u w:val="single"/>
                  <w:lang w:val="en-US"/>
                </w:rPr>
                <w:t>https://www.sbs.ox.ac.uk/about-us/support-us/corporate-partnerships</w:t>
              </w:r>
            </w:hyperlink>
            <w:r w:rsidRPr="007B6DC0">
              <w:rPr>
                <w:lang w:val="en-US"/>
              </w:rPr>
              <w:t xml:space="preserve"> </w:t>
            </w:r>
          </w:p>
          <w:p w14:paraId="7AD8BCCF" w14:textId="77777777" w:rsidR="00DE19E1" w:rsidRPr="001C5F76" w:rsidRDefault="00DE19E1" w:rsidP="00E2153F">
            <w:pPr>
              <w:spacing w:line="360" w:lineRule="auto"/>
              <w:jc w:val="both"/>
            </w:pPr>
            <w:r w:rsidRPr="001C5F76">
              <w:t xml:space="preserve">- As próprias faculdades ou colleges também possuem parcerias - </w:t>
            </w:r>
            <w:hyperlink r:id="rId195" w:history="1">
              <w:r w:rsidRPr="001C5F76">
                <w:rPr>
                  <w:color w:val="4875BD" w:themeColor="accent1"/>
                  <w:u w:val="single"/>
                </w:rPr>
                <w:t>https://www.law.ox.ac.uk/support-oxford-</w:t>
              </w:r>
              <w:r w:rsidRPr="001C5F76">
                <w:rPr>
                  <w:color w:val="4875BD" w:themeColor="accent1"/>
                  <w:u w:val="single"/>
                </w:rPr>
                <w:lastRenderedPageBreak/>
                <w:t>law/corporate-partnerships</w:t>
              </w:r>
            </w:hyperlink>
            <w:r w:rsidRPr="001C5F76">
              <w:t xml:space="preserve"> </w:t>
            </w:r>
          </w:p>
          <w:p w14:paraId="67D04DBA" w14:textId="77777777" w:rsidR="00DE19E1" w:rsidRPr="001C5F76" w:rsidRDefault="00DE19E1" w:rsidP="00E2153F">
            <w:pPr>
              <w:spacing w:line="360" w:lineRule="auto"/>
              <w:jc w:val="both"/>
            </w:pPr>
          </w:p>
          <w:p w14:paraId="3D42D494" w14:textId="77777777" w:rsidR="00DE19E1" w:rsidRPr="001C5F76" w:rsidRDefault="00DE19E1" w:rsidP="00E2153F">
            <w:pPr>
              <w:spacing w:line="360" w:lineRule="auto"/>
              <w:jc w:val="both"/>
            </w:pPr>
            <w:r w:rsidRPr="001C5F76">
              <w:t>Como pode ser observado, as estratégias de parceria são muitas e elas não estão centralizadas em um único departamento, ao contrário, cada vertente da universidade é incentivada a buscar suas próprias parcerias e maneiras de associar com a indústria e a comunidade para que possam crescer.</w:t>
            </w:r>
          </w:p>
          <w:p w14:paraId="47E1FCD8" w14:textId="77777777" w:rsidR="00DE19E1" w:rsidRPr="001C5F76" w:rsidRDefault="00DE19E1" w:rsidP="00E2153F">
            <w:pPr>
              <w:spacing w:line="360" w:lineRule="auto"/>
              <w:jc w:val="both"/>
            </w:pPr>
          </w:p>
          <w:p w14:paraId="43ADC475" w14:textId="77777777" w:rsidR="00DE19E1" w:rsidRPr="001C5F76" w:rsidRDefault="00DE19E1" w:rsidP="00E2153F">
            <w:pPr>
              <w:spacing w:line="360" w:lineRule="auto"/>
              <w:jc w:val="both"/>
            </w:pPr>
          </w:p>
        </w:tc>
      </w:tr>
      <w:tr w:rsidR="00DE19E1" w:rsidRPr="001C5F76" w14:paraId="71A5699F"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21AFD5AF" w14:textId="77777777" w:rsidR="00DE19E1" w:rsidRPr="001C5F76" w:rsidRDefault="00DE19E1" w:rsidP="00E2153F">
            <w:pPr>
              <w:spacing w:line="360" w:lineRule="auto"/>
              <w:jc w:val="both"/>
              <w:rPr>
                <w:rFonts w:asciiTheme="minorHAnsi" w:hAnsiTheme="minorHAnsi"/>
              </w:rPr>
            </w:pPr>
            <w:r w:rsidRPr="001C5F76">
              <w:lastRenderedPageBreak/>
              <w:t>8.4. Intercâmbios com IES Nacionais e Internacionais (</w:t>
            </w:r>
            <w:r w:rsidRPr="001C5F76">
              <w:rPr>
                <w:rFonts w:asciiTheme="minorHAnsi" w:hAnsiTheme="minorHAnsi"/>
              </w:rPr>
              <w:t>Importante observar a consistência das atividades de intercâmbio com o projeto acadêmico</w:t>
            </w:r>
            <w:r w:rsidRPr="001C5F76">
              <w:t>).</w:t>
            </w:r>
            <w:r w:rsidRPr="001C5F76">
              <w:rPr>
                <w:rFonts w:asciiTheme="minorHAnsi" w:hAnsiTheme="minorHAnsi"/>
              </w:rPr>
              <w:t xml:space="preserve"> </w:t>
            </w:r>
          </w:p>
        </w:tc>
      </w:tr>
      <w:tr w:rsidR="00DE19E1" w:rsidRPr="001C5F76" w14:paraId="4E958DC1" w14:textId="77777777" w:rsidTr="00E2153F">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tcPr>
          <w:p w14:paraId="71D1EACD" w14:textId="77777777" w:rsidR="00DE19E1" w:rsidRPr="001C5F76" w:rsidRDefault="00DE19E1" w:rsidP="00E2153F">
            <w:pPr>
              <w:spacing w:line="360" w:lineRule="auto"/>
              <w:jc w:val="both"/>
            </w:pPr>
            <w:r w:rsidRPr="001C5F76">
              <w:t>Nome da IES</w:t>
            </w:r>
          </w:p>
        </w:tc>
        <w:tc>
          <w:tcPr>
            <w:tcW w:w="2907" w:type="dxa"/>
            <w:gridSpan w:val="6"/>
            <w:tcBorders>
              <w:top w:val="single" w:sz="4" w:space="0" w:color="auto"/>
              <w:left w:val="single" w:sz="4" w:space="0" w:color="auto"/>
              <w:bottom w:val="single" w:sz="4" w:space="0" w:color="auto"/>
              <w:right w:val="single" w:sz="4" w:space="0" w:color="auto"/>
            </w:tcBorders>
          </w:tcPr>
          <w:p w14:paraId="1D29A5FF"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Tempo de convênio</w:t>
            </w:r>
          </w:p>
        </w:tc>
        <w:tc>
          <w:tcPr>
            <w:tcW w:w="4247" w:type="dxa"/>
            <w:gridSpan w:val="7"/>
            <w:tcBorders>
              <w:top w:val="single" w:sz="4" w:space="0" w:color="auto"/>
              <w:left w:val="single" w:sz="4" w:space="0" w:color="auto"/>
              <w:bottom w:val="single" w:sz="4" w:space="0" w:color="auto"/>
              <w:right w:val="single" w:sz="4" w:space="0" w:color="auto"/>
            </w:tcBorders>
          </w:tcPr>
          <w:p w14:paraId="61D1F449"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Número de estudantes atendidos</w:t>
            </w:r>
          </w:p>
        </w:tc>
      </w:tr>
      <w:tr w:rsidR="00DE19E1" w:rsidRPr="001C5F76" w14:paraId="5A7AEB7D"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tcPr>
          <w:p w14:paraId="5A6BFAE8" w14:textId="77777777" w:rsidR="00DE19E1" w:rsidRPr="001C5F76" w:rsidRDefault="00DE19E1" w:rsidP="00E2153F">
            <w:pPr>
              <w:spacing w:line="360" w:lineRule="auto"/>
              <w:jc w:val="both"/>
              <w:rPr>
                <w:b w:val="0"/>
                <w:bCs w:val="0"/>
              </w:rPr>
            </w:pPr>
            <w:r w:rsidRPr="001C5F76">
              <w:t>Não se aplica</w:t>
            </w:r>
          </w:p>
        </w:tc>
        <w:tc>
          <w:tcPr>
            <w:tcW w:w="2907" w:type="dxa"/>
            <w:gridSpan w:val="6"/>
            <w:tcBorders>
              <w:top w:val="single" w:sz="4" w:space="0" w:color="auto"/>
              <w:left w:val="single" w:sz="4" w:space="0" w:color="auto"/>
              <w:bottom w:val="single" w:sz="4" w:space="0" w:color="auto"/>
              <w:right w:val="single" w:sz="4" w:space="0" w:color="auto"/>
            </w:tcBorders>
          </w:tcPr>
          <w:p w14:paraId="7B856F4B"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C5F76">
              <w:rPr>
                <w:b/>
                <w:bCs/>
              </w:rPr>
              <w:t>Nãos e aplica</w:t>
            </w:r>
          </w:p>
        </w:tc>
        <w:tc>
          <w:tcPr>
            <w:tcW w:w="4247" w:type="dxa"/>
            <w:gridSpan w:val="7"/>
            <w:tcBorders>
              <w:top w:val="single" w:sz="4" w:space="0" w:color="auto"/>
              <w:left w:val="single" w:sz="4" w:space="0" w:color="auto"/>
              <w:bottom w:val="single" w:sz="4" w:space="0" w:color="auto"/>
              <w:right w:val="single" w:sz="4" w:space="0" w:color="auto"/>
            </w:tcBorders>
          </w:tcPr>
          <w:p w14:paraId="490B885B"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1C5F76">
              <w:rPr>
                <w:b/>
                <w:bCs/>
              </w:rPr>
              <w:t>Não se aplica</w:t>
            </w:r>
          </w:p>
        </w:tc>
      </w:tr>
      <w:tr w:rsidR="00DE19E1" w:rsidRPr="001C5F76" w14:paraId="492218EC"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38A911D9" w14:textId="77777777" w:rsidR="00DE19E1" w:rsidRPr="001C5F76" w:rsidRDefault="00DE19E1" w:rsidP="00E2153F">
            <w:pPr>
              <w:spacing w:line="360" w:lineRule="auto"/>
              <w:jc w:val="both"/>
            </w:pPr>
            <w:r w:rsidRPr="001C5F76">
              <w:t>Observações:</w:t>
            </w:r>
          </w:p>
          <w:p w14:paraId="491E79D7" w14:textId="77777777" w:rsidR="00DE19E1" w:rsidRPr="001C5F76" w:rsidRDefault="00DE19E1" w:rsidP="00E2153F">
            <w:pPr>
              <w:spacing w:line="360" w:lineRule="auto"/>
              <w:jc w:val="both"/>
            </w:pPr>
          </w:p>
          <w:p w14:paraId="3134F5F0" w14:textId="77777777" w:rsidR="00DE19E1" w:rsidRPr="001C5F76" w:rsidRDefault="00DE19E1" w:rsidP="00E2153F">
            <w:pPr>
              <w:spacing w:line="360" w:lineRule="auto"/>
              <w:jc w:val="both"/>
            </w:pPr>
            <w:r w:rsidRPr="001C5F76">
              <w:t>Intercâmbios, programas de verão e outras oportunidades de estudo no exterior são oferecidas aos estudantes com o  objetivo de aprimorar seus estudos durante ou fora do período letivo. Algumas das oportunidades ofertadas são organizadas e financiadas pela Universidade de Oxford, enquanto outras são administradas por instituições afiliadas. São elas:</w:t>
            </w:r>
          </w:p>
          <w:p w14:paraId="57CBC0F1" w14:textId="77777777" w:rsidR="00DE19E1" w:rsidRPr="001C5F76" w:rsidRDefault="00DE19E1" w:rsidP="00DE19E1">
            <w:pPr>
              <w:numPr>
                <w:ilvl w:val="0"/>
                <w:numId w:val="35"/>
              </w:numPr>
              <w:spacing w:line="360" w:lineRule="auto"/>
              <w:contextualSpacing/>
              <w:jc w:val="both"/>
            </w:pPr>
            <w:r w:rsidRPr="001C5F76">
              <w:t>Oxford estudo no exterior / intercâmbios</w:t>
            </w:r>
          </w:p>
          <w:p w14:paraId="3EB5C5B4" w14:textId="77777777" w:rsidR="00DE19E1" w:rsidRPr="001C5F76" w:rsidRDefault="00DE19E1" w:rsidP="00DE19E1">
            <w:pPr>
              <w:numPr>
                <w:ilvl w:val="0"/>
                <w:numId w:val="35"/>
              </w:numPr>
              <w:spacing w:line="360" w:lineRule="auto"/>
              <w:contextualSpacing/>
              <w:jc w:val="both"/>
            </w:pPr>
            <w:r w:rsidRPr="001C5F76">
              <w:t>Bolsas de viagem e expedições</w:t>
            </w:r>
          </w:p>
          <w:p w14:paraId="5E6E504C" w14:textId="77777777" w:rsidR="00DE19E1" w:rsidRPr="001C5F76" w:rsidRDefault="00DE19E1" w:rsidP="00DE19E1">
            <w:pPr>
              <w:numPr>
                <w:ilvl w:val="0"/>
                <w:numId w:val="35"/>
              </w:numPr>
              <w:spacing w:line="360" w:lineRule="auto"/>
              <w:contextualSpacing/>
              <w:jc w:val="both"/>
            </w:pPr>
            <w:r w:rsidRPr="001C5F76">
              <w:t>Programas de verão</w:t>
            </w:r>
          </w:p>
          <w:p w14:paraId="490B5F82" w14:textId="77777777" w:rsidR="00DE19E1" w:rsidRPr="001C5F76" w:rsidRDefault="00DE19E1" w:rsidP="00DE19E1">
            <w:pPr>
              <w:numPr>
                <w:ilvl w:val="0"/>
                <w:numId w:val="35"/>
              </w:numPr>
              <w:spacing w:line="360" w:lineRule="auto"/>
              <w:contextualSpacing/>
              <w:jc w:val="both"/>
            </w:pPr>
            <w:r w:rsidRPr="001C5F76">
              <w:t>Outras oportunidades</w:t>
            </w:r>
          </w:p>
          <w:p w14:paraId="545BC748" w14:textId="77777777" w:rsidR="00DE19E1" w:rsidRPr="001C5F76" w:rsidRDefault="00DE19E1" w:rsidP="00E2153F">
            <w:pPr>
              <w:spacing w:line="360" w:lineRule="auto"/>
              <w:jc w:val="both"/>
            </w:pPr>
          </w:p>
          <w:p w14:paraId="5FF8F2D1" w14:textId="77777777" w:rsidR="00DE19E1" w:rsidRPr="001C5F76" w:rsidRDefault="00DE19E1" w:rsidP="00E2153F">
            <w:pPr>
              <w:spacing w:line="360" w:lineRule="auto"/>
              <w:jc w:val="both"/>
            </w:pPr>
            <w:r w:rsidRPr="001C5F76">
              <w:t>Abaixo, as tabelas de oferta dessas oportunidades, foram encontradas pela pesquisadora, no dia da coleta do dados, 14 de agosto de 2021.</w:t>
            </w:r>
          </w:p>
          <w:p w14:paraId="6C8817B6" w14:textId="77777777" w:rsidR="00DE19E1" w:rsidRPr="001C5F76" w:rsidRDefault="00DE19E1" w:rsidP="00E2153F">
            <w:pPr>
              <w:spacing w:line="360" w:lineRule="auto"/>
              <w:jc w:val="both"/>
            </w:pPr>
            <w:r w:rsidRPr="001C5F76">
              <w:t xml:space="preserve">Link: </w:t>
            </w:r>
            <w:hyperlink r:id="rId196" w:history="1">
              <w:r w:rsidRPr="001C5F76">
                <w:rPr>
                  <w:color w:val="4875BD" w:themeColor="accent1"/>
                  <w:u w:val="single"/>
                </w:rPr>
                <w:t>https://www.ox.ac.uk/students/fees-funding/international/scholarships-exchanges</w:t>
              </w:r>
            </w:hyperlink>
            <w:r w:rsidRPr="001C5F76">
              <w:t xml:space="preserve"> </w:t>
            </w:r>
          </w:p>
          <w:p w14:paraId="3C028E83" w14:textId="77777777" w:rsidR="00DE19E1" w:rsidRPr="001C5F76" w:rsidRDefault="00DE19E1" w:rsidP="00E2153F">
            <w:pPr>
              <w:spacing w:line="360" w:lineRule="auto"/>
              <w:jc w:val="both"/>
            </w:pPr>
          </w:p>
        </w:tc>
      </w:tr>
      <w:tr w:rsidR="00DE19E1" w:rsidRPr="001C5F76" w14:paraId="6406C3C3"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tbl>
            <w:tblPr>
              <w:tblW w:w="10238" w:type="dxa"/>
              <w:tblCellMar>
                <w:left w:w="70" w:type="dxa"/>
                <w:right w:w="70" w:type="dxa"/>
              </w:tblCellMar>
              <w:tblLook w:val="04A0" w:firstRow="1" w:lastRow="0" w:firstColumn="1" w:lastColumn="0" w:noHBand="0" w:noVBand="1"/>
            </w:tblPr>
            <w:tblGrid>
              <w:gridCol w:w="2725"/>
              <w:gridCol w:w="3402"/>
              <w:gridCol w:w="4111"/>
            </w:tblGrid>
            <w:tr w:rsidR="00DE19E1" w:rsidRPr="001C5F76" w14:paraId="55BBEC67" w14:textId="77777777" w:rsidTr="00E2153F">
              <w:trPr>
                <w:trHeight w:val="600"/>
              </w:trPr>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2EDB3"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Oportunidade de estudo no Exterior / Intercâmbio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2305CF4F"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Elegibilidade</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0EED707"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Financiamento disponível</w:t>
                  </w:r>
                </w:p>
              </w:tc>
            </w:tr>
            <w:tr w:rsidR="00DE19E1" w:rsidRPr="001C5F76" w14:paraId="10B44E64"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2569027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de Adam von Trott Göttingen</w:t>
                  </w:r>
                </w:p>
              </w:tc>
              <w:tc>
                <w:tcPr>
                  <w:tcW w:w="3402" w:type="dxa"/>
                  <w:tcBorders>
                    <w:top w:val="nil"/>
                    <w:left w:val="nil"/>
                    <w:bottom w:val="single" w:sz="4" w:space="0" w:color="auto"/>
                    <w:right w:val="single" w:sz="4" w:space="0" w:color="auto"/>
                  </w:tcBorders>
                  <w:shd w:val="clear" w:color="auto" w:fill="auto"/>
                  <w:vAlign w:val="bottom"/>
                  <w:hideMark/>
                </w:tcPr>
                <w:p w14:paraId="48912B6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Alemanha, até 1 mês</w:t>
                  </w:r>
                </w:p>
              </w:tc>
              <w:tc>
                <w:tcPr>
                  <w:tcW w:w="4111" w:type="dxa"/>
                  <w:tcBorders>
                    <w:top w:val="nil"/>
                    <w:left w:val="nil"/>
                    <w:bottom w:val="single" w:sz="4" w:space="0" w:color="auto"/>
                    <w:right w:val="single" w:sz="4" w:space="0" w:color="auto"/>
                  </w:tcBorders>
                  <w:shd w:val="clear" w:color="auto" w:fill="auto"/>
                  <w:hideMark/>
                </w:tcPr>
                <w:p w14:paraId="043C19BE"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€ 1.500</w:t>
                  </w:r>
                </w:p>
              </w:tc>
            </w:tr>
            <w:tr w:rsidR="00DE19E1" w:rsidRPr="001C5F76" w14:paraId="2DEBDB9D"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703006E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ANU Exchange</w:t>
                  </w:r>
                </w:p>
              </w:tc>
              <w:tc>
                <w:tcPr>
                  <w:tcW w:w="3402" w:type="dxa"/>
                  <w:tcBorders>
                    <w:top w:val="nil"/>
                    <w:left w:val="nil"/>
                    <w:bottom w:val="single" w:sz="4" w:space="0" w:color="auto"/>
                    <w:right w:val="single" w:sz="4" w:space="0" w:color="auto"/>
                  </w:tcBorders>
                  <w:shd w:val="clear" w:color="auto" w:fill="auto"/>
                  <w:vAlign w:val="bottom"/>
                  <w:hideMark/>
                </w:tcPr>
                <w:p w14:paraId="7D869F9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Australian National University (Austrália), 3 a 12 meses</w:t>
                  </w:r>
                </w:p>
              </w:tc>
              <w:tc>
                <w:tcPr>
                  <w:tcW w:w="4111" w:type="dxa"/>
                  <w:tcBorders>
                    <w:top w:val="nil"/>
                    <w:left w:val="nil"/>
                    <w:bottom w:val="single" w:sz="4" w:space="0" w:color="auto"/>
                    <w:right w:val="single" w:sz="4" w:space="0" w:color="auto"/>
                  </w:tcBorders>
                  <w:shd w:val="clear" w:color="auto" w:fill="auto"/>
                  <w:hideMark/>
                </w:tcPr>
                <w:p w14:paraId="30A4660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Custos de voo, visto e cobertura de saúde</w:t>
                  </w:r>
                </w:p>
              </w:tc>
            </w:tr>
            <w:tr w:rsidR="00DE19E1" w:rsidRPr="001C5F76" w14:paraId="799D7593"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4C54D62C"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lastRenderedPageBreak/>
                    <w:t>Charterhouse European Bursary</w:t>
                  </w:r>
                </w:p>
              </w:tc>
              <w:tc>
                <w:tcPr>
                  <w:tcW w:w="3402" w:type="dxa"/>
                  <w:tcBorders>
                    <w:top w:val="nil"/>
                    <w:left w:val="nil"/>
                    <w:bottom w:val="single" w:sz="4" w:space="0" w:color="auto"/>
                    <w:right w:val="single" w:sz="4" w:space="0" w:color="auto"/>
                  </w:tcBorders>
                  <w:shd w:val="clear" w:color="auto" w:fill="auto"/>
                  <w:vAlign w:val="bottom"/>
                  <w:hideMark/>
                </w:tcPr>
                <w:p w14:paraId="6DA9426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Europa, 3 a 12 meses</w:t>
                  </w:r>
                </w:p>
              </w:tc>
              <w:tc>
                <w:tcPr>
                  <w:tcW w:w="4111" w:type="dxa"/>
                  <w:tcBorders>
                    <w:top w:val="nil"/>
                    <w:left w:val="nil"/>
                    <w:bottom w:val="single" w:sz="4" w:space="0" w:color="auto"/>
                    <w:right w:val="single" w:sz="4" w:space="0" w:color="auto"/>
                  </w:tcBorders>
                  <w:shd w:val="clear" w:color="auto" w:fill="auto"/>
                  <w:hideMark/>
                </w:tcPr>
                <w:p w14:paraId="1165634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£ 6.500</w:t>
                  </w:r>
                </w:p>
              </w:tc>
            </w:tr>
            <w:tr w:rsidR="00DE19E1" w:rsidRPr="001C5F76" w14:paraId="7ABBCCAC"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28B474C0"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Bolsas de estudo do governo chinês</w:t>
                  </w:r>
                </w:p>
              </w:tc>
              <w:tc>
                <w:tcPr>
                  <w:tcW w:w="3402" w:type="dxa"/>
                  <w:tcBorders>
                    <w:top w:val="nil"/>
                    <w:left w:val="nil"/>
                    <w:bottom w:val="single" w:sz="4" w:space="0" w:color="auto"/>
                    <w:right w:val="single" w:sz="4" w:space="0" w:color="auto"/>
                  </w:tcBorders>
                  <w:shd w:val="clear" w:color="auto" w:fill="auto"/>
                  <w:vAlign w:val="bottom"/>
                  <w:hideMark/>
                </w:tcPr>
                <w:p w14:paraId="2DEFB66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China, 6 meses a 7 anos</w:t>
                  </w:r>
                </w:p>
              </w:tc>
              <w:tc>
                <w:tcPr>
                  <w:tcW w:w="4111" w:type="dxa"/>
                  <w:tcBorders>
                    <w:top w:val="nil"/>
                    <w:left w:val="nil"/>
                    <w:bottom w:val="single" w:sz="4" w:space="0" w:color="auto"/>
                    <w:right w:val="single" w:sz="4" w:space="0" w:color="auto"/>
                  </w:tcBorders>
                  <w:shd w:val="clear" w:color="auto" w:fill="auto"/>
                  <w:hideMark/>
                </w:tcPr>
                <w:p w14:paraId="6035604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integral</w:t>
                  </w:r>
                </w:p>
              </w:tc>
            </w:tr>
            <w:tr w:rsidR="00DE19E1" w:rsidRPr="001C5F76" w14:paraId="4A56B6F5"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11A7E1DE"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Erasmus</w:t>
                  </w:r>
                </w:p>
              </w:tc>
              <w:tc>
                <w:tcPr>
                  <w:tcW w:w="3402" w:type="dxa"/>
                  <w:tcBorders>
                    <w:top w:val="nil"/>
                    <w:left w:val="nil"/>
                    <w:bottom w:val="single" w:sz="4" w:space="0" w:color="auto"/>
                    <w:right w:val="single" w:sz="4" w:space="0" w:color="auto"/>
                  </w:tcBorders>
                  <w:shd w:val="clear" w:color="auto" w:fill="auto"/>
                  <w:vAlign w:val="bottom"/>
                  <w:hideMark/>
                </w:tcPr>
                <w:p w14:paraId="7090AD0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vários departamentos, Europa, 3 a 12 meses</w:t>
                  </w:r>
                </w:p>
              </w:tc>
              <w:tc>
                <w:tcPr>
                  <w:tcW w:w="4111" w:type="dxa"/>
                  <w:tcBorders>
                    <w:top w:val="nil"/>
                    <w:left w:val="nil"/>
                    <w:bottom w:val="single" w:sz="4" w:space="0" w:color="auto"/>
                    <w:right w:val="single" w:sz="4" w:space="0" w:color="auto"/>
                  </w:tcBorders>
                  <w:shd w:val="clear" w:color="auto" w:fill="auto"/>
                  <w:hideMark/>
                </w:tcPr>
                <w:p w14:paraId="794AEC4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Entre € 370 e € 520 por mês</w:t>
                  </w:r>
                </w:p>
              </w:tc>
            </w:tr>
            <w:tr w:rsidR="00DE19E1" w:rsidRPr="001C5F76" w14:paraId="7A91665E"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7BB5AF24"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Bolsas alemãs</w:t>
                  </w:r>
                </w:p>
              </w:tc>
              <w:tc>
                <w:tcPr>
                  <w:tcW w:w="3402" w:type="dxa"/>
                  <w:tcBorders>
                    <w:top w:val="nil"/>
                    <w:left w:val="nil"/>
                    <w:bottom w:val="single" w:sz="4" w:space="0" w:color="auto"/>
                    <w:right w:val="single" w:sz="4" w:space="0" w:color="auto"/>
                  </w:tcBorders>
                  <w:shd w:val="clear" w:color="auto" w:fill="auto"/>
                  <w:vAlign w:val="bottom"/>
                  <w:hideMark/>
                </w:tcPr>
                <w:p w14:paraId="040CE5A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Alemanha, 1 a 2 anos</w:t>
                  </w:r>
                </w:p>
              </w:tc>
              <w:tc>
                <w:tcPr>
                  <w:tcW w:w="4111" w:type="dxa"/>
                  <w:tcBorders>
                    <w:top w:val="nil"/>
                    <w:left w:val="nil"/>
                    <w:bottom w:val="single" w:sz="4" w:space="0" w:color="auto"/>
                    <w:right w:val="single" w:sz="4" w:space="0" w:color="auto"/>
                  </w:tcBorders>
                  <w:shd w:val="clear" w:color="auto" w:fill="auto"/>
                  <w:hideMark/>
                </w:tcPr>
                <w:p w14:paraId="7DD1F42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Subsídio de manutenção mensal, despesas de viagem, outros</w:t>
                  </w:r>
                </w:p>
              </w:tc>
            </w:tr>
            <w:tr w:rsidR="00DE19E1" w:rsidRPr="001C5F76" w14:paraId="46B670ED"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3711267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Bolsas Henry e Proctor</w:t>
                  </w:r>
                </w:p>
              </w:tc>
              <w:tc>
                <w:tcPr>
                  <w:tcW w:w="3402" w:type="dxa"/>
                  <w:tcBorders>
                    <w:top w:val="nil"/>
                    <w:left w:val="nil"/>
                    <w:bottom w:val="single" w:sz="4" w:space="0" w:color="auto"/>
                    <w:right w:val="single" w:sz="4" w:space="0" w:color="auto"/>
                  </w:tcBorders>
                  <w:shd w:val="clear" w:color="auto" w:fill="auto"/>
                  <w:vAlign w:val="bottom"/>
                  <w:hideMark/>
                </w:tcPr>
                <w:p w14:paraId="27FCDED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Harvard, Yale e Princeton. Execute externamente.</w:t>
                  </w:r>
                </w:p>
              </w:tc>
              <w:tc>
                <w:tcPr>
                  <w:tcW w:w="4111" w:type="dxa"/>
                  <w:tcBorders>
                    <w:top w:val="nil"/>
                    <w:left w:val="nil"/>
                    <w:bottom w:val="single" w:sz="4" w:space="0" w:color="auto"/>
                    <w:right w:val="single" w:sz="4" w:space="0" w:color="auto"/>
                  </w:tcBorders>
                  <w:shd w:val="clear" w:color="auto" w:fill="auto"/>
                  <w:hideMark/>
                </w:tcPr>
                <w:p w14:paraId="2AFCFE5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Taxas de matrícula, subsídio de manutenção e subsídio de viagem</w:t>
                  </w:r>
                </w:p>
              </w:tc>
            </w:tr>
            <w:tr w:rsidR="00DE19E1" w:rsidRPr="001C5F76" w14:paraId="705B98F0" w14:textId="77777777" w:rsidTr="00E2153F">
              <w:trPr>
                <w:trHeight w:val="9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601710B5"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Programa de enriquecimento BACS-Taiwan Huayu</w:t>
                  </w:r>
                </w:p>
              </w:tc>
              <w:tc>
                <w:tcPr>
                  <w:tcW w:w="3402" w:type="dxa"/>
                  <w:tcBorders>
                    <w:top w:val="nil"/>
                    <w:left w:val="nil"/>
                    <w:bottom w:val="single" w:sz="4" w:space="0" w:color="auto"/>
                    <w:right w:val="single" w:sz="4" w:space="0" w:color="auto"/>
                  </w:tcBorders>
                  <w:shd w:val="clear" w:color="auto" w:fill="auto"/>
                  <w:vAlign w:val="bottom"/>
                  <w:hideMark/>
                </w:tcPr>
                <w:p w14:paraId="6FE8DD12"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Taiwan, 2 a 9 meses</w:t>
                  </w:r>
                </w:p>
              </w:tc>
              <w:tc>
                <w:tcPr>
                  <w:tcW w:w="4111" w:type="dxa"/>
                  <w:tcBorders>
                    <w:top w:val="nil"/>
                    <w:left w:val="nil"/>
                    <w:bottom w:val="single" w:sz="4" w:space="0" w:color="auto"/>
                    <w:right w:val="single" w:sz="4" w:space="0" w:color="auto"/>
                  </w:tcBorders>
                  <w:shd w:val="clear" w:color="auto" w:fill="auto"/>
                  <w:hideMark/>
                </w:tcPr>
                <w:p w14:paraId="5375FC44"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Estipêndio mensal de NT $ 25.000 (aproximadamente £ 500)</w:t>
                  </w:r>
                </w:p>
              </w:tc>
            </w:tr>
            <w:tr w:rsidR="00DE19E1" w:rsidRPr="001C5F76" w14:paraId="0433E2EC" w14:textId="77777777" w:rsidTr="00E2153F">
              <w:trPr>
                <w:trHeight w:val="12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0507200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Oxford-Genebra</w:t>
                  </w:r>
                </w:p>
              </w:tc>
              <w:tc>
                <w:tcPr>
                  <w:tcW w:w="3402" w:type="dxa"/>
                  <w:tcBorders>
                    <w:top w:val="nil"/>
                    <w:left w:val="nil"/>
                    <w:bottom w:val="single" w:sz="4" w:space="0" w:color="auto"/>
                    <w:right w:val="single" w:sz="4" w:space="0" w:color="auto"/>
                  </w:tcBorders>
                  <w:shd w:val="clear" w:color="auto" w:fill="auto"/>
                  <w:vAlign w:val="bottom"/>
                  <w:hideMark/>
                </w:tcPr>
                <w:p w14:paraId="7D649BA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Instituto de Pós-Graduação de Estudos Internacionais e de Desenvolvimento (Genebra, Suíça), pelo menos três semanas</w:t>
                  </w:r>
                </w:p>
              </w:tc>
              <w:tc>
                <w:tcPr>
                  <w:tcW w:w="4111" w:type="dxa"/>
                  <w:tcBorders>
                    <w:top w:val="nil"/>
                    <w:left w:val="nil"/>
                    <w:bottom w:val="single" w:sz="4" w:space="0" w:color="auto"/>
                    <w:right w:val="single" w:sz="4" w:space="0" w:color="auto"/>
                  </w:tcBorders>
                  <w:shd w:val="clear" w:color="auto" w:fill="auto"/>
                  <w:hideMark/>
                </w:tcPr>
                <w:p w14:paraId="17B48A8C"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€ 1.000</w:t>
                  </w:r>
                </w:p>
              </w:tc>
            </w:tr>
            <w:tr w:rsidR="00DE19E1" w:rsidRPr="001C5F76" w14:paraId="1904A26C" w14:textId="77777777" w:rsidTr="00E2153F">
              <w:trPr>
                <w:trHeight w:val="9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559524D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de estudos Oxford-Praga</w:t>
                  </w:r>
                </w:p>
              </w:tc>
              <w:tc>
                <w:tcPr>
                  <w:tcW w:w="3402" w:type="dxa"/>
                  <w:tcBorders>
                    <w:top w:val="nil"/>
                    <w:left w:val="nil"/>
                    <w:bottom w:val="single" w:sz="4" w:space="0" w:color="auto"/>
                    <w:right w:val="single" w:sz="4" w:space="0" w:color="auto"/>
                  </w:tcBorders>
                  <w:shd w:val="clear" w:color="auto" w:fill="auto"/>
                  <w:vAlign w:val="bottom"/>
                  <w:hideMark/>
                </w:tcPr>
                <w:p w14:paraId="55B3334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Charles University (Praga, República Tcheca), até um mês</w:t>
                  </w:r>
                </w:p>
              </w:tc>
              <w:tc>
                <w:tcPr>
                  <w:tcW w:w="4111" w:type="dxa"/>
                  <w:tcBorders>
                    <w:top w:val="nil"/>
                    <w:left w:val="nil"/>
                    <w:bottom w:val="single" w:sz="4" w:space="0" w:color="auto"/>
                    <w:right w:val="single" w:sz="4" w:space="0" w:color="auto"/>
                  </w:tcBorders>
                  <w:shd w:val="clear" w:color="auto" w:fill="auto"/>
                  <w:hideMark/>
                </w:tcPr>
                <w:p w14:paraId="56C32F9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€ 1.000</w:t>
                  </w:r>
                </w:p>
              </w:tc>
            </w:tr>
            <w:tr w:rsidR="00DE19E1" w:rsidRPr="001C5F76" w14:paraId="3C4DF85F"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61D7CD6B"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de estudos Oxford-Helsinque</w:t>
                  </w:r>
                </w:p>
              </w:tc>
              <w:tc>
                <w:tcPr>
                  <w:tcW w:w="3402" w:type="dxa"/>
                  <w:tcBorders>
                    <w:top w:val="nil"/>
                    <w:left w:val="nil"/>
                    <w:bottom w:val="single" w:sz="4" w:space="0" w:color="auto"/>
                    <w:right w:val="single" w:sz="4" w:space="0" w:color="auto"/>
                  </w:tcBorders>
                  <w:shd w:val="clear" w:color="auto" w:fill="auto"/>
                  <w:vAlign w:val="bottom"/>
                  <w:hideMark/>
                </w:tcPr>
                <w:p w14:paraId="2EF066F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PG, todos os departamentos, Universidade de Helsinque (Helsinque, Finlândia), até um mês</w:t>
                  </w:r>
                </w:p>
              </w:tc>
              <w:tc>
                <w:tcPr>
                  <w:tcW w:w="4111" w:type="dxa"/>
                  <w:tcBorders>
                    <w:top w:val="nil"/>
                    <w:left w:val="nil"/>
                    <w:bottom w:val="single" w:sz="4" w:space="0" w:color="auto"/>
                    <w:right w:val="single" w:sz="4" w:space="0" w:color="auto"/>
                  </w:tcBorders>
                  <w:shd w:val="clear" w:color="auto" w:fill="auto"/>
                  <w:hideMark/>
                </w:tcPr>
                <w:p w14:paraId="57AA5364"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€ 1.700</w:t>
                  </w:r>
                </w:p>
              </w:tc>
            </w:tr>
            <w:tr w:rsidR="00DE19E1" w:rsidRPr="001C5F76" w14:paraId="57867430"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163E349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Rainha Elizabeth</w:t>
                  </w:r>
                </w:p>
              </w:tc>
              <w:tc>
                <w:tcPr>
                  <w:tcW w:w="3402" w:type="dxa"/>
                  <w:tcBorders>
                    <w:top w:val="nil"/>
                    <w:left w:val="nil"/>
                    <w:bottom w:val="single" w:sz="4" w:space="0" w:color="auto"/>
                    <w:right w:val="single" w:sz="4" w:space="0" w:color="auto"/>
                  </w:tcBorders>
                  <w:shd w:val="clear" w:color="auto" w:fill="auto"/>
                  <w:vAlign w:val="bottom"/>
                  <w:hideMark/>
                </w:tcPr>
                <w:p w14:paraId="6B7399A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University of Pennsylvania (EUA), um ano</w:t>
                  </w:r>
                </w:p>
              </w:tc>
              <w:tc>
                <w:tcPr>
                  <w:tcW w:w="4111" w:type="dxa"/>
                  <w:tcBorders>
                    <w:top w:val="nil"/>
                    <w:left w:val="nil"/>
                    <w:bottom w:val="single" w:sz="4" w:space="0" w:color="auto"/>
                    <w:right w:val="single" w:sz="4" w:space="0" w:color="auto"/>
                  </w:tcBorders>
                  <w:shd w:val="clear" w:color="auto" w:fill="auto"/>
                  <w:hideMark/>
                </w:tcPr>
                <w:p w14:paraId="4CD9B876"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Custos de cobertura de saúde e estipêndio</w:t>
                  </w:r>
                </w:p>
              </w:tc>
            </w:tr>
            <w:tr w:rsidR="00DE19E1" w:rsidRPr="001C5F76" w14:paraId="4A6CD168"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5C242FC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Scatcherd European Scholarship</w:t>
                  </w:r>
                </w:p>
              </w:tc>
              <w:tc>
                <w:tcPr>
                  <w:tcW w:w="3402" w:type="dxa"/>
                  <w:tcBorders>
                    <w:top w:val="nil"/>
                    <w:left w:val="nil"/>
                    <w:bottom w:val="single" w:sz="4" w:space="0" w:color="auto"/>
                    <w:right w:val="single" w:sz="4" w:space="0" w:color="auto"/>
                  </w:tcBorders>
                  <w:shd w:val="clear" w:color="auto" w:fill="auto"/>
                  <w:vAlign w:val="bottom"/>
                  <w:hideMark/>
                </w:tcPr>
                <w:p w14:paraId="734AA78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Europa, 3 a 12 meses</w:t>
                  </w:r>
                </w:p>
              </w:tc>
              <w:tc>
                <w:tcPr>
                  <w:tcW w:w="4111" w:type="dxa"/>
                  <w:tcBorders>
                    <w:top w:val="nil"/>
                    <w:left w:val="nil"/>
                    <w:bottom w:val="single" w:sz="4" w:space="0" w:color="auto"/>
                    <w:right w:val="single" w:sz="4" w:space="0" w:color="auto"/>
                  </w:tcBorders>
                  <w:shd w:val="clear" w:color="auto" w:fill="auto"/>
                  <w:hideMark/>
                </w:tcPr>
                <w:p w14:paraId="120AFBDC"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£ 6.500</w:t>
                  </w:r>
                </w:p>
              </w:tc>
            </w:tr>
            <w:tr w:rsidR="00DE19E1" w:rsidRPr="001C5F76" w14:paraId="236CB1B2"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4BAA5C3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Study China</w:t>
                  </w:r>
                </w:p>
              </w:tc>
              <w:tc>
                <w:tcPr>
                  <w:tcW w:w="3402" w:type="dxa"/>
                  <w:tcBorders>
                    <w:top w:val="nil"/>
                    <w:left w:val="nil"/>
                    <w:bottom w:val="single" w:sz="4" w:space="0" w:color="auto"/>
                    <w:right w:val="single" w:sz="4" w:space="0" w:color="auto"/>
                  </w:tcBorders>
                  <w:shd w:val="clear" w:color="auto" w:fill="auto"/>
                  <w:vAlign w:val="bottom"/>
                  <w:hideMark/>
                </w:tcPr>
                <w:p w14:paraId="61A1B214"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China, três semanas</w:t>
                  </w:r>
                </w:p>
              </w:tc>
              <w:tc>
                <w:tcPr>
                  <w:tcW w:w="4111" w:type="dxa"/>
                  <w:tcBorders>
                    <w:top w:val="nil"/>
                    <w:left w:val="nil"/>
                    <w:bottom w:val="single" w:sz="4" w:space="0" w:color="auto"/>
                    <w:right w:val="single" w:sz="4" w:space="0" w:color="auto"/>
                  </w:tcBorders>
                  <w:shd w:val="clear" w:color="auto" w:fill="auto"/>
                  <w:hideMark/>
                </w:tcPr>
                <w:p w14:paraId="1339974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Todas as taxas de matrícula e acomodação são financiadas, os alunos financiam seus próprios custos de viagem.</w:t>
                  </w:r>
                </w:p>
              </w:tc>
            </w:tr>
            <w:tr w:rsidR="00DE19E1" w:rsidRPr="001C5F76" w14:paraId="70B076D5" w14:textId="77777777" w:rsidTr="00E2153F">
              <w:trPr>
                <w:trHeight w:val="9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1BE9B0AA"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lastRenderedPageBreak/>
                    <w:t>Bolsa de estudos de Taiwan</w:t>
                  </w:r>
                </w:p>
              </w:tc>
              <w:tc>
                <w:tcPr>
                  <w:tcW w:w="3402" w:type="dxa"/>
                  <w:tcBorders>
                    <w:top w:val="nil"/>
                    <w:left w:val="nil"/>
                    <w:bottom w:val="single" w:sz="4" w:space="0" w:color="auto"/>
                    <w:right w:val="single" w:sz="4" w:space="0" w:color="auto"/>
                  </w:tcBorders>
                  <w:shd w:val="clear" w:color="auto" w:fill="auto"/>
                  <w:vAlign w:val="bottom"/>
                  <w:hideMark/>
                </w:tcPr>
                <w:p w14:paraId="6F2B29AB"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Taiwan</w:t>
                  </w:r>
                </w:p>
              </w:tc>
              <w:tc>
                <w:tcPr>
                  <w:tcW w:w="4111" w:type="dxa"/>
                  <w:tcBorders>
                    <w:top w:val="nil"/>
                    <w:left w:val="nil"/>
                    <w:bottom w:val="single" w:sz="4" w:space="0" w:color="auto"/>
                    <w:right w:val="single" w:sz="4" w:space="0" w:color="auto"/>
                  </w:tcBorders>
                  <w:shd w:val="clear" w:color="auto" w:fill="auto"/>
                  <w:hideMark/>
                </w:tcPr>
                <w:p w14:paraId="65EA8300"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 mensalidade e certas taxas acadêmicas são cobertas, além de uma bolsa mensal de NT $ 30.000 para estudantes de graduação</w:t>
                  </w:r>
                </w:p>
              </w:tc>
            </w:tr>
            <w:tr w:rsidR="00DE19E1" w:rsidRPr="001C5F76" w14:paraId="701B0752"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3CCBAF6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de pós-graduação Wiener-Anspach</w:t>
                  </w:r>
                </w:p>
                <w:p w14:paraId="6D15F815"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p>
              </w:tc>
              <w:tc>
                <w:tcPr>
                  <w:tcW w:w="3402" w:type="dxa"/>
                  <w:tcBorders>
                    <w:top w:val="nil"/>
                    <w:left w:val="nil"/>
                    <w:bottom w:val="single" w:sz="4" w:space="0" w:color="auto"/>
                    <w:right w:val="single" w:sz="4" w:space="0" w:color="auto"/>
                  </w:tcBorders>
                  <w:shd w:val="clear" w:color="auto" w:fill="auto"/>
                  <w:vAlign w:val="bottom"/>
                  <w:hideMark/>
                </w:tcPr>
                <w:p w14:paraId="7EDB37C2"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Universidade Livre de Bruxelas (Bélgica), 6 a 12 meses</w:t>
                  </w:r>
                </w:p>
                <w:p w14:paraId="3AF710A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p>
              </w:tc>
              <w:tc>
                <w:tcPr>
                  <w:tcW w:w="4111" w:type="dxa"/>
                  <w:tcBorders>
                    <w:top w:val="nil"/>
                    <w:left w:val="nil"/>
                    <w:bottom w:val="single" w:sz="4" w:space="0" w:color="auto"/>
                    <w:right w:val="single" w:sz="4" w:space="0" w:color="auto"/>
                  </w:tcBorders>
                  <w:shd w:val="clear" w:color="auto" w:fill="auto"/>
                  <w:hideMark/>
                </w:tcPr>
                <w:p w14:paraId="334798C9" w14:textId="77777777" w:rsidR="00DE19E1"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€ 1.900 por mês</w:t>
                  </w:r>
                </w:p>
                <w:p w14:paraId="5CBD2BFD" w14:textId="77777777" w:rsidR="00DE19E1" w:rsidRDefault="00DE19E1" w:rsidP="00E2153F">
                  <w:pPr>
                    <w:tabs>
                      <w:tab w:val="clear" w:pos="1615"/>
                    </w:tabs>
                    <w:spacing w:after="0" w:line="360" w:lineRule="auto"/>
                    <w:rPr>
                      <w:rFonts w:ascii="Calibri" w:eastAsia="Times New Roman" w:hAnsi="Calibri" w:cs="Calibri"/>
                      <w:color w:val="000000"/>
                      <w:lang w:eastAsia="pt-BR"/>
                    </w:rPr>
                  </w:pPr>
                </w:p>
                <w:p w14:paraId="604D6200" w14:textId="77777777" w:rsidR="00DE19E1" w:rsidRDefault="00DE19E1" w:rsidP="00E2153F">
                  <w:pPr>
                    <w:tabs>
                      <w:tab w:val="clear" w:pos="1615"/>
                    </w:tabs>
                    <w:spacing w:after="0" w:line="360" w:lineRule="auto"/>
                    <w:rPr>
                      <w:rFonts w:ascii="Calibri" w:eastAsia="Times New Roman" w:hAnsi="Calibri" w:cs="Calibri"/>
                      <w:color w:val="000000"/>
                      <w:lang w:eastAsia="pt-BR"/>
                    </w:rPr>
                  </w:pPr>
                </w:p>
                <w:p w14:paraId="13B572B8" w14:textId="77777777" w:rsidR="00DE19E1" w:rsidRDefault="00DE19E1" w:rsidP="00E2153F">
                  <w:pPr>
                    <w:tabs>
                      <w:tab w:val="clear" w:pos="1615"/>
                    </w:tabs>
                    <w:spacing w:after="0" w:line="360" w:lineRule="auto"/>
                    <w:rPr>
                      <w:rFonts w:ascii="Calibri" w:eastAsia="Times New Roman" w:hAnsi="Calibri" w:cs="Calibri"/>
                      <w:color w:val="000000"/>
                      <w:lang w:eastAsia="pt-BR"/>
                    </w:rPr>
                  </w:pPr>
                </w:p>
                <w:p w14:paraId="32FEB2B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p>
              </w:tc>
            </w:tr>
          </w:tbl>
          <w:p w14:paraId="57F4C3C2" w14:textId="77777777" w:rsidR="00DE19E1" w:rsidRPr="001C5F76" w:rsidRDefault="00DE19E1" w:rsidP="00E2153F">
            <w:pPr>
              <w:spacing w:line="360" w:lineRule="auto"/>
              <w:jc w:val="both"/>
              <w:rPr>
                <w:b w:val="0"/>
              </w:rPr>
            </w:pPr>
          </w:p>
        </w:tc>
      </w:tr>
      <w:tr w:rsidR="00DE19E1" w:rsidRPr="001C5F76" w14:paraId="416C2FD1"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2910B52" w14:textId="77777777" w:rsidR="00DE19E1" w:rsidRPr="001C5F76" w:rsidRDefault="00DE19E1" w:rsidP="00E2153F">
            <w:pPr>
              <w:spacing w:line="360" w:lineRule="auto"/>
              <w:jc w:val="both"/>
              <w:rPr>
                <w:b w:val="0"/>
              </w:rPr>
            </w:pPr>
          </w:p>
        </w:tc>
      </w:tr>
      <w:tr w:rsidR="00DE19E1" w:rsidRPr="001C5F76" w14:paraId="56F42E8B"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tbl>
            <w:tblPr>
              <w:tblW w:w="10238" w:type="dxa"/>
              <w:tblCellMar>
                <w:left w:w="70" w:type="dxa"/>
                <w:right w:w="70" w:type="dxa"/>
              </w:tblCellMar>
              <w:tblLook w:val="04A0" w:firstRow="1" w:lastRow="0" w:firstColumn="1" w:lastColumn="0" w:noHBand="0" w:noVBand="1"/>
            </w:tblPr>
            <w:tblGrid>
              <w:gridCol w:w="2725"/>
              <w:gridCol w:w="4820"/>
              <w:gridCol w:w="2693"/>
            </w:tblGrid>
            <w:tr w:rsidR="00DE19E1" w:rsidRPr="001C5F76" w14:paraId="5A117C06" w14:textId="77777777" w:rsidTr="00E2153F">
              <w:trPr>
                <w:trHeight w:val="600"/>
              </w:trPr>
              <w:tc>
                <w:tcPr>
                  <w:tcW w:w="27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733579"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Bolsas de Viagem ou expedição</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54D746E9"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Elegibilidade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1C83E78" w14:textId="77777777" w:rsidR="00DE19E1" w:rsidRPr="001C5F76" w:rsidRDefault="00DE19E1" w:rsidP="00E2153F">
                  <w:pPr>
                    <w:tabs>
                      <w:tab w:val="clear" w:pos="1615"/>
                    </w:tabs>
                    <w:spacing w:after="0" w:line="360" w:lineRule="auto"/>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Financiamento disponível</w:t>
                  </w:r>
                </w:p>
              </w:tc>
            </w:tr>
            <w:tr w:rsidR="00DE19E1" w:rsidRPr="001C5F76" w14:paraId="74F792D4"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6BCFEAB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Bolsas / prêmios para viagens universitárias</w:t>
                  </w:r>
                </w:p>
              </w:tc>
              <w:tc>
                <w:tcPr>
                  <w:tcW w:w="4820" w:type="dxa"/>
                  <w:tcBorders>
                    <w:top w:val="nil"/>
                    <w:left w:val="nil"/>
                    <w:bottom w:val="single" w:sz="4" w:space="0" w:color="auto"/>
                    <w:right w:val="single" w:sz="4" w:space="0" w:color="auto"/>
                  </w:tcBorders>
                  <w:shd w:val="clear" w:color="auto" w:fill="auto"/>
                  <w:noWrap/>
                  <w:vAlign w:val="bottom"/>
                  <w:hideMark/>
                </w:tcPr>
                <w:p w14:paraId="226D387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Muitas faculdades oferecem bolsas / prêmios para viagens, verifique com sua faculdade para obter mais detalhes</w:t>
                  </w:r>
                </w:p>
              </w:tc>
              <w:tc>
                <w:tcPr>
                  <w:tcW w:w="2693" w:type="dxa"/>
                  <w:tcBorders>
                    <w:top w:val="nil"/>
                    <w:left w:val="nil"/>
                    <w:bottom w:val="single" w:sz="4" w:space="0" w:color="auto"/>
                    <w:right w:val="single" w:sz="4" w:space="0" w:color="auto"/>
                  </w:tcBorders>
                  <w:shd w:val="clear" w:color="auto" w:fill="auto"/>
                  <w:noWrap/>
                  <w:vAlign w:val="bottom"/>
                  <w:hideMark/>
                </w:tcPr>
                <w:p w14:paraId="531C04F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Vários</w:t>
                  </w:r>
                </w:p>
              </w:tc>
            </w:tr>
            <w:tr w:rsidR="00DE19E1" w:rsidRPr="001C5F76" w14:paraId="46D2D12E" w14:textId="77777777" w:rsidTr="00E2153F">
              <w:trPr>
                <w:trHeight w:val="3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58C8CF1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Conselho de Expedições</w:t>
                  </w:r>
                </w:p>
              </w:tc>
              <w:tc>
                <w:tcPr>
                  <w:tcW w:w="4820" w:type="dxa"/>
                  <w:tcBorders>
                    <w:top w:val="nil"/>
                    <w:left w:val="nil"/>
                    <w:bottom w:val="single" w:sz="4" w:space="0" w:color="auto"/>
                    <w:right w:val="single" w:sz="4" w:space="0" w:color="auto"/>
                  </w:tcBorders>
                  <w:shd w:val="clear" w:color="auto" w:fill="auto"/>
                  <w:noWrap/>
                  <w:vAlign w:val="bottom"/>
                  <w:hideMark/>
                </w:tcPr>
                <w:p w14:paraId="2ABCA95A"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todas as disciplinas</w:t>
                  </w:r>
                </w:p>
              </w:tc>
              <w:tc>
                <w:tcPr>
                  <w:tcW w:w="2693" w:type="dxa"/>
                  <w:tcBorders>
                    <w:top w:val="nil"/>
                    <w:left w:val="nil"/>
                    <w:bottom w:val="single" w:sz="4" w:space="0" w:color="auto"/>
                    <w:right w:val="single" w:sz="4" w:space="0" w:color="auto"/>
                  </w:tcBorders>
                  <w:shd w:val="clear" w:color="auto" w:fill="auto"/>
                  <w:noWrap/>
                  <w:vAlign w:val="bottom"/>
                  <w:hideMark/>
                </w:tcPr>
                <w:p w14:paraId="22B9A3E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£ 2.000</w:t>
                  </w:r>
                </w:p>
              </w:tc>
            </w:tr>
            <w:tr w:rsidR="00DE19E1" w:rsidRPr="001C5F76" w14:paraId="1350DB50" w14:textId="77777777" w:rsidTr="00E2153F">
              <w:trPr>
                <w:trHeight w:val="9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20AFA4E2"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Prêmios de viagens de pós-graduação e graduação da RAI</w:t>
                  </w:r>
                </w:p>
              </w:tc>
              <w:tc>
                <w:tcPr>
                  <w:tcW w:w="4820" w:type="dxa"/>
                  <w:tcBorders>
                    <w:top w:val="nil"/>
                    <w:left w:val="nil"/>
                    <w:bottom w:val="single" w:sz="4" w:space="0" w:color="auto"/>
                    <w:right w:val="single" w:sz="4" w:space="0" w:color="auto"/>
                  </w:tcBorders>
                  <w:shd w:val="clear" w:color="auto" w:fill="auto"/>
                  <w:noWrap/>
                  <w:vAlign w:val="bottom"/>
                  <w:hideMark/>
                </w:tcPr>
                <w:p w14:paraId="0D553D6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alunos que escrevem teses ou dissertações em História ou Política Americana</w:t>
                  </w:r>
                </w:p>
              </w:tc>
              <w:tc>
                <w:tcPr>
                  <w:tcW w:w="2693" w:type="dxa"/>
                  <w:tcBorders>
                    <w:top w:val="nil"/>
                    <w:left w:val="nil"/>
                    <w:bottom w:val="single" w:sz="4" w:space="0" w:color="auto"/>
                    <w:right w:val="single" w:sz="4" w:space="0" w:color="auto"/>
                  </w:tcBorders>
                  <w:shd w:val="clear" w:color="auto" w:fill="auto"/>
                  <w:noWrap/>
                  <w:vAlign w:val="bottom"/>
                  <w:hideMark/>
                </w:tcPr>
                <w:p w14:paraId="1A218751"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£ 1.000</w:t>
                  </w:r>
                </w:p>
              </w:tc>
            </w:tr>
            <w:tr w:rsidR="00DE19E1" w:rsidRPr="001C5F76" w14:paraId="0156A4D2"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1FFA37F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Prêmio Santander Academic Travel</w:t>
                  </w:r>
                </w:p>
              </w:tc>
              <w:tc>
                <w:tcPr>
                  <w:tcW w:w="4820" w:type="dxa"/>
                  <w:tcBorders>
                    <w:top w:val="nil"/>
                    <w:left w:val="nil"/>
                    <w:bottom w:val="single" w:sz="4" w:space="0" w:color="auto"/>
                    <w:right w:val="single" w:sz="4" w:space="0" w:color="auto"/>
                  </w:tcBorders>
                  <w:shd w:val="clear" w:color="auto" w:fill="auto"/>
                  <w:noWrap/>
                  <w:vAlign w:val="bottom"/>
                  <w:hideMark/>
                </w:tcPr>
                <w:p w14:paraId="5D420FD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qualquer país fora do Reino Unido</w:t>
                  </w:r>
                </w:p>
              </w:tc>
              <w:tc>
                <w:tcPr>
                  <w:tcW w:w="2693" w:type="dxa"/>
                  <w:tcBorders>
                    <w:top w:val="nil"/>
                    <w:left w:val="nil"/>
                    <w:bottom w:val="single" w:sz="4" w:space="0" w:color="auto"/>
                    <w:right w:val="single" w:sz="4" w:space="0" w:color="auto"/>
                  </w:tcBorders>
                  <w:shd w:val="clear" w:color="auto" w:fill="auto"/>
                  <w:noWrap/>
                  <w:vAlign w:val="bottom"/>
                  <w:hideMark/>
                </w:tcPr>
                <w:p w14:paraId="4A678B45"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£ 1.250</w:t>
                  </w:r>
                </w:p>
              </w:tc>
            </w:tr>
            <w:tr w:rsidR="00DE19E1" w:rsidRPr="001C5F76" w14:paraId="76A14C72" w14:textId="77777777" w:rsidTr="00E2153F">
              <w:trPr>
                <w:trHeight w:val="600"/>
              </w:trPr>
              <w:tc>
                <w:tcPr>
                  <w:tcW w:w="2725" w:type="dxa"/>
                  <w:tcBorders>
                    <w:top w:val="nil"/>
                    <w:left w:val="single" w:sz="4" w:space="0" w:color="auto"/>
                    <w:bottom w:val="single" w:sz="4" w:space="0" w:color="auto"/>
                    <w:right w:val="single" w:sz="4" w:space="0" w:color="auto"/>
                  </w:tcBorders>
                  <w:shd w:val="clear" w:color="auto" w:fill="auto"/>
                  <w:vAlign w:val="bottom"/>
                  <w:hideMark/>
                </w:tcPr>
                <w:p w14:paraId="73FDBC1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Oxford Travel Abroad Bursary</w:t>
                  </w:r>
                </w:p>
              </w:tc>
              <w:tc>
                <w:tcPr>
                  <w:tcW w:w="4820" w:type="dxa"/>
                  <w:tcBorders>
                    <w:top w:val="nil"/>
                    <w:left w:val="nil"/>
                    <w:bottom w:val="single" w:sz="4" w:space="0" w:color="auto"/>
                    <w:right w:val="single" w:sz="4" w:space="0" w:color="auto"/>
                  </w:tcBorders>
                  <w:shd w:val="clear" w:color="auto" w:fill="auto"/>
                  <w:noWrap/>
                  <w:vAlign w:val="bottom"/>
                  <w:hideMark/>
                </w:tcPr>
                <w:p w14:paraId="6825BA36"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todos os departamentos, qualquer país fora do Reino Unido</w:t>
                  </w:r>
                </w:p>
              </w:tc>
              <w:tc>
                <w:tcPr>
                  <w:tcW w:w="2693" w:type="dxa"/>
                  <w:tcBorders>
                    <w:top w:val="nil"/>
                    <w:left w:val="nil"/>
                    <w:bottom w:val="single" w:sz="4" w:space="0" w:color="auto"/>
                    <w:right w:val="single" w:sz="4" w:space="0" w:color="auto"/>
                  </w:tcBorders>
                  <w:shd w:val="clear" w:color="auto" w:fill="auto"/>
                  <w:noWrap/>
                  <w:vAlign w:val="bottom"/>
                  <w:hideMark/>
                </w:tcPr>
                <w:p w14:paraId="0A6598BD"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Até £ 1.250</w:t>
                  </w:r>
                </w:p>
              </w:tc>
            </w:tr>
          </w:tbl>
          <w:p w14:paraId="24FE9DB0" w14:textId="77777777" w:rsidR="00DE19E1" w:rsidRPr="001C5F76" w:rsidRDefault="00DE19E1" w:rsidP="00E2153F">
            <w:pPr>
              <w:spacing w:line="360" w:lineRule="auto"/>
              <w:jc w:val="both"/>
              <w:rPr>
                <w:b w:val="0"/>
              </w:rPr>
            </w:pPr>
          </w:p>
        </w:tc>
      </w:tr>
      <w:tr w:rsidR="00DE19E1" w:rsidRPr="001C5F76" w14:paraId="581F37A4"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0AA80E1" w14:textId="77777777" w:rsidR="00DE19E1" w:rsidRPr="001C5F76" w:rsidRDefault="00DE19E1" w:rsidP="00E2153F">
            <w:pPr>
              <w:spacing w:line="360" w:lineRule="auto"/>
              <w:jc w:val="both"/>
              <w:rPr>
                <w:b w:val="0"/>
              </w:rPr>
            </w:pPr>
          </w:p>
        </w:tc>
      </w:tr>
      <w:tr w:rsidR="00DE19E1" w:rsidRPr="001C5F76" w14:paraId="4B5C9E67"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40A66AD1" w14:textId="77777777" w:rsidR="00DE19E1" w:rsidRPr="001C5F76" w:rsidRDefault="00DE19E1" w:rsidP="00E2153F">
            <w:pPr>
              <w:spacing w:line="360" w:lineRule="auto"/>
              <w:jc w:val="both"/>
              <w:rPr>
                <w:b w:val="0"/>
              </w:rPr>
            </w:pPr>
          </w:p>
        </w:tc>
      </w:tr>
      <w:tr w:rsidR="00DE19E1" w:rsidRPr="001C5F76" w14:paraId="45D6D7A9"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tbl>
            <w:tblPr>
              <w:tblW w:w="10238" w:type="dxa"/>
              <w:tblCellMar>
                <w:left w:w="70" w:type="dxa"/>
                <w:right w:w="70" w:type="dxa"/>
              </w:tblCellMar>
              <w:tblLook w:val="04A0" w:firstRow="1" w:lastRow="0" w:firstColumn="1" w:lastColumn="0" w:noHBand="0" w:noVBand="1"/>
            </w:tblPr>
            <w:tblGrid>
              <w:gridCol w:w="2440"/>
              <w:gridCol w:w="3687"/>
              <w:gridCol w:w="4111"/>
            </w:tblGrid>
            <w:tr w:rsidR="00DE19E1" w:rsidRPr="001C5F76" w14:paraId="1C9B9112" w14:textId="77777777" w:rsidTr="00E2153F">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5C463"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Programas de Verão</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18BBE42E"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Elegibilidade</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14:paraId="7B2D86DC"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Financiamento disponível</w:t>
                  </w:r>
                </w:p>
              </w:tc>
            </w:tr>
            <w:tr w:rsidR="00DE19E1" w:rsidRPr="001C5F76" w14:paraId="2F4A088B" w14:textId="77777777" w:rsidTr="00E2153F">
              <w:trPr>
                <w:trHeight w:val="1200"/>
              </w:trPr>
              <w:tc>
                <w:tcPr>
                  <w:tcW w:w="2440" w:type="dxa"/>
                  <w:tcBorders>
                    <w:top w:val="nil"/>
                    <w:left w:val="single" w:sz="4" w:space="0" w:color="auto"/>
                    <w:bottom w:val="single" w:sz="4" w:space="0" w:color="auto"/>
                    <w:right w:val="single" w:sz="4" w:space="0" w:color="auto"/>
                  </w:tcBorders>
                  <w:shd w:val="clear" w:color="auto" w:fill="auto"/>
                  <w:hideMark/>
                </w:tcPr>
                <w:p w14:paraId="17192FCA"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Programa de verão da Sociedade Japonesa de Promoção da Ciência (JPS)</w:t>
                  </w:r>
                </w:p>
              </w:tc>
              <w:tc>
                <w:tcPr>
                  <w:tcW w:w="3687" w:type="dxa"/>
                  <w:tcBorders>
                    <w:top w:val="nil"/>
                    <w:left w:val="nil"/>
                    <w:bottom w:val="single" w:sz="4" w:space="0" w:color="auto"/>
                    <w:right w:val="single" w:sz="4" w:space="0" w:color="auto"/>
                  </w:tcBorders>
                  <w:shd w:val="clear" w:color="auto" w:fill="auto"/>
                  <w:hideMark/>
                </w:tcPr>
                <w:p w14:paraId="3C4B207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Alunos DPhil e MPhil</w:t>
                  </w:r>
                </w:p>
              </w:tc>
              <w:tc>
                <w:tcPr>
                  <w:tcW w:w="4111" w:type="dxa"/>
                  <w:tcBorders>
                    <w:top w:val="nil"/>
                    <w:left w:val="nil"/>
                    <w:bottom w:val="single" w:sz="4" w:space="0" w:color="auto"/>
                    <w:right w:val="single" w:sz="4" w:space="0" w:color="auto"/>
                  </w:tcBorders>
                  <w:shd w:val="clear" w:color="auto" w:fill="auto"/>
                  <w:hideMark/>
                </w:tcPr>
                <w:p w14:paraId="2929450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As bolsas cobrem passagem aérea, auxílio-moradia e seguro</w:t>
                  </w:r>
                </w:p>
              </w:tc>
            </w:tr>
            <w:tr w:rsidR="00DE19E1" w:rsidRPr="001C5F76" w14:paraId="39605B35" w14:textId="77777777" w:rsidTr="00E2153F">
              <w:trPr>
                <w:trHeight w:val="900"/>
              </w:trPr>
              <w:tc>
                <w:tcPr>
                  <w:tcW w:w="2440" w:type="dxa"/>
                  <w:tcBorders>
                    <w:top w:val="nil"/>
                    <w:left w:val="single" w:sz="4" w:space="0" w:color="auto"/>
                    <w:bottom w:val="single" w:sz="4" w:space="0" w:color="auto"/>
                    <w:right w:val="single" w:sz="4" w:space="0" w:color="auto"/>
                  </w:tcBorders>
                  <w:shd w:val="clear" w:color="auto" w:fill="auto"/>
                  <w:hideMark/>
                </w:tcPr>
                <w:p w14:paraId="46367EA8" w14:textId="77777777" w:rsidR="00DE19E1" w:rsidRPr="007B6DC0" w:rsidRDefault="00DE19E1" w:rsidP="00E2153F">
                  <w:pPr>
                    <w:tabs>
                      <w:tab w:val="clear" w:pos="1615"/>
                    </w:tabs>
                    <w:spacing w:after="0" w:line="360" w:lineRule="auto"/>
                    <w:rPr>
                      <w:rFonts w:ascii="Calibri" w:eastAsia="Times New Roman" w:hAnsi="Calibri" w:cs="Calibri"/>
                      <w:color w:val="000000"/>
                      <w:lang w:val="en-US" w:eastAsia="pt-BR"/>
                    </w:rPr>
                  </w:pPr>
                  <w:r w:rsidRPr="007B6DC0">
                    <w:rPr>
                      <w:rFonts w:ascii="Calibri" w:eastAsia="Times New Roman" w:hAnsi="Calibri" w:cs="Calibri"/>
                      <w:color w:val="000000"/>
                      <w:lang w:val="en-US" w:eastAsia="pt-BR"/>
                    </w:rPr>
                    <w:t>Jamia Millia Islamia International Summer School</w:t>
                  </w:r>
                </w:p>
              </w:tc>
              <w:tc>
                <w:tcPr>
                  <w:tcW w:w="3687" w:type="dxa"/>
                  <w:tcBorders>
                    <w:top w:val="nil"/>
                    <w:left w:val="nil"/>
                    <w:bottom w:val="single" w:sz="4" w:space="0" w:color="auto"/>
                    <w:right w:val="single" w:sz="4" w:space="0" w:color="auto"/>
                  </w:tcBorders>
                  <w:shd w:val="clear" w:color="auto" w:fill="auto"/>
                  <w:hideMark/>
                </w:tcPr>
                <w:p w14:paraId="33A5DBC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vários departamentos</w:t>
                  </w:r>
                </w:p>
              </w:tc>
              <w:tc>
                <w:tcPr>
                  <w:tcW w:w="4111" w:type="dxa"/>
                  <w:tcBorders>
                    <w:top w:val="nil"/>
                    <w:left w:val="nil"/>
                    <w:bottom w:val="single" w:sz="4" w:space="0" w:color="auto"/>
                    <w:right w:val="single" w:sz="4" w:space="0" w:color="auto"/>
                  </w:tcBorders>
                  <w:shd w:val="clear" w:color="auto" w:fill="auto"/>
                  <w:hideMark/>
                </w:tcPr>
                <w:p w14:paraId="7CED5EF2"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Parcial</w:t>
                  </w:r>
                </w:p>
              </w:tc>
            </w:tr>
            <w:tr w:rsidR="00DE19E1" w:rsidRPr="001C5F76" w14:paraId="3E7598C3" w14:textId="77777777" w:rsidTr="00E2153F">
              <w:trPr>
                <w:trHeight w:val="1243"/>
              </w:trPr>
              <w:tc>
                <w:tcPr>
                  <w:tcW w:w="2440" w:type="dxa"/>
                  <w:tcBorders>
                    <w:top w:val="nil"/>
                    <w:left w:val="single" w:sz="4" w:space="0" w:color="auto"/>
                    <w:bottom w:val="single" w:sz="4" w:space="0" w:color="auto"/>
                    <w:right w:val="single" w:sz="4" w:space="0" w:color="auto"/>
                  </w:tcBorders>
                  <w:shd w:val="clear" w:color="auto" w:fill="auto"/>
                  <w:hideMark/>
                </w:tcPr>
                <w:p w14:paraId="4097CC4E"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Novo Nordisk International Talent Program</w:t>
                  </w:r>
                </w:p>
              </w:tc>
              <w:tc>
                <w:tcPr>
                  <w:tcW w:w="3687" w:type="dxa"/>
                  <w:tcBorders>
                    <w:top w:val="nil"/>
                    <w:left w:val="nil"/>
                    <w:bottom w:val="single" w:sz="4" w:space="0" w:color="auto"/>
                    <w:right w:val="single" w:sz="4" w:space="0" w:color="auto"/>
                  </w:tcBorders>
                  <w:shd w:val="clear" w:color="auto" w:fill="auto"/>
                  <w:hideMark/>
                </w:tcPr>
                <w:p w14:paraId="1A85B430"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 xml:space="preserve">Alunos em seu terceiro ano de bacharelado ou estudando em nível de mestrado em biologia específica e </w:t>
                  </w:r>
                  <w:r w:rsidRPr="001C5F76">
                    <w:rPr>
                      <w:rFonts w:ascii="Calibri" w:eastAsia="Times New Roman" w:hAnsi="Calibri" w:cs="Calibri"/>
                      <w:color w:val="000000"/>
                      <w:lang w:eastAsia="pt-BR"/>
                    </w:rPr>
                    <w:lastRenderedPageBreak/>
                    <w:t>disciplinas relacionadas à medicina</w:t>
                  </w:r>
                </w:p>
              </w:tc>
              <w:tc>
                <w:tcPr>
                  <w:tcW w:w="4111" w:type="dxa"/>
                  <w:tcBorders>
                    <w:top w:val="nil"/>
                    <w:left w:val="nil"/>
                    <w:bottom w:val="single" w:sz="4" w:space="0" w:color="auto"/>
                    <w:right w:val="single" w:sz="4" w:space="0" w:color="auto"/>
                  </w:tcBorders>
                  <w:shd w:val="clear" w:color="auto" w:fill="auto"/>
                  <w:hideMark/>
                </w:tcPr>
                <w:p w14:paraId="165E65D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lastRenderedPageBreak/>
                    <w:t>As bolsas variam de acordo com a duração e os custos do estudo</w:t>
                  </w:r>
                </w:p>
              </w:tc>
            </w:tr>
            <w:tr w:rsidR="00DE19E1" w:rsidRPr="001C5F76" w14:paraId="736E2F98" w14:textId="77777777" w:rsidTr="00E2153F">
              <w:trPr>
                <w:trHeight w:val="900"/>
              </w:trPr>
              <w:tc>
                <w:tcPr>
                  <w:tcW w:w="2440" w:type="dxa"/>
                  <w:tcBorders>
                    <w:top w:val="nil"/>
                    <w:left w:val="single" w:sz="4" w:space="0" w:color="auto"/>
                    <w:bottom w:val="single" w:sz="4" w:space="0" w:color="auto"/>
                    <w:right w:val="single" w:sz="4" w:space="0" w:color="auto"/>
                  </w:tcBorders>
                  <w:shd w:val="clear" w:color="auto" w:fill="auto"/>
                  <w:hideMark/>
                </w:tcPr>
                <w:p w14:paraId="40723866"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Cursos de verão IARU</w:t>
                  </w:r>
                </w:p>
              </w:tc>
              <w:tc>
                <w:tcPr>
                  <w:tcW w:w="3687" w:type="dxa"/>
                  <w:tcBorders>
                    <w:top w:val="nil"/>
                    <w:left w:val="nil"/>
                    <w:bottom w:val="single" w:sz="4" w:space="0" w:color="auto"/>
                    <w:right w:val="single" w:sz="4" w:space="0" w:color="auto"/>
                  </w:tcBorders>
                  <w:shd w:val="clear" w:color="auto" w:fill="auto"/>
                  <w:hideMark/>
                </w:tcPr>
                <w:p w14:paraId="78EA666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e PG, vários departamentos</w:t>
                  </w:r>
                </w:p>
              </w:tc>
              <w:tc>
                <w:tcPr>
                  <w:tcW w:w="4111" w:type="dxa"/>
                  <w:tcBorders>
                    <w:top w:val="nil"/>
                    <w:left w:val="nil"/>
                    <w:bottom w:val="single" w:sz="4" w:space="0" w:color="auto"/>
                    <w:right w:val="single" w:sz="4" w:space="0" w:color="auto"/>
                  </w:tcBorders>
                  <w:shd w:val="clear" w:color="auto" w:fill="auto"/>
                  <w:hideMark/>
                </w:tcPr>
                <w:p w14:paraId="5368B82B"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Nenhum financiamento designado disponível através de Oxford, visite o site da IARU</w:t>
                  </w:r>
                </w:p>
              </w:tc>
            </w:tr>
            <w:tr w:rsidR="00DE19E1" w:rsidRPr="001C5F76" w14:paraId="190C05D0" w14:textId="77777777" w:rsidTr="00E2153F">
              <w:trPr>
                <w:trHeight w:val="1200"/>
              </w:trPr>
              <w:tc>
                <w:tcPr>
                  <w:tcW w:w="2440" w:type="dxa"/>
                  <w:tcBorders>
                    <w:top w:val="nil"/>
                    <w:left w:val="single" w:sz="4" w:space="0" w:color="auto"/>
                    <w:bottom w:val="single" w:sz="4" w:space="0" w:color="auto"/>
                    <w:right w:val="single" w:sz="4" w:space="0" w:color="auto"/>
                  </w:tcBorders>
                  <w:shd w:val="clear" w:color="auto" w:fill="auto"/>
                  <w:hideMark/>
                </w:tcPr>
                <w:p w14:paraId="6524E296" w14:textId="77777777" w:rsidR="00DE19E1" w:rsidRPr="007B6DC0" w:rsidRDefault="00DE19E1" w:rsidP="00E2153F">
                  <w:pPr>
                    <w:tabs>
                      <w:tab w:val="clear" w:pos="1615"/>
                    </w:tabs>
                    <w:spacing w:after="0" w:line="360" w:lineRule="auto"/>
                    <w:rPr>
                      <w:rFonts w:ascii="Calibri" w:eastAsia="Times New Roman" w:hAnsi="Calibri" w:cs="Calibri"/>
                      <w:color w:val="000000"/>
                      <w:lang w:val="en-US" w:eastAsia="pt-BR"/>
                    </w:rPr>
                  </w:pPr>
                  <w:r w:rsidRPr="007B6DC0">
                    <w:rPr>
                      <w:rFonts w:ascii="Calibri" w:eastAsia="Times New Roman" w:hAnsi="Calibri" w:cs="Calibri"/>
                      <w:color w:val="000000"/>
                      <w:lang w:val="en-US" w:eastAsia="pt-BR"/>
                    </w:rPr>
                    <w:t>Prêmio Oxford University Alumni Network Bursary Awards </w:t>
                  </w:r>
                </w:p>
              </w:tc>
              <w:tc>
                <w:tcPr>
                  <w:tcW w:w="3687" w:type="dxa"/>
                  <w:tcBorders>
                    <w:top w:val="nil"/>
                    <w:left w:val="nil"/>
                    <w:bottom w:val="single" w:sz="4" w:space="0" w:color="auto"/>
                    <w:right w:val="single" w:sz="4" w:space="0" w:color="auto"/>
                  </w:tcBorders>
                  <w:shd w:val="clear" w:color="auto" w:fill="auto"/>
                  <w:hideMark/>
                </w:tcPr>
                <w:p w14:paraId="531584CF"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UG </w:t>
                  </w:r>
                </w:p>
              </w:tc>
              <w:tc>
                <w:tcPr>
                  <w:tcW w:w="4111" w:type="dxa"/>
                  <w:tcBorders>
                    <w:top w:val="nil"/>
                    <w:left w:val="nil"/>
                    <w:bottom w:val="single" w:sz="4" w:space="0" w:color="auto"/>
                    <w:right w:val="single" w:sz="4" w:space="0" w:color="auto"/>
                  </w:tcBorders>
                  <w:shd w:val="clear" w:color="auto" w:fill="auto"/>
                  <w:hideMark/>
                </w:tcPr>
                <w:p w14:paraId="7B94DDC0"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As bolsas variam de acordo com o grupo de ex-alunos</w:t>
                  </w:r>
                </w:p>
              </w:tc>
            </w:tr>
          </w:tbl>
          <w:p w14:paraId="7D47C829" w14:textId="77777777" w:rsidR="00DE19E1" w:rsidRPr="001C5F76" w:rsidRDefault="00DE19E1" w:rsidP="00E2153F">
            <w:pPr>
              <w:spacing w:line="360" w:lineRule="auto"/>
              <w:jc w:val="both"/>
              <w:rPr>
                <w:b w:val="0"/>
              </w:rPr>
            </w:pPr>
          </w:p>
        </w:tc>
      </w:tr>
      <w:tr w:rsidR="00DE19E1" w:rsidRPr="001C5F76" w14:paraId="00565D17"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5E1C5784" w14:textId="77777777" w:rsidR="00DE19E1" w:rsidRPr="001C5F76" w:rsidRDefault="00DE19E1" w:rsidP="00E2153F">
            <w:pPr>
              <w:spacing w:line="360" w:lineRule="auto"/>
              <w:jc w:val="both"/>
              <w:rPr>
                <w:b w:val="0"/>
              </w:rPr>
            </w:pPr>
          </w:p>
        </w:tc>
      </w:tr>
      <w:tr w:rsidR="00DE19E1" w:rsidRPr="001C5F76" w14:paraId="5E6FB313" w14:textId="77777777" w:rsidTr="00E2153F">
        <w:trPr>
          <w:trHeight w:val="5243"/>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tbl>
            <w:tblPr>
              <w:tblW w:w="10238" w:type="dxa"/>
              <w:tblCellMar>
                <w:left w:w="70" w:type="dxa"/>
                <w:right w:w="70" w:type="dxa"/>
              </w:tblCellMar>
              <w:tblLook w:val="04A0" w:firstRow="1" w:lastRow="0" w:firstColumn="1" w:lastColumn="0" w:noHBand="0" w:noVBand="1"/>
            </w:tblPr>
            <w:tblGrid>
              <w:gridCol w:w="2440"/>
              <w:gridCol w:w="3687"/>
              <w:gridCol w:w="4111"/>
            </w:tblGrid>
            <w:tr w:rsidR="00DE19E1" w:rsidRPr="001C5F76" w14:paraId="4B03C09F" w14:textId="77777777" w:rsidTr="00E2153F">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F1AF"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Outras oportunidades</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3F6D6E23"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Elegibilidade</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14:paraId="64271955" w14:textId="77777777" w:rsidR="00DE19E1" w:rsidRPr="001C5F76" w:rsidRDefault="00DE19E1" w:rsidP="00E2153F">
                  <w:pPr>
                    <w:tabs>
                      <w:tab w:val="clear" w:pos="1615"/>
                    </w:tabs>
                    <w:spacing w:after="0" w:line="360" w:lineRule="auto"/>
                    <w:jc w:val="center"/>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Financiamento disponível</w:t>
                  </w:r>
                </w:p>
              </w:tc>
            </w:tr>
            <w:tr w:rsidR="00DE19E1" w:rsidRPr="001C5F76" w14:paraId="24B53FDE" w14:textId="77777777" w:rsidTr="00E2153F">
              <w:trPr>
                <w:trHeight w:val="798"/>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A017F6E"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Programa de estágio global da IARU</w:t>
                  </w:r>
                </w:p>
              </w:tc>
              <w:tc>
                <w:tcPr>
                  <w:tcW w:w="3687" w:type="dxa"/>
                  <w:tcBorders>
                    <w:top w:val="nil"/>
                    <w:left w:val="nil"/>
                    <w:bottom w:val="single" w:sz="4" w:space="0" w:color="auto"/>
                    <w:right w:val="single" w:sz="4" w:space="0" w:color="auto"/>
                  </w:tcBorders>
                  <w:shd w:val="clear" w:color="auto" w:fill="auto"/>
                  <w:vAlign w:val="bottom"/>
                  <w:hideMark/>
                </w:tcPr>
                <w:p w14:paraId="56829FD6"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Estudantes que desejam estudar nas Universidades de Pequim e Tóquio, neste verão</w:t>
                  </w:r>
                </w:p>
              </w:tc>
              <w:tc>
                <w:tcPr>
                  <w:tcW w:w="4111" w:type="dxa"/>
                  <w:tcBorders>
                    <w:top w:val="nil"/>
                    <w:left w:val="nil"/>
                    <w:bottom w:val="single" w:sz="4" w:space="0" w:color="auto"/>
                    <w:right w:val="single" w:sz="4" w:space="0" w:color="auto"/>
                  </w:tcBorders>
                  <w:shd w:val="clear" w:color="auto" w:fill="auto"/>
                  <w:vAlign w:val="bottom"/>
                  <w:hideMark/>
                </w:tcPr>
                <w:p w14:paraId="6C3ABEC3"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Os estágios são pagos, mas os alunos precisarão cobrir os custos de seu próprio transporte e acomodação</w:t>
                  </w:r>
                </w:p>
              </w:tc>
            </w:tr>
            <w:tr w:rsidR="00DE19E1" w:rsidRPr="001C5F76" w14:paraId="430C1538" w14:textId="77777777" w:rsidTr="00E2153F">
              <w:trPr>
                <w:trHeight w:val="1122"/>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85FF965"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Novo Nordisk International Talent Program</w:t>
                  </w:r>
                </w:p>
              </w:tc>
              <w:tc>
                <w:tcPr>
                  <w:tcW w:w="3687" w:type="dxa"/>
                  <w:tcBorders>
                    <w:top w:val="nil"/>
                    <w:left w:val="nil"/>
                    <w:bottom w:val="single" w:sz="4" w:space="0" w:color="auto"/>
                    <w:right w:val="single" w:sz="4" w:space="0" w:color="auto"/>
                  </w:tcBorders>
                  <w:shd w:val="clear" w:color="auto" w:fill="auto"/>
                  <w:vAlign w:val="bottom"/>
                  <w:hideMark/>
                </w:tcPr>
                <w:p w14:paraId="74EF780C"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Alunos em seu terceiro ano de bacharelado ou estudando em nível de mestrado em biologia específica e disciplinas relacionadas à medicina</w:t>
                  </w:r>
                </w:p>
              </w:tc>
              <w:tc>
                <w:tcPr>
                  <w:tcW w:w="4111" w:type="dxa"/>
                  <w:tcBorders>
                    <w:top w:val="nil"/>
                    <w:left w:val="nil"/>
                    <w:bottom w:val="single" w:sz="4" w:space="0" w:color="auto"/>
                    <w:right w:val="single" w:sz="4" w:space="0" w:color="auto"/>
                  </w:tcBorders>
                  <w:shd w:val="clear" w:color="auto" w:fill="auto"/>
                  <w:vAlign w:val="bottom"/>
                  <w:hideMark/>
                </w:tcPr>
                <w:p w14:paraId="21DD54D4"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As bolsas variam de acordo com a duração e os custos do estudo</w:t>
                  </w:r>
                </w:p>
              </w:tc>
            </w:tr>
            <w:tr w:rsidR="00DE19E1" w:rsidRPr="001C5F76" w14:paraId="59C9C355" w14:textId="77777777" w:rsidTr="00E2153F">
              <w:trPr>
                <w:trHeight w:val="982"/>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196D4C5"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Oxford Canadá</w:t>
                  </w:r>
                </w:p>
              </w:tc>
              <w:tc>
                <w:tcPr>
                  <w:tcW w:w="3687" w:type="dxa"/>
                  <w:tcBorders>
                    <w:top w:val="nil"/>
                    <w:left w:val="nil"/>
                    <w:bottom w:val="single" w:sz="4" w:space="0" w:color="auto"/>
                    <w:right w:val="single" w:sz="4" w:space="0" w:color="auto"/>
                  </w:tcBorders>
                  <w:shd w:val="clear" w:color="auto" w:fill="auto"/>
                  <w:vAlign w:val="bottom"/>
                  <w:hideMark/>
                </w:tcPr>
                <w:p w14:paraId="526D51B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Alunos PG que desejam estudar em tempo integral por até dois anos em qualquer universidade canadense</w:t>
                  </w:r>
                </w:p>
              </w:tc>
              <w:tc>
                <w:tcPr>
                  <w:tcW w:w="4111" w:type="dxa"/>
                  <w:tcBorders>
                    <w:top w:val="nil"/>
                    <w:left w:val="nil"/>
                    <w:bottom w:val="single" w:sz="4" w:space="0" w:color="auto"/>
                    <w:right w:val="single" w:sz="4" w:space="0" w:color="auto"/>
                  </w:tcBorders>
                  <w:shd w:val="clear" w:color="auto" w:fill="auto"/>
                  <w:vAlign w:val="bottom"/>
                  <w:hideMark/>
                </w:tcPr>
                <w:p w14:paraId="46E4FCF9"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Pagamento integral de todas as propinas, um estipêndio pessoal e um subsídio de viagem</w:t>
                  </w:r>
                </w:p>
              </w:tc>
            </w:tr>
            <w:tr w:rsidR="00DE19E1" w:rsidRPr="001C5F76" w14:paraId="272D18F4" w14:textId="77777777" w:rsidTr="00E2153F">
              <w:trPr>
                <w:trHeight w:val="1123"/>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C577CC8"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Bolsas de estudo Queen Elizabeth Commonwealth</w:t>
                  </w:r>
                </w:p>
              </w:tc>
              <w:tc>
                <w:tcPr>
                  <w:tcW w:w="3687" w:type="dxa"/>
                  <w:tcBorders>
                    <w:top w:val="nil"/>
                    <w:left w:val="nil"/>
                    <w:bottom w:val="single" w:sz="4" w:space="0" w:color="auto"/>
                    <w:right w:val="single" w:sz="4" w:space="0" w:color="auto"/>
                  </w:tcBorders>
                  <w:shd w:val="clear" w:color="auto" w:fill="auto"/>
                  <w:vAlign w:val="bottom"/>
                  <w:hideMark/>
                </w:tcPr>
                <w:p w14:paraId="335AC386"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Oferecendo aos alunos de qualquer lugar da Comunidade a oportunidade de obter um diploma de mestrado em uma variedade de áreas temáticas</w:t>
                  </w:r>
                </w:p>
              </w:tc>
              <w:tc>
                <w:tcPr>
                  <w:tcW w:w="4111" w:type="dxa"/>
                  <w:tcBorders>
                    <w:top w:val="nil"/>
                    <w:left w:val="nil"/>
                    <w:bottom w:val="single" w:sz="4" w:space="0" w:color="auto"/>
                    <w:right w:val="single" w:sz="4" w:space="0" w:color="auto"/>
                  </w:tcBorders>
                  <w:shd w:val="clear" w:color="auto" w:fill="auto"/>
                  <w:vAlign w:val="bottom"/>
                  <w:hideMark/>
                </w:tcPr>
                <w:p w14:paraId="3C0BAE5E"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Os prêmios são totalmente financiados, fornecendo taxas de matrícula, um voo de volta na classe econômica, um subsídio de chegada e um estipêndio regular</w:t>
                  </w:r>
                </w:p>
              </w:tc>
            </w:tr>
            <w:tr w:rsidR="00DE19E1" w:rsidRPr="001C5F76" w14:paraId="3B46BB0B" w14:textId="77777777" w:rsidTr="00E2153F">
              <w:trPr>
                <w:trHeight w:val="841"/>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8230317"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Bolsa de Pós-Doutorado Wiener-Anspach</w:t>
                  </w:r>
                </w:p>
              </w:tc>
              <w:tc>
                <w:tcPr>
                  <w:tcW w:w="3687" w:type="dxa"/>
                  <w:tcBorders>
                    <w:top w:val="nil"/>
                    <w:left w:val="nil"/>
                    <w:bottom w:val="single" w:sz="4" w:space="0" w:color="auto"/>
                    <w:right w:val="single" w:sz="4" w:space="0" w:color="auto"/>
                  </w:tcBorders>
                  <w:shd w:val="clear" w:color="auto" w:fill="auto"/>
                  <w:vAlign w:val="bottom"/>
                  <w:hideMark/>
                </w:tcPr>
                <w:p w14:paraId="423A308B"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PG, todos os departamentos, Universidade Livre de Bruxelas (Bélgica), até 12 meses</w:t>
                  </w:r>
                </w:p>
              </w:tc>
              <w:tc>
                <w:tcPr>
                  <w:tcW w:w="4111" w:type="dxa"/>
                  <w:tcBorders>
                    <w:top w:val="nil"/>
                    <w:left w:val="nil"/>
                    <w:bottom w:val="single" w:sz="4" w:space="0" w:color="auto"/>
                    <w:right w:val="single" w:sz="4" w:space="0" w:color="auto"/>
                  </w:tcBorders>
                  <w:shd w:val="clear" w:color="auto" w:fill="auto"/>
                  <w:vAlign w:val="bottom"/>
                  <w:hideMark/>
                </w:tcPr>
                <w:p w14:paraId="4D651E42" w14:textId="77777777" w:rsidR="00DE19E1" w:rsidRPr="001C5F76" w:rsidRDefault="00DE19E1" w:rsidP="00E2153F">
                  <w:pPr>
                    <w:tabs>
                      <w:tab w:val="clear" w:pos="1615"/>
                    </w:tabs>
                    <w:spacing w:after="0" w:line="360" w:lineRule="auto"/>
                    <w:rPr>
                      <w:rFonts w:ascii="Calibri" w:eastAsia="Times New Roman" w:hAnsi="Calibri" w:cs="Calibri"/>
                      <w:color w:val="000000"/>
                      <w:lang w:eastAsia="pt-BR"/>
                    </w:rPr>
                  </w:pPr>
                  <w:r w:rsidRPr="001C5F76">
                    <w:rPr>
                      <w:rFonts w:ascii="Calibri" w:eastAsia="Times New Roman" w:hAnsi="Calibri" w:cs="Calibri"/>
                      <w:color w:val="000000"/>
                      <w:lang w:eastAsia="pt-BR"/>
                    </w:rPr>
                    <w:t>O ciclo de aplicação está encerrado.</w:t>
                  </w:r>
                </w:p>
              </w:tc>
            </w:tr>
          </w:tbl>
          <w:p w14:paraId="23827282" w14:textId="77777777" w:rsidR="00DE19E1" w:rsidRPr="001C5F76" w:rsidRDefault="00DE19E1" w:rsidP="00E2153F">
            <w:pPr>
              <w:spacing w:line="360" w:lineRule="auto"/>
              <w:jc w:val="both"/>
              <w:rPr>
                <w:b w:val="0"/>
              </w:rPr>
            </w:pPr>
          </w:p>
        </w:tc>
      </w:tr>
      <w:tr w:rsidR="00DE19E1" w:rsidRPr="001C5F76" w14:paraId="724DEFB6"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E35D589" w14:textId="77777777" w:rsidR="00DE19E1" w:rsidRPr="001C5F76" w:rsidRDefault="00DE19E1" w:rsidP="00E2153F">
            <w:pPr>
              <w:spacing w:line="360" w:lineRule="auto"/>
              <w:jc w:val="both"/>
              <w:rPr>
                <w:b w:val="0"/>
              </w:rPr>
            </w:pPr>
          </w:p>
        </w:tc>
      </w:tr>
      <w:tr w:rsidR="00DE19E1" w:rsidRPr="001C5F76" w14:paraId="0D8B677D"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32F21E91" w14:textId="77777777" w:rsidR="00DE19E1" w:rsidRPr="001C5F76" w:rsidRDefault="00DE19E1" w:rsidP="00E2153F">
            <w:pPr>
              <w:spacing w:line="360" w:lineRule="auto"/>
              <w:jc w:val="both"/>
              <w:rPr>
                <w:b w:val="0"/>
              </w:rPr>
            </w:pPr>
            <w:r w:rsidRPr="001C5F76">
              <w:t>8.5. Prestação de Serviços</w:t>
            </w:r>
          </w:p>
        </w:tc>
      </w:tr>
      <w:tr w:rsidR="00DE19E1" w:rsidRPr="001C5F76" w14:paraId="2C68C0BD"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6" w:type="dxa"/>
            <w:gridSpan w:val="7"/>
            <w:tcBorders>
              <w:top w:val="single" w:sz="4" w:space="0" w:color="auto"/>
              <w:left w:val="single" w:sz="4" w:space="0" w:color="auto"/>
              <w:bottom w:val="single" w:sz="4" w:space="0" w:color="auto"/>
              <w:right w:val="single" w:sz="4" w:space="0" w:color="auto"/>
            </w:tcBorders>
          </w:tcPr>
          <w:p w14:paraId="380DCC79" w14:textId="77777777" w:rsidR="00DE19E1" w:rsidRPr="001C5F76" w:rsidRDefault="00DE19E1" w:rsidP="00E2153F">
            <w:pPr>
              <w:spacing w:line="360" w:lineRule="auto"/>
              <w:jc w:val="both"/>
            </w:pPr>
            <w:r w:rsidRPr="001C5F76">
              <w:t>Relação de entidades atendidas (por área)</w:t>
            </w:r>
          </w:p>
        </w:tc>
        <w:tc>
          <w:tcPr>
            <w:tcW w:w="2835" w:type="dxa"/>
            <w:gridSpan w:val="6"/>
            <w:tcBorders>
              <w:top w:val="single" w:sz="4" w:space="0" w:color="auto"/>
              <w:left w:val="single" w:sz="4" w:space="0" w:color="auto"/>
              <w:bottom w:val="single" w:sz="4" w:space="0" w:color="auto"/>
              <w:right w:val="single" w:sz="4" w:space="0" w:color="auto"/>
            </w:tcBorders>
          </w:tcPr>
          <w:p w14:paraId="046A224A"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Tempo de atendimento ( contínuo desde quando)</w:t>
            </w:r>
          </w:p>
        </w:tc>
        <w:tc>
          <w:tcPr>
            <w:tcW w:w="4140" w:type="dxa"/>
            <w:gridSpan w:val="6"/>
            <w:tcBorders>
              <w:top w:val="single" w:sz="4" w:space="0" w:color="auto"/>
              <w:left w:val="single" w:sz="4" w:space="0" w:color="auto"/>
              <w:bottom w:val="single" w:sz="4" w:space="0" w:color="auto"/>
              <w:right w:val="single" w:sz="4" w:space="0" w:color="auto"/>
            </w:tcBorders>
          </w:tcPr>
          <w:p w14:paraId="76B22CAC"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Serviço é voluntário (gratuito) ou remunerado?</w:t>
            </w:r>
          </w:p>
        </w:tc>
      </w:tr>
      <w:tr w:rsidR="00DE19E1" w:rsidRPr="001C5F76" w14:paraId="0D2680FF" w14:textId="77777777" w:rsidTr="00E2153F">
        <w:tc>
          <w:tcPr>
            <w:cnfStyle w:val="001000000000" w:firstRow="0" w:lastRow="0" w:firstColumn="1" w:lastColumn="0" w:oddVBand="0" w:evenVBand="0" w:oddHBand="0" w:evenHBand="0" w:firstRowFirstColumn="0" w:firstRowLastColumn="0" w:lastRowFirstColumn="0" w:lastRowLastColumn="0"/>
            <w:tcW w:w="3516" w:type="dxa"/>
            <w:gridSpan w:val="7"/>
            <w:tcBorders>
              <w:top w:val="single" w:sz="4" w:space="0" w:color="auto"/>
              <w:left w:val="single" w:sz="4" w:space="0" w:color="auto"/>
              <w:bottom w:val="single" w:sz="4" w:space="0" w:color="auto"/>
              <w:right w:val="single" w:sz="4" w:space="0" w:color="auto"/>
            </w:tcBorders>
          </w:tcPr>
          <w:p w14:paraId="49B6EF0C" w14:textId="77777777" w:rsidR="00DE19E1" w:rsidRPr="001C5F76" w:rsidRDefault="00DE19E1" w:rsidP="00E2153F">
            <w:pPr>
              <w:spacing w:line="360" w:lineRule="auto"/>
              <w:jc w:val="both"/>
            </w:pPr>
          </w:p>
        </w:tc>
        <w:tc>
          <w:tcPr>
            <w:tcW w:w="2835" w:type="dxa"/>
            <w:gridSpan w:val="6"/>
            <w:tcBorders>
              <w:top w:val="single" w:sz="4" w:space="0" w:color="auto"/>
              <w:left w:val="single" w:sz="4" w:space="0" w:color="auto"/>
              <w:bottom w:val="single" w:sz="4" w:space="0" w:color="auto"/>
              <w:right w:val="single" w:sz="4" w:space="0" w:color="auto"/>
            </w:tcBorders>
          </w:tcPr>
          <w:p w14:paraId="09FD77C7"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4140" w:type="dxa"/>
            <w:gridSpan w:val="6"/>
            <w:tcBorders>
              <w:top w:val="single" w:sz="4" w:space="0" w:color="auto"/>
              <w:left w:val="single" w:sz="4" w:space="0" w:color="auto"/>
              <w:bottom w:val="single" w:sz="4" w:space="0" w:color="auto"/>
              <w:right w:val="single" w:sz="4" w:space="0" w:color="auto"/>
            </w:tcBorders>
          </w:tcPr>
          <w:p w14:paraId="5BE8CDA8"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E19E1" w:rsidRPr="001C5F76" w14:paraId="11020B4B"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6" w:type="dxa"/>
            <w:gridSpan w:val="7"/>
            <w:tcBorders>
              <w:top w:val="single" w:sz="4" w:space="0" w:color="auto"/>
              <w:left w:val="single" w:sz="4" w:space="0" w:color="auto"/>
              <w:bottom w:val="single" w:sz="4" w:space="0" w:color="auto"/>
              <w:right w:val="single" w:sz="4" w:space="0" w:color="auto"/>
            </w:tcBorders>
          </w:tcPr>
          <w:p w14:paraId="192F7DBF" w14:textId="77777777" w:rsidR="00DE19E1" w:rsidRPr="001C5F76" w:rsidRDefault="00DE19E1" w:rsidP="00E2153F">
            <w:pPr>
              <w:spacing w:line="360" w:lineRule="auto"/>
              <w:jc w:val="both"/>
            </w:pPr>
          </w:p>
        </w:tc>
        <w:tc>
          <w:tcPr>
            <w:tcW w:w="2835" w:type="dxa"/>
            <w:gridSpan w:val="6"/>
            <w:tcBorders>
              <w:top w:val="single" w:sz="4" w:space="0" w:color="auto"/>
              <w:left w:val="single" w:sz="4" w:space="0" w:color="auto"/>
              <w:bottom w:val="single" w:sz="4" w:space="0" w:color="auto"/>
              <w:right w:val="single" w:sz="4" w:space="0" w:color="auto"/>
            </w:tcBorders>
          </w:tcPr>
          <w:p w14:paraId="4DF7CA53"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4140" w:type="dxa"/>
            <w:gridSpan w:val="6"/>
            <w:tcBorders>
              <w:top w:val="single" w:sz="4" w:space="0" w:color="auto"/>
              <w:left w:val="single" w:sz="4" w:space="0" w:color="auto"/>
              <w:bottom w:val="single" w:sz="4" w:space="0" w:color="auto"/>
              <w:right w:val="single" w:sz="4" w:space="0" w:color="auto"/>
            </w:tcBorders>
          </w:tcPr>
          <w:p w14:paraId="3619A5FF"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E19E1" w:rsidRPr="001C5F76" w14:paraId="1C8D27B2"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678060E" w14:textId="77777777" w:rsidR="00DE19E1" w:rsidRPr="001C5F76" w:rsidRDefault="00DE19E1" w:rsidP="00E2153F">
            <w:pPr>
              <w:spacing w:line="360" w:lineRule="auto"/>
              <w:jc w:val="both"/>
            </w:pPr>
            <w:r w:rsidRPr="001C5F76">
              <w:lastRenderedPageBreak/>
              <w:t xml:space="preserve">Observações: </w:t>
            </w:r>
          </w:p>
          <w:p w14:paraId="158CF758" w14:textId="77777777" w:rsidR="00DE19E1" w:rsidRPr="001C5F76" w:rsidRDefault="00DE19E1" w:rsidP="00E2153F">
            <w:pPr>
              <w:spacing w:line="360" w:lineRule="auto"/>
              <w:jc w:val="both"/>
            </w:pPr>
          </w:p>
          <w:p w14:paraId="5BF99D8B" w14:textId="77777777" w:rsidR="00DE19E1" w:rsidRPr="001C5F76" w:rsidRDefault="00DE19E1" w:rsidP="00E2153F">
            <w:pPr>
              <w:spacing w:line="360" w:lineRule="auto"/>
              <w:jc w:val="both"/>
            </w:pPr>
          </w:p>
          <w:p w14:paraId="121DCEA4" w14:textId="77777777" w:rsidR="00DE19E1" w:rsidRPr="001C5F76" w:rsidRDefault="00DE19E1" w:rsidP="00E2153F">
            <w:pPr>
              <w:spacing w:line="360" w:lineRule="auto"/>
              <w:jc w:val="both"/>
            </w:pPr>
          </w:p>
        </w:tc>
      </w:tr>
      <w:tr w:rsidR="00DE19E1" w:rsidRPr="001C5F76" w14:paraId="0D946F58"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6E38A164" w14:textId="77777777" w:rsidR="00DE19E1" w:rsidRPr="001C5F76" w:rsidRDefault="00DE19E1" w:rsidP="00E2153F">
            <w:pPr>
              <w:spacing w:line="360" w:lineRule="auto"/>
              <w:jc w:val="both"/>
              <w:rPr>
                <w:b w:val="0"/>
              </w:rPr>
            </w:pPr>
            <w:r w:rsidRPr="001C5F76">
              <w:t xml:space="preserve">8.6 Internacionalização </w:t>
            </w:r>
          </w:p>
        </w:tc>
      </w:tr>
      <w:tr w:rsidR="00DE19E1" w:rsidRPr="001C5F76" w14:paraId="5C33FF65"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28039BF" w14:textId="77777777" w:rsidR="00DE19E1" w:rsidRPr="001C5F76" w:rsidRDefault="00DE19E1" w:rsidP="00E2153F">
            <w:pPr>
              <w:spacing w:line="360" w:lineRule="auto"/>
              <w:jc w:val="both"/>
              <w:rPr>
                <w:b w:val="0"/>
              </w:rPr>
            </w:pPr>
            <w:r w:rsidRPr="001C5F76">
              <w:t>8.6.1. Docentes</w:t>
            </w:r>
          </w:p>
        </w:tc>
      </w:tr>
      <w:tr w:rsidR="00DE19E1" w:rsidRPr="001C5F76" w14:paraId="6F60002C"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gridSpan w:val="3"/>
            <w:tcBorders>
              <w:top w:val="single" w:sz="4" w:space="0" w:color="auto"/>
              <w:left w:val="single" w:sz="4" w:space="0" w:color="auto"/>
              <w:bottom w:val="single" w:sz="4" w:space="0" w:color="auto"/>
              <w:right w:val="single" w:sz="4" w:space="0" w:color="auto"/>
            </w:tcBorders>
          </w:tcPr>
          <w:p w14:paraId="51D9A992" w14:textId="77777777" w:rsidR="00DE19E1" w:rsidRPr="001C5F76" w:rsidRDefault="00DE19E1" w:rsidP="00E2153F">
            <w:pPr>
              <w:spacing w:line="360" w:lineRule="auto"/>
              <w:jc w:val="both"/>
            </w:pPr>
            <w:r w:rsidRPr="001C5F76">
              <w:t>Docentes estrangeiros</w:t>
            </w:r>
          </w:p>
        </w:tc>
        <w:tc>
          <w:tcPr>
            <w:tcW w:w="2180" w:type="dxa"/>
            <w:gridSpan w:val="7"/>
            <w:tcBorders>
              <w:top w:val="single" w:sz="4" w:space="0" w:color="auto"/>
              <w:left w:val="single" w:sz="4" w:space="0" w:color="auto"/>
              <w:bottom w:val="single" w:sz="4" w:space="0" w:color="auto"/>
              <w:right w:val="single" w:sz="4" w:space="0" w:color="auto"/>
            </w:tcBorders>
          </w:tcPr>
          <w:p w14:paraId="264B24C0"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País de Origem</w:t>
            </w:r>
          </w:p>
        </w:tc>
        <w:tc>
          <w:tcPr>
            <w:tcW w:w="2180" w:type="dxa"/>
            <w:gridSpan w:val="5"/>
            <w:tcBorders>
              <w:top w:val="single" w:sz="4" w:space="0" w:color="auto"/>
              <w:left w:val="single" w:sz="4" w:space="0" w:color="auto"/>
              <w:bottom w:val="single" w:sz="4" w:space="0" w:color="auto"/>
              <w:right w:val="single" w:sz="4" w:space="0" w:color="auto"/>
            </w:tcBorders>
          </w:tcPr>
          <w:p w14:paraId="2BCDA401"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Área de atuação</w:t>
            </w:r>
          </w:p>
        </w:tc>
        <w:tc>
          <w:tcPr>
            <w:tcW w:w="3520" w:type="dxa"/>
            <w:gridSpan w:val="4"/>
            <w:tcBorders>
              <w:top w:val="single" w:sz="4" w:space="0" w:color="auto"/>
              <w:left w:val="single" w:sz="4" w:space="0" w:color="auto"/>
              <w:bottom w:val="single" w:sz="4" w:space="0" w:color="auto"/>
              <w:right w:val="single" w:sz="4" w:space="0" w:color="auto"/>
            </w:tcBorders>
          </w:tcPr>
          <w:p w14:paraId="0B19946E"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Graduação ou Pós-Graduação</w:t>
            </w:r>
          </w:p>
        </w:tc>
      </w:tr>
      <w:tr w:rsidR="00DE19E1" w:rsidRPr="001C5F76" w14:paraId="0F39BF43"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50F38B60" w14:textId="77777777" w:rsidR="00DE19E1" w:rsidRPr="001C5F76" w:rsidRDefault="00DE19E1" w:rsidP="00E2153F">
            <w:pPr>
              <w:tabs>
                <w:tab w:val="clear" w:pos="1615"/>
              </w:tabs>
              <w:spacing w:line="360" w:lineRule="auto"/>
              <w:jc w:val="center"/>
              <w:rPr>
                <w:rFonts w:ascii="Calibri" w:eastAsia="Times New Roman" w:hAnsi="Calibri" w:cs="Calibri"/>
                <w:b w:val="0"/>
                <w:bCs w:val="0"/>
                <w:color w:val="000000"/>
                <w:lang w:eastAsia="pt-BR"/>
              </w:rPr>
            </w:pPr>
            <w:r w:rsidRPr="001C5F76">
              <w:rPr>
                <w:rFonts w:ascii="Calibri" w:eastAsia="Times New Roman" w:hAnsi="Calibri" w:cs="Calibri"/>
                <w:color w:val="000000"/>
                <w:lang w:eastAsia="pt-BR"/>
              </w:rPr>
              <w:t xml:space="preserve">Região de Origem </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2A36B13A"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Staff</w:t>
            </w:r>
          </w:p>
        </w:tc>
      </w:tr>
      <w:tr w:rsidR="00DE19E1" w:rsidRPr="001C5F76" w14:paraId="76F46870"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356B21DE"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Leste Asiático</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69FF01C9"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395</w:t>
            </w:r>
          </w:p>
        </w:tc>
      </w:tr>
      <w:tr w:rsidR="00DE19E1" w:rsidRPr="001C5F76" w14:paraId="524E3AEC"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19578A86"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Sudeste da Ásia</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4E69F7A4"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59</w:t>
            </w:r>
          </w:p>
        </w:tc>
      </w:tr>
      <w:tr w:rsidR="00DE19E1" w:rsidRPr="001C5F76" w14:paraId="0419FFC7"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1E37629A"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Ásia do Sul e Central</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4DCE72E1"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216</w:t>
            </w:r>
          </w:p>
        </w:tc>
      </w:tr>
      <w:tr w:rsidR="00DE19E1" w:rsidRPr="001C5F76" w14:paraId="3AE850EC"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74762731"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Europa</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73CA81F4"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5462</w:t>
            </w:r>
          </w:p>
        </w:tc>
      </w:tr>
      <w:tr w:rsidR="00DE19E1" w:rsidRPr="001C5F76" w14:paraId="30C59C71"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7D753B22"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Oriente Médio e Norte da África</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156A798C"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102</w:t>
            </w:r>
          </w:p>
        </w:tc>
      </w:tr>
      <w:tr w:rsidR="00DE19E1" w:rsidRPr="001C5F76" w14:paraId="2A19C9A1"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280F77D0"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Oceania</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74743B74"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171</w:t>
            </w:r>
          </w:p>
        </w:tc>
      </w:tr>
      <w:tr w:rsidR="00DE19E1" w:rsidRPr="001C5F76" w14:paraId="2C0ECD6F"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3A58DBF6"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América do Norte e Central e o Caribe</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7DFB483A"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441</w:t>
            </w:r>
          </w:p>
        </w:tc>
      </w:tr>
      <w:tr w:rsidR="00DE19E1" w:rsidRPr="001C5F76" w14:paraId="0E1513D3"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4EEBF89C"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América do Sul</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4DAD57FB"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61</w:t>
            </w:r>
          </w:p>
        </w:tc>
      </w:tr>
      <w:tr w:rsidR="00DE19E1" w:rsidRPr="001C5F76" w14:paraId="04C4CA96"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1" w:type="dxa"/>
            <w:gridSpan w:val="9"/>
            <w:tcBorders>
              <w:top w:val="single" w:sz="4" w:space="0" w:color="auto"/>
              <w:left w:val="single" w:sz="4" w:space="0" w:color="auto"/>
              <w:bottom w:val="single" w:sz="4" w:space="0" w:color="auto"/>
              <w:right w:val="single" w:sz="4" w:space="0" w:color="auto"/>
            </w:tcBorders>
            <w:noWrap/>
            <w:hideMark/>
          </w:tcPr>
          <w:p w14:paraId="59A63EBF" w14:textId="77777777" w:rsidR="00DE19E1" w:rsidRPr="001C5F76" w:rsidRDefault="00DE19E1" w:rsidP="00E2153F">
            <w:pPr>
              <w:tabs>
                <w:tab w:val="clear" w:pos="1615"/>
              </w:tabs>
              <w:spacing w:line="360" w:lineRule="auto"/>
              <w:rPr>
                <w:rFonts w:ascii="Calibri" w:eastAsia="Times New Roman" w:hAnsi="Calibri" w:cs="Calibri"/>
                <w:color w:val="000000"/>
                <w:lang w:eastAsia="pt-BR"/>
              </w:rPr>
            </w:pPr>
            <w:r w:rsidRPr="001C5F76">
              <w:rPr>
                <w:rFonts w:ascii="Calibri" w:eastAsia="Symbol" w:hAnsi="Calibri" w:cs="Symbol"/>
                <w:color w:val="000000"/>
                <w:lang w:eastAsia="pt-BR"/>
              </w:rPr>
              <w:t>África Subsaariana</w:t>
            </w:r>
          </w:p>
        </w:tc>
        <w:tc>
          <w:tcPr>
            <w:tcW w:w="6360" w:type="dxa"/>
            <w:gridSpan w:val="10"/>
            <w:tcBorders>
              <w:top w:val="single" w:sz="4" w:space="0" w:color="auto"/>
              <w:left w:val="single" w:sz="4" w:space="0" w:color="auto"/>
              <w:bottom w:val="single" w:sz="4" w:space="0" w:color="auto"/>
              <w:right w:val="single" w:sz="4" w:space="0" w:color="auto"/>
            </w:tcBorders>
            <w:noWrap/>
            <w:hideMark/>
          </w:tcPr>
          <w:p w14:paraId="59C20EF6"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82</w:t>
            </w:r>
          </w:p>
        </w:tc>
      </w:tr>
      <w:tr w:rsidR="00DE19E1" w:rsidRPr="001C5F76" w14:paraId="574E9537" w14:textId="77777777" w:rsidTr="00E2153F">
        <w:tc>
          <w:tcPr>
            <w:cnfStyle w:val="001000000000" w:firstRow="0" w:lastRow="0" w:firstColumn="1" w:lastColumn="0" w:oddVBand="0" w:evenVBand="0" w:oddHBand="0" w:evenHBand="0" w:firstRowFirstColumn="0" w:firstRowLastColumn="0" w:lastRowFirstColumn="0" w:lastRowLastColumn="0"/>
            <w:tcW w:w="2611" w:type="dxa"/>
            <w:gridSpan w:val="3"/>
            <w:tcBorders>
              <w:top w:val="single" w:sz="4" w:space="0" w:color="auto"/>
              <w:left w:val="single" w:sz="4" w:space="0" w:color="auto"/>
              <w:bottom w:val="single" w:sz="4" w:space="0" w:color="auto"/>
              <w:right w:val="single" w:sz="4" w:space="0" w:color="auto"/>
            </w:tcBorders>
          </w:tcPr>
          <w:p w14:paraId="0C9CA075" w14:textId="77777777" w:rsidR="00DE19E1" w:rsidRPr="001C5F76" w:rsidRDefault="00DE19E1" w:rsidP="00E2153F">
            <w:pPr>
              <w:spacing w:line="360" w:lineRule="auto"/>
              <w:jc w:val="both"/>
            </w:pPr>
          </w:p>
        </w:tc>
        <w:tc>
          <w:tcPr>
            <w:tcW w:w="2180" w:type="dxa"/>
            <w:gridSpan w:val="7"/>
            <w:tcBorders>
              <w:top w:val="single" w:sz="4" w:space="0" w:color="auto"/>
              <w:left w:val="single" w:sz="4" w:space="0" w:color="auto"/>
              <w:bottom w:val="single" w:sz="4" w:space="0" w:color="auto"/>
              <w:right w:val="single" w:sz="4" w:space="0" w:color="auto"/>
            </w:tcBorders>
          </w:tcPr>
          <w:p w14:paraId="6FC45250"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2180" w:type="dxa"/>
            <w:gridSpan w:val="5"/>
            <w:tcBorders>
              <w:top w:val="single" w:sz="4" w:space="0" w:color="auto"/>
              <w:left w:val="single" w:sz="4" w:space="0" w:color="auto"/>
              <w:bottom w:val="single" w:sz="4" w:space="0" w:color="auto"/>
              <w:right w:val="single" w:sz="4" w:space="0" w:color="auto"/>
            </w:tcBorders>
          </w:tcPr>
          <w:p w14:paraId="5996AE8A"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3520" w:type="dxa"/>
            <w:gridSpan w:val="4"/>
            <w:tcBorders>
              <w:top w:val="single" w:sz="4" w:space="0" w:color="auto"/>
              <w:left w:val="single" w:sz="4" w:space="0" w:color="auto"/>
              <w:bottom w:val="single" w:sz="4" w:space="0" w:color="auto"/>
              <w:right w:val="single" w:sz="4" w:space="0" w:color="auto"/>
            </w:tcBorders>
          </w:tcPr>
          <w:p w14:paraId="04B2B822"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E19E1" w:rsidRPr="001C5F76" w14:paraId="24981C8C"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CBF46E7" w14:textId="77777777" w:rsidR="00DE19E1" w:rsidRPr="001C5F76" w:rsidRDefault="00DE19E1" w:rsidP="00E2153F">
            <w:pPr>
              <w:spacing w:line="360" w:lineRule="auto"/>
              <w:jc w:val="both"/>
            </w:pPr>
            <w:r w:rsidRPr="001C5F76">
              <w:t>Observações: No site da Universidade foi encontrado alguns dados sobre internacionalização de STAFF. Acima, a tabela se apresenta separada por região de atuação em pesquisas na universidade. A área de atuação e titulação não estavam especificadas. Elas se dividem em 9 regiões de origem do STAFF. A saber:</w:t>
            </w:r>
          </w:p>
          <w:p w14:paraId="511009A6" w14:textId="77777777" w:rsidR="00DE19E1" w:rsidRPr="001C5F76" w:rsidRDefault="00DE19E1" w:rsidP="00DE19E1">
            <w:pPr>
              <w:numPr>
                <w:ilvl w:val="0"/>
                <w:numId w:val="33"/>
              </w:numPr>
              <w:spacing w:line="360" w:lineRule="auto"/>
              <w:contextualSpacing/>
              <w:jc w:val="both"/>
            </w:pPr>
            <w:r w:rsidRPr="001C5F76">
              <w:t>Leste Asiático</w:t>
            </w:r>
          </w:p>
          <w:p w14:paraId="6F4EF759" w14:textId="77777777" w:rsidR="00DE19E1" w:rsidRPr="001C5F76" w:rsidRDefault="00DE19E1" w:rsidP="00DE19E1">
            <w:pPr>
              <w:numPr>
                <w:ilvl w:val="0"/>
                <w:numId w:val="33"/>
              </w:numPr>
              <w:spacing w:line="360" w:lineRule="auto"/>
              <w:contextualSpacing/>
              <w:jc w:val="both"/>
            </w:pPr>
            <w:r w:rsidRPr="001C5F76">
              <w:t>Sudeste da Ásia</w:t>
            </w:r>
          </w:p>
          <w:p w14:paraId="43740D90" w14:textId="77777777" w:rsidR="00DE19E1" w:rsidRPr="001C5F76" w:rsidRDefault="00DE19E1" w:rsidP="00DE19E1">
            <w:pPr>
              <w:numPr>
                <w:ilvl w:val="0"/>
                <w:numId w:val="33"/>
              </w:numPr>
              <w:spacing w:line="360" w:lineRule="auto"/>
              <w:contextualSpacing/>
              <w:jc w:val="both"/>
            </w:pPr>
            <w:r w:rsidRPr="001C5F76">
              <w:t>Ásia do Sul e Central</w:t>
            </w:r>
          </w:p>
          <w:p w14:paraId="56392D72" w14:textId="77777777" w:rsidR="00DE19E1" w:rsidRPr="001C5F76" w:rsidRDefault="00DE19E1" w:rsidP="00DE19E1">
            <w:pPr>
              <w:numPr>
                <w:ilvl w:val="0"/>
                <w:numId w:val="33"/>
              </w:numPr>
              <w:spacing w:line="360" w:lineRule="auto"/>
              <w:contextualSpacing/>
              <w:jc w:val="both"/>
            </w:pPr>
            <w:r w:rsidRPr="001C5F76">
              <w:t>Europa</w:t>
            </w:r>
          </w:p>
          <w:p w14:paraId="6A9149F9" w14:textId="77777777" w:rsidR="00DE19E1" w:rsidRPr="001C5F76" w:rsidRDefault="00DE19E1" w:rsidP="00DE19E1">
            <w:pPr>
              <w:numPr>
                <w:ilvl w:val="0"/>
                <w:numId w:val="33"/>
              </w:numPr>
              <w:spacing w:line="360" w:lineRule="auto"/>
              <w:contextualSpacing/>
              <w:jc w:val="both"/>
            </w:pPr>
            <w:r w:rsidRPr="001C5F76">
              <w:t>Oriente Médio e Norte da África</w:t>
            </w:r>
          </w:p>
          <w:p w14:paraId="62CFD44F" w14:textId="77777777" w:rsidR="00DE19E1" w:rsidRPr="001C5F76" w:rsidRDefault="00DE19E1" w:rsidP="00DE19E1">
            <w:pPr>
              <w:numPr>
                <w:ilvl w:val="0"/>
                <w:numId w:val="33"/>
              </w:numPr>
              <w:spacing w:line="360" w:lineRule="auto"/>
              <w:contextualSpacing/>
              <w:jc w:val="both"/>
            </w:pPr>
            <w:r w:rsidRPr="001C5F76">
              <w:t>Oceania</w:t>
            </w:r>
          </w:p>
          <w:p w14:paraId="5A10C865" w14:textId="77777777" w:rsidR="00DE19E1" w:rsidRPr="001C5F76" w:rsidRDefault="00DE19E1" w:rsidP="00DE19E1">
            <w:pPr>
              <w:numPr>
                <w:ilvl w:val="0"/>
                <w:numId w:val="33"/>
              </w:numPr>
              <w:spacing w:line="360" w:lineRule="auto"/>
              <w:contextualSpacing/>
              <w:jc w:val="both"/>
            </w:pPr>
            <w:r w:rsidRPr="001C5F76">
              <w:t>América do Norte e Central e o Caribe</w:t>
            </w:r>
          </w:p>
          <w:p w14:paraId="50E4A188" w14:textId="77777777" w:rsidR="00DE19E1" w:rsidRPr="001C5F76" w:rsidRDefault="00DE19E1" w:rsidP="00DE19E1">
            <w:pPr>
              <w:numPr>
                <w:ilvl w:val="0"/>
                <w:numId w:val="33"/>
              </w:numPr>
              <w:spacing w:line="360" w:lineRule="auto"/>
              <w:contextualSpacing/>
              <w:jc w:val="both"/>
            </w:pPr>
            <w:r w:rsidRPr="001C5F76">
              <w:t>América do Sul</w:t>
            </w:r>
          </w:p>
          <w:p w14:paraId="6E15CC40" w14:textId="77777777" w:rsidR="00DE19E1" w:rsidRPr="001C5F76" w:rsidRDefault="00DE19E1" w:rsidP="00DE19E1">
            <w:pPr>
              <w:numPr>
                <w:ilvl w:val="0"/>
                <w:numId w:val="33"/>
              </w:numPr>
              <w:spacing w:line="360" w:lineRule="auto"/>
              <w:contextualSpacing/>
              <w:jc w:val="both"/>
            </w:pPr>
            <w:r w:rsidRPr="001C5F76">
              <w:t>África Subsaariana</w:t>
            </w:r>
          </w:p>
          <w:p w14:paraId="55499807" w14:textId="77777777" w:rsidR="00DE19E1" w:rsidRPr="001C5F76" w:rsidRDefault="00DE19E1" w:rsidP="00DE19E1">
            <w:pPr>
              <w:numPr>
                <w:ilvl w:val="0"/>
                <w:numId w:val="33"/>
              </w:numPr>
              <w:spacing w:line="360" w:lineRule="auto"/>
              <w:contextualSpacing/>
              <w:jc w:val="both"/>
            </w:pPr>
          </w:p>
          <w:p w14:paraId="035A2A3A" w14:textId="77777777" w:rsidR="00DE19E1" w:rsidRPr="001C5F76" w:rsidRDefault="00DE19E1" w:rsidP="00E2153F">
            <w:pPr>
              <w:spacing w:line="360" w:lineRule="auto"/>
              <w:jc w:val="both"/>
            </w:pPr>
            <w:r w:rsidRPr="001C5F76">
              <w:t xml:space="preserve">Fonte: </w:t>
            </w:r>
            <w:hyperlink r:id="rId197" w:history="1">
              <w:r w:rsidRPr="001C5F76">
                <w:rPr>
                  <w:color w:val="4875BD" w:themeColor="accent1"/>
                  <w:u w:val="single"/>
                </w:rPr>
                <w:t>https://www.ox.ac.uk/about/international-oxford</w:t>
              </w:r>
            </w:hyperlink>
            <w:r w:rsidRPr="001C5F76">
              <w:t xml:space="preserve"> </w:t>
            </w:r>
          </w:p>
          <w:p w14:paraId="351292D7" w14:textId="77777777" w:rsidR="00DE19E1" w:rsidRPr="001C5F76" w:rsidRDefault="00DE19E1" w:rsidP="00E2153F">
            <w:pPr>
              <w:spacing w:line="360" w:lineRule="auto"/>
              <w:jc w:val="both"/>
            </w:pPr>
          </w:p>
        </w:tc>
      </w:tr>
      <w:tr w:rsidR="00DE19E1" w:rsidRPr="001C5F76" w14:paraId="63A57701"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A8BE38C" w14:textId="77777777" w:rsidR="00DE19E1" w:rsidRPr="001C5F76" w:rsidRDefault="00DE19E1" w:rsidP="00E2153F">
            <w:pPr>
              <w:spacing w:line="360" w:lineRule="auto"/>
              <w:jc w:val="both"/>
              <w:rPr>
                <w:b w:val="0"/>
              </w:rPr>
            </w:pPr>
            <w:r w:rsidRPr="001C5F76">
              <w:t>8.6.2. Estudantes</w:t>
            </w:r>
          </w:p>
        </w:tc>
      </w:tr>
      <w:tr w:rsidR="00DE19E1" w:rsidRPr="001C5F76" w14:paraId="65286502"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tcPr>
          <w:p w14:paraId="5DD35906" w14:textId="77777777" w:rsidR="00DE19E1" w:rsidRPr="001C5F76" w:rsidRDefault="00DE19E1" w:rsidP="00E2153F">
            <w:pPr>
              <w:spacing w:line="360" w:lineRule="auto"/>
              <w:jc w:val="both"/>
            </w:pPr>
            <w:r w:rsidRPr="001C5F76">
              <w:lastRenderedPageBreak/>
              <w:t>Estudantes Estrangeiros</w:t>
            </w:r>
          </w:p>
        </w:tc>
        <w:tc>
          <w:tcPr>
            <w:tcW w:w="2907" w:type="dxa"/>
            <w:gridSpan w:val="6"/>
            <w:tcBorders>
              <w:top w:val="single" w:sz="4" w:space="0" w:color="auto"/>
              <w:left w:val="single" w:sz="4" w:space="0" w:color="auto"/>
              <w:bottom w:val="single" w:sz="4" w:space="0" w:color="auto"/>
              <w:right w:val="single" w:sz="4" w:space="0" w:color="auto"/>
            </w:tcBorders>
          </w:tcPr>
          <w:p w14:paraId="100B1818"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País de Origem</w:t>
            </w:r>
          </w:p>
        </w:tc>
        <w:tc>
          <w:tcPr>
            <w:tcW w:w="1453" w:type="dxa"/>
            <w:gridSpan w:val="5"/>
            <w:tcBorders>
              <w:top w:val="single" w:sz="4" w:space="0" w:color="auto"/>
              <w:left w:val="single" w:sz="4" w:space="0" w:color="auto"/>
              <w:bottom w:val="single" w:sz="4" w:space="0" w:color="auto"/>
              <w:right w:val="single" w:sz="4" w:space="0" w:color="auto"/>
            </w:tcBorders>
          </w:tcPr>
          <w:p w14:paraId="14A80D30"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Área/Curso</w:t>
            </w:r>
          </w:p>
        </w:tc>
        <w:tc>
          <w:tcPr>
            <w:tcW w:w="2794" w:type="dxa"/>
            <w:gridSpan w:val="2"/>
            <w:tcBorders>
              <w:top w:val="single" w:sz="4" w:space="0" w:color="auto"/>
              <w:left w:val="single" w:sz="4" w:space="0" w:color="auto"/>
              <w:bottom w:val="single" w:sz="4" w:space="0" w:color="auto"/>
              <w:right w:val="single" w:sz="4" w:space="0" w:color="auto"/>
            </w:tcBorders>
          </w:tcPr>
          <w:p w14:paraId="0E0EB452"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Graduação ou Pós-Graduação</w:t>
            </w:r>
          </w:p>
        </w:tc>
      </w:tr>
      <w:tr w:rsidR="00DE19E1" w:rsidRPr="001C5F76" w14:paraId="2F5D1949"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59B7F8E8" w14:textId="77777777" w:rsidR="00DE19E1" w:rsidRPr="001C5F76" w:rsidRDefault="00DE19E1" w:rsidP="00E2153F">
            <w:pPr>
              <w:tabs>
                <w:tab w:val="clear" w:pos="1615"/>
              </w:tabs>
              <w:spacing w:line="360" w:lineRule="auto"/>
              <w:jc w:val="center"/>
              <w:rPr>
                <w:rFonts w:ascii="Calibri" w:eastAsia="Times New Roman" w:hAnsi="Calibri" w:cs="Calibri"/>
                <w:b w:val="0"/>
                <w:bCs w:val="0"/>
                <w:color w:val="000000"/>
                <w:lang w:eastAsia="pt-BR"/>
              </w:rPr>
            </w:pPr>
            <w:r w:rsidRPr="001C5F76">
              <w:rPr>
                <w:rFonts w:ascii="Calibri" w:eastAsia="Times New Roman" w:hAnsi="Calibri" w:cs="Calibri"/>
                <w:color w:val="000000"/>
                <w:lang w:eastAsia="pt-BR"/>
              </w:rPr>
              <w:t xml:space="preserve">Região de Origem </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01D4CDCD"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Alunos</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5BE7EC11"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Ex-alunos</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6B5823AA"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t-BR"/>
              </w:rPr>
            </w:pPr>
            <w:r w:rsidRPr="001C5F76">
              <w:rPr>
                <w:rFonts w:ascii="Calibri" w:eastAsia="Times New Roman" w:hAnsi="Calibri" w:cs="Calibri"/>
                <w:b/>
                <w:bCs/>
                <w:color w:val="000000"/>
                <w:lang w:eastAsia="pt-BR"/>
              </w:rPr>
              <w:t>Grupos de ex-alunos</w:t>
            </w:r>
          </w:p>
        </w:tc>
      </w:tr>
      <w:tr w:rsidR="00DE19E1" w:rsidRPr="001C5F76" w14:paraId="0C3131AF"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219FC7FC"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Leste Asiático</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09C7C672"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1.944</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5014CA38"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9.005</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489EB922"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13</w:t>
            </w:r>
          </w:p>
        </w:tc>
      </w:tr>
      <w:tr w:rsidR="00DE19E1" w:rsidRPr="001C5F76" w14:paraId="6BDFD044"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564BC25E"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Sudeste da Ásia</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336C680A"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626</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60E023F1"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4166</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11CFCC5D"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8</w:t>
            </w:r>
          </w:p>
        </w:tc>
      </w:tr>
      <w:tr w:rsidR="00DE19E1" w:rsidRPr="001C5F76" w14:paraId="4478F500"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0445C1A9"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Ásia do Sul e Central</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032314BD"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598</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73DF4DCE"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3169</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58B8CC0D"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10</w:t>
            </w:r>
          </w:p>
        </w:tc>
      </w:tr>
      <w:tr w:rsidR="00DE19E1" w:rsidRPr="001C5F76" w14:paraId="0E8ACEAE"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6F5BD884"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Europa</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318E1FCA"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18.105</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34664826"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216.285</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52EAA362"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82</w:t>
            </w:r>
          </w:p>
        </w:tc>
      </w:tr>
      <w:tr w:rsidR="00DE19E1" w:rsidRPr="001C5F76" w14:paraId="611D2BBB"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7E27A826"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Oriente Médio e Norte da África</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526AA9D2"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238</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6101CC68"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1877</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1D0B99EF"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9</w:t>
            </w:r>
          </w:p>
        </w:tc>
      </w:tr>
      <w:tr w:rsidR="00DE19E1" w:rsidRPr="001C5F76" w14:paraId="757B3845"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372390D5"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Oceania</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6A78046F"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369</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194EF3FD"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6149</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04F2E657"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10</w:t>
            </w:r>
          </w:p>
        </w:tc>
      </w:tr>
      <w:tr w:rsidR="00DE19E1" w:rsidRPr="001C5F76" w14:paraId="0FF29A23"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132AB6C4"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América do Norte e Central e o Caribe</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68B22EE1"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2.049</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16BD57FD"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37.769</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78E54E1D"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37</w:t>
            </w:r>
          </w:p>
        </w:tc>
      </w:tr>
      <w:tr w:rsidR="00DE19E1" w:rsidRPr="001C5F76" w14:paraId="54F6A6B5" w14:textId="77777777" w:rsidTr="00E2153F">
        <w:trPr>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690FDDE5"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América do Sul</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20C08857"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194</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153B2589"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1352</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191BA787" w14:textId="77777777" w:rsidR="00DE19E1" w:rsidRPr="001C5F76" w:rsidRDefault="00DE19E1" w:rsidP="00E2153F">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6</w:t>
            </w:r>
          </w:p>
        </w:tc>
      </w:tr>
      <w:tr w:rsidR="00DE19E1" w:rsidRPr="001C5F76" w14:paraId="0219C0AC" w14:textId="77777777" w:rsidTr="00E21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noWrap/>
            <w:hideMark/>
          </w:tcPr>
          <w:p w14:paraId="15663E3B" w14:textId="77777777" w:rsidR="00DE19E1" w:rsidRPr="001C5F76" w:rsidRDefault="00DE19E1" w:rsidP="00E2153F">
            <w:pPr>
              <w:tabs>
                <w:tab w:val="clear" w:pos="1615"/>
              </w:tabs>
              <w:spacing w:line="360" w:lineRule="auto"/>
              <w:jc w:val="center"/>
              <w:rPr>
                <w:rFonts w:ascii="Calibri" w:eastAsia="Times New Roman" w:hAnsi="Calibri" w:cs="Calibri"/>
                <w:color w:val="000000"/>
                <w:lang w:eastAsia="pt-BR"/>
              </w:rPr>
            </w:pPr>
            <w:r w:rsidRPr="001C5F76">
              <w:rPr>
                <w:rFonts w:ascii="Calibri" w:eastAsia="Times New Roman" w:hAnsi="Calibri" w:cs="Calibri"/>
                <w:color w:val="000000"/>
                <w:lang w:eastAsia="pt-BR"/>
              </w:rPr>
              <w:t>África Subsaariana</w:t>
            </w:r>
          </w:p>
        </w:tc>
        <w:tc>
          <w:tcPr>
            <w:tcW w:w="2907" w:type="dxa"/>
            <w:gridSpan w:val="6"/>
            <w:tcBorders>
              <w:top w:val="single" w:sz="4" w:space="0" w:color="auto"/>
              <w:left w:val="single" w:sz="4" w:space="0" w:color="auto"/>
              <w:bottom w:val="single" w:sz="4" w:space="0" w:color="auto"/>
              <w:right w:val="single" w:sz="4" w:space="0" w:color="auto"/>
            </w:tcBorders>
            <w:noWrap/>
            <w:hideMark/>
          </w:tcPr>
          <w:p w14:paraId="0E6E140F"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385</w:t>
            </w:r>
          </w:p>
        </w:tc>
        <w:tc>
          <w:tcPr>
            <w:tcW w:w="1453" w:type="dxa"/>
            <w:gridSpan w:val="5"/>
            <w:tcBorders>
              <w:top w:val="single" w:sz="4" w:space="0" w:color="auto"/>
              <w:left w:val="single" w:sz="4" w:space="0" w:color="auto"/>
              <w:bottom w:val="single" w:sz="4" w:space="0" w:color="auto"/>
              <w:right w:val="single" w:sz="4" w:space="0" w:color="auto"/>
            </w:tcBorders>
            <w:noWrap/>
            <w:hideMark/>
          </w:tcPr>
          <w:p w14:paraId="300446E3"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3020</w:t>
            </w: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2F203839" w14:textId="77777777" w:rsidR="00DE19E1" w:rsidRPr="001C5F76" w:rsidRDefault="00DE19E1" w:rsidP="00E2153F">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C5F76">
              <w:rPr>
                <w:rFonts w:ascii="Calibri" w:eastAsia="Times New Roman" w:hAnsi="Calibri" w:cs="Calibri"/>
                <w:color w:val="000000"/>
                <w:lang w:eastAsia="pt-BR"/>
              </w:rPr>
              <w:t>6</w:t>
            </w:r>
          </w:p>
        </w:tc>
      </w:tr>
      <w:tr w:rsidR="00DE19E1" w:rsidRPr="001C5F76" w14:paraId="44820162"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3101316B" w14:textId="77777777" w:rsidR="00DE19E1" w:rsidRPr="001C5F76" w:rsidRDefault="00DE19E1" w:rsidP="00E2153F">
            <w:pPr>
              <w:spacing w:line="360" w:lineRule="auto"/>
              <w:jc w:val="both"/>
            </w:pPr>
            <w:r w:rsidRPr="001C5F76">
              <w:t>Observações: No site da Universidade foi encontrado alguns dados sobre internacionalização de estudantes. Acima a tabela se apresenta separada por região de atuação em pesquisas na universidade. A área do curso e o grau acadêmico dos alunos não estavam especificadas. Elas se dividem em 9 regiões de origem dos estudantes (exlunos, alunos e grupo de ex-alunos). A saber</w:t>
            </w:r>
          </w:p>
          <w:p w14:paraId="15D1B2CA" w14:textId="77777777" w:rsidR="00DE19E1" w:rsidRPr="001C5F76" w:rsidRDefault="00DE19E1" w:rsidP="00DE19E1">
            <w:pPr>
              <w:numPr>
                <w:ilvl w:val="0"/>
                <w:numId w:val="33"/>
              </w:numPr>
              <w:spacing w:line="360" w:lineRule="auto"/>
              <w:contextualSpacing/>
              <w:jc w:val="both"/>
            </w:pPr>
            <w:r w:rsidRPr="001C5F76">
              <w:t>Leste Asiático</w:t>
            </w:r>
          </w:p>
          <w:p w14:paraId="28C49C7E" w14:textId="77777777" w:rsidR="00DE19E1" w:rsidRPr="001C5F76" w:rsidRDefault="00DE19E1" w:rsidP="00DE19E1">
            <w:pPr>
              <w:numPr>
                <w:ilvl w:val="0"/>
                <w:numId w:val="33"/>
              </w:numPr>
              <w:spacing w:line="360" w:lineRule="auto"/>
              <w:contextualSpacing/>
              <w:jc w:val="both"/>
            </w:pPr>
            <w:r w:rsidRPr="001C5F76">
              <w:t>Sudeste da Ásia</w:t>
            </w:r>
          </w:p>
          <w:p w14:paraId="19B44E97" w14:textId="77777777" w:rsidR="00DE19E1" w:rsidRPr="001C5F76" w:rsidRDefault="00DE19E1" w:rsidP="00DE19E1">
            <w:pPr>
              <w:numPr>
                <w:ilvl w:val="0"/>
                <w:numId w:val="33"/>
              </w:numPr>
              <w:spacing w:line="360" w:lineRule="auto"/>
              <w:contextualSpacing/>
              <w:jc w:val="both"/>
            </w:pPr>
            <w:r w:rsidRPr="001C5F76">
              <w:t>Ásia do Sul e Central</w:t>
            </w:r>
          </w:p>
          <w:p w14:paraId="3537AEE7" w14:textId="77777777" w:rsidR="00DE19E1" w:rsidRPr="001C5F76" w:rsidRDefault="00DE19E1" w:rsidP="00DE19E1">
            <w:pPr>
              <w:numPr>
                <w:ilvl w:val="0"/>
                <w:numId w:val="33"/>
              </w:numPr>
              <w:spacing w:line="360" w:lineRule="auto"/>
              <w:contextualSpacing/>
              <w:jc w:val="both"/>
            </w:pPr>
            <w:r w:rsidRPr="001C5F76">
              <w:t>Europa</w:t>
            </w:r>
          </w:p>
          <w:p w14:paraId="343DA8AA" w14:textId="77777777" w:rsidR="00DE19E1" w:rsidRPr="001C5F76" w:rsidRDefault="00DE19E1" w:rsidP="00DE19E1">
            <w:pPr>
              <w:numPr>
                <w:ilvl w:val="0"/>
                <w:numId w:val="33"/>
              </w:numPr>
              <w:spacing w:line="360" w:lineRule="auto"/>
              <w:contextualSpacing/>
              <w:jc w:val="both"/>
            </w:pPr>
            <w:r w:rsidRPr="001C5F76">
              <w:t>Oriente Médio e Norte da África</w:t>
            </w:r>
          </w:p>
          <w:p w14:paraId="3C7C45F1" w14:textId="77777777" w:rsidR="00DE19E1" w:rsidRPr="001C5F76" w:rsidRDefault="00DE19E1" w:rsidP="00DE19E1">
            <w:pPr>
              <w:numPr>
                <w:ilvl w:val="0"/>
                <w:numId w:val="33"/>
              </w:numPr>
              <w:spacing w:line="360" w:lineRule="auto"/>
              <w:contextualSpacing/>
              <w:jc w:val="both"/>
            </w:pPr>
            <w:r w:rsidRPr="001C5F76">
              <w:t>Oceania</w:t>
            </w:r>
          </w:p>
          <w:p w14:paraId="069413A2" w14:textId="77777777" w:rsidR="00DE19E1" w:rsidRPr="001C5F76" w:rsidRDefault="00DE19E1" w:rsidP="00DE19E1">
            <w:pPr>
              <w:numPr>
                <w:ilvl w:val="0"/>
                <w:numId w:val="33"/>
              </w:numPr>
              <w:spacing w:line="360" w:lineRule="auto"/>
              <w:contextualSpacing/>
              <w:jc w:val="both"/>
            </w:pPr>
            <w:r w:rsidRPr="001C5F76">
              <w:t>América do Norte e Central e o Caribe</w:t>
            </w:r>
          </w:p>
          <w:p w14:paraId="79C1E299" w14:textId="77777777" w:rsidR="00DE19E1" w:rsidRPr="001C5F76" w:rsidRDefault="00DE19E1" w:rsidP="00DE19E1">
            <w:pPr>
              <w:numPr>
                <w:ilvl w:val="0"/>
                <w:numId w:val="33"/>
              </w:numPr>
              <w:spacing w:line="360" w:lineRule="auto"/>
              <w:contextualSpacing/>
              <w:jc w:val="both"/>
            </w:pPr>
            <w:r w:rsidRPr="001C5F76">
              <w:t>América do Sul</w:t>
            </w:r>
          </w:p>
          <w:p w14:paraId="1E1F02FE" w14:textId="77777777" w:rsidR="00DE19E1" w:rsidRPr="001C5F76" w:rsidRDefault="00DE19E1" w:rsidP="00DE19E1">
            <w:pPr>
              <w:numPr>
                <w:ilvl w:val="0"/>
                <w:numId w:val="33"/>
              </w:numPr>
              <w:spacing w:line="360" w:lineRule="auto"/>
              <w:contextualSpacing/>
              <w:jc w:val="both"/>
            </w:pPr>
            <w:r w:rsidRPr="001C5F76">
              <w:t>África Subsaariana</w:t>
            </w:r>
          </w:p>
          <w:p w14:paraId="26C2840C" w14:textId="77777777" w:rsidR="00DE19E1" w:rsidRPr="001C5F76" w:rsidRDefault="00DE19E1" w:rsidP="00E2153F">
            <w:pPr>
              <w:spacing w:line="360" w:lineRule="auto"/>
              <w:jc w:val="both"/>
            </w:pPr>
          </w:p>
          <w:p w14:paraId="0F507590" w14:textId="77777777" w:rsidR="00DE19E1" w:rsidRPr="001C5F76" w:rsidRDefault="00DE19E1" w:rsidP="00E2153F">
            <w:pPr>
              <w:spacing w:line="360" w:lineRule="auto"/>
              <w:jc w:val="both"/>
            </w:pPr>
            <w:r w:rsidRPr="001C5F76">
              <w:t xml:space="preserve">Fonte: </w:t>
            </w:r>
            <w:hyperlink r:id="rId198" w:history="1">
              <w:r w:rsidRPr="001C5F76">
                <w:rPr>
                  <w:color w:val="4875BD" w:themeColor="accent1"/>
                  <w:u w:val="single"/>
                </w:rPr>
                <w:t>https://www.ox.ac.uk/about/international-oxford</w:t>
              </w:r>
            </w:hyperlink>
            <w:r w:rsidRPr="001C5F76">
              <w:t xml:space="preserve"> </w:t>
            </w:r>
          </w:p>
          <w:p w14:paraId="1CBAC771" w14:textId="77777777" w:rsidR="00DE19E1" w:rsidRPr="001C5F76" w:rsidRDefault="00DE19E1" w:rsidP="00E2153F">
            <w:pPr>
              <w:spacing w:line="360" w:lineRule="auto"/>
              <w:jc w:val="both"/>
            </w:pPr>
          </w:p>
        </w:tc>
      </w:tr>
      <w:tr w:rsidR="00DE19E1" w:rsidRPr="001C5F76" w14:paraId="0DD153E6"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4A7BE371" w14:textId="77777777" w:rsidR="00DE19E1" w:rsidRPr="001C5F76" w:rsidRDefault="00DE19E1" w:rsidP="00E2153F">
            <w:pPr>
              <w:spacing w:line="360" w:lineRule="auto"/>
              <w:jc w:val="both"/>
              <w:rPr>
                <w:b w:val="0"/>
              </w:rPr>
            </w:pPr>
            <w:r w:rsidRPr="001C5F76">
              <w:t>8.7 Participação em redes acadêmicas internacionais</w:t>
            </w:r>
          </w:p>
        </w:tc>
      </w:tr>
      <w:tr w:rsidR="00DE19E1" w:rsidRPr="001C5F76" w14:paraId="511ED35C" w14:textId="77777777" w:rsidTr="00E2153F">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tcPr>
          <w:p w14:paraId="328C5CF9" w14:textId="77777777" w:rsidR="00DE19E1" w:rsidRPr="001C5F76" w:rsidRDefault="00DE19E1" w:rsidP="00E2153F">
            <w:pPr>
              <w:spacing w:line="360" w:lineRule="auto"/>
              <w:jc w:val="both"/>
            </w:pPr>
            <w:r w:rsidRPr="001C5F76">
              <w:t>Nome da Rede/ País origem</w:t>
            </w:r>
          </w:p>
        </w:tc>
        <w:tc>
          <w:tcPr>
            <w:tcW w:w="2907" w:type="dxa"/>
            <w:gridSpan w:val="6"/>
            <w:tcBorders>
              <w:top w:val="single" w:sz="4" w:space="0" w:color="auto"/>
              <w:left w:val="single" w:sz="4" w:space="0" w:color="auto"/>
              <w:bottom w:val="single" w:sz="4" w:space="0" w:color="auto"/>
              <w:right w:val="single" w:sz="4" w:space="0" w:color="auto"/>
            </w:tcBorders>
          </w:tcPr>
          <w:p w14:paraId="4DD77BB2"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Relação de Docentes/Área</w:t>
            </w:r>
          </w:p>
        </w:tc>
        <w:tc>
          <w:tcPr>
            <w:tcW w:w="4247" w:type="dxa"/>
            <w:gridSpan w:val="7"/>
            <w:tcBorders>
              <w:top w:val="single" w:sz="4" w:space="0" w:color="auto"/>
              <w:left w:val="single" w:sz="4" w:space="0" w:color="auto"/>
              <w:bottom w:val="single" w:sz="4" w:space="0" w:color="auto"/>
              <w:right w:val="single" w:sz="4" w:space="0" w:color="auto"/>
            </w:tcBorders>
          </w:tcPr>
          <w:p w14:paraId="5EB14131"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Relação de estudantes (Graduação e Pós-Graduação)</w:t>
            </w:r>
          </w:p>
        </w:tc>
      </w:tr>
      <w:tr w:rsidR="00DE19E1" w:rsidRPr="001C5F76" w14:paraId="61B50961"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gridSpan w:val="6"/>
            <w:tcBorders>
              <w:top w:val="single" w:sz="4" w:space="0" w:color="auto"/>
              <w:left w:val="single" w:sz="4" w:space="0" w:color="auto"/>
              <w:bottom w:val="single" w:sz="4" w:space="0" w:color="auto"/>
              <w:right w:val="single" w:sz="4" w:space="0" w:color="auto"/>
            </w:tcBorders>
          </w:tcPr>
          <w:p w14:paraId="269F531B" w14:textId="77777777" w:rsidR="00DE19E1" w:rsidRPr="001C5F76" w:rsidRDefault="00DE19E1" w:rsidP="00E2153F">
            <w:pPr>
              <w:spacing w:line="360" w:lineRule="auto"/>
              <w:jc w:val="both"/>
            </w:pPr>
            <w:r w:rsidRPr="001C5F76">
              <w:t>Observações :</w:t>
            </w:r>
          </w:p>
        </w:tc>
        <w:tc>
          <w:tcPr>
            <w:tcW w:w="7154" w:type="dxa"/>
            <w:gridSpan w:val="13"/>
            <w:tcBorders>
              <w:top w:val="single" w:sz="4" w:space="0" w:color="auto"/>
              <w:left w:val="single" w:sz="4" w:space="0" w:color="auto"/>
              <w:bottom w:val="single" w:sz="4" w:space="0" w:color="auto"/>
              <w:right w:val="single" w:sz="4" w:space="0" w:color="auto"/>
            </w:tcBorders>
          </w:tcPr>
          <w:p w14:paraId="4943EEC0"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 xml:space="preserve">As redes acadêmicas internacionais foram citadas em detalhe no item 8.2. </w:t>
            </w:r>
          </w:p>
          <w:p w14:paraId="4E2B2194"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 xml:space="preserve">Para esse item vale reforçar que OXFORD possui 4 redes internacionais: a </w:t>
            </w:r>
            <w:r w:rsidRPr="001C5F76">
              <w:lastRenderedPageBreak/>
              <w:t>saber:</w:t>
            </w:r>
          </w:p>
          <w:p w14:paraId="67B3FED5" w14:textId="77777777" w:rsidR="00DE19E1" w:rsidRPr="001C5F76" w:rsidRDefault="00DE19E1" w:rsidP="00DE19E1">
            <w:pPr>
              <w:numPr>
                <w:ilvl w:val="0"/>
                <w:numId w:val="34"/>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1C5F76">
              <w:t>Aliança Internacional de Universidades de Pesquisa  (IARU)</w:t>
            </w:r>
          </w:p>
          <w:p w14:paraId="7F4429EF" w14:textId="77777777" w:rsidR="00DE19E1" w:rsidRPr="001C5F76" w:rsidRDefault="00DE19E1" w:rsidP="00DE19E1">
            <w:pPr>
              <w:numPr>
                <w:ilvl w:val="0"/>
                <w:numId w:val="34"/>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1C5F76">
              <w:t>Europaeum</w:t>
            </w:r>
          </w:p>
          <w:p w14:paraId="7509BFFD" w14:textId="77777777" w:rsidR="00DE19E1" w:rsidRPr="007B6DC0" w:rsidRDefault="00DE19E1" w:rsidP="00DE19E1">
            <w:pPr>
              <w:numPr>
                <w:ilvl w:val="0"/>
                <w:numId w:val="34"/>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US"/>
              </w:rPr>
            </w:pPr>
            <w:r w:rsidRPr="007B6DC0">
              <w:rPr>
                <w:lang w:val="en-US"/>
              </w:rPr>
              <w:t>League of European Research Universities (LERU)</w:t>
            </w:r>
          </w:p>
          <w:p w14:paraId="12174B05" w14:textId="77777777" w:rsidR="00DE19E1" w:rsidRPr="001C5F76" w:rsidRDefault="00DE19E1" w:rsidP="00DE19E1">
            <w:pPr>
              <w:numPr>
                <w:ilvl w:val="0"/>
                <w:numId w:val="34"/>
              </w:numPr>
              <w:spacing w:line="360" w:lineRule="auto"/>
              <w:contextualSpacing/>
              <w:jc w:val="both"/>
              <w:cnfStyle w:val="000000100000" w:firstRow="0" w:lastRow="0" w:firstColumn="0" w:lastColumn="0" w:oddVBand="0" w:evenVBand="0" w:oddHBand="1" w:evenHBand="0" w:firstRowFirstColumn="0" w:firstRowLastColumn="0" w:lastRowFirstColumn="0" w:lastRowLastColumn="0"/>
            </w:pPr>
            <w:r w:rsidRPr="001C5F76">
              <w:t>Aliança Oxford-Princeton</w:t>
            </w:r>
          </w:p>
          <w:p w14:paraId="22A5A6E8"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Dados como a relação de docentes/área x relação de estudantes não foram encontrados pela pesquisadora.</w:t>
            </w:r>
          </w:p>
          <w:p w14:paraId="4800CC93"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E19E1" w:rsidRPr="001C5F76" w14:paraId="1BB72AD8"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935B03E" w14:textId="77777777" w:rsidR="00DE19E1" w:rsidRPr="001C5F76" w:rsidRDefault="00DE19E1" w:rsidP="00E2153F">
            <w:pPr>
              <w:spacing w:line="360" w:lineRule="auto"/>
              <w:jc w:val="both"/>
              <w:rPr>
                <w:b w:val="0"/>
              </w:rPr>
            </w:pPr>
            <w:r w:rsidRPr="001C5F76">
              <w:lastRenderedPageBreak/>
              <w:t>8.8. Política de internacionalização</w:t>
            </w:r>
          </w:p>
        </w:tc>
      </w:tr>
      <w:tr w:rsidR="00DE19E1" w:rsidRPr="001C5F76" w14:paraId="23E60C9A" w14:textId="77777777" w:rsidTr="00E2153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971" w:type="dxa"/>
            <w:gridSpan w:val="15"/>
            <w:tcBorders>
              <w:top w:val="single" w:sz="4" w:space="0" w:color="auto"/>
              <w:left w:val="single" w:sz="4" w:space="0" w:color="auto"/>
              <w:bottom w:val="single" w:sz="4" w:space="0" w:color="auto"/>
              <w:right w:val="single" w:sz="4" w:space="0" w:color="auto"/>
            </w:tcBorders>
          </w:tcPr>
          <w:p w14:paraId="5CF35EBC" w14:textId="77777777" w:rsidR="00DE19E1" w:rsidRPr="001C5F76" w:rsidRDefault="00DE19E1" w:rsidP="00E2153F">
            <w:pPr>
              <w:spacing w:line="360" w:lineRule="auto"/>
              <w:jc w:val="both"/>
            </w:pPr>
            <w:r w:rsidRPr="001C5F76">
              <w:t>A IES possui uma política institucionalizada para a internacionalização?</w:t>
            </w:r>
          </w:p>
        </w:tc>
        <w:tc>
          <w:tcPr>
            <w:tcW w:w="1090" w:type="dxa"/>
            <w:gridSpan w:val="3"/>
            <w:tcBorders>
              <w:top w:val="single" w:sz="4" w:space="0" w:color="auto"/>
              <w:left w:val="single" w:sz="4" w:space="0" w:color="auto"/>
              <w:bottom w:val="single" w:sz="4" w:space="0" w:color="auto"/>
              <w:right w:val="single" w:sz="4" w:space="0" w:color="auto"/>
            </w:tcBorders>
          </w:tcPr>
          <w:p w14:paraId="7F8629F6"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Sim</w:t>
            </w:r>
          </w:p>
        </w:tc>
        <w:tc>
          <w:tcPr>
            <w:tcW w:w="2430" w:type="dxa"/>
            <w:tcBorders>
              <w:top w:val="single" w:sz="4" w:space="0" w:color="auto"/>
              <w:left w:val="single" w:sz="4" w:space="0" w:color="auto"/>
              <w:bottom w:val="single" w:sz="4" w:space="0" w:color="auto"/>
              <w:right w:val="single" w:sz="4" w:space="0" w:color="auto"/>
            </w:tcBorders>
          </w:tcPr>
          <w:p w14:paraId="5904B023"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Não</w:t>
            </w:r>
          </w:p>
        </w:tc>
      </w:tr>
      <w:tr w:rsidR="00DE19E1" w:rsidRPr="001C5F76" w14:paraId="0B3FDA8F" w14:textId="77777777" w:rsidTr="00E2153F">
        <w:trPr>
          <w:trHeight w:val="135"/>
        </w:trPr>
        <w:tc>
          <w:tcPr>
            <w:cnfStyle w:val="001000000000" w:firstRow="0" w:lastRow="0" w:firstColumn="1" w:lastColumn="0" w:oddVBand="0" w:evenVBand="0" w:oddHBand="0" w:evenHBand="0" w:firstRowFirstColumn="0" w:firstRowLastColumn="0" w:lastRowFirstColumn="0" w:lastRowLastColumn="0"/>
            <w:tcW w:w="6971" w:type="dxa"/>
            <w:gridSpan w:val="15"/>
            <w:tcBorders>
              <w:top w:val="single" w:sz="4" w:space="0" w:color="auto"/>
              <w:left w:val="single" w:sz="4" w:space="0" w:color="auto"/>
              <w:bottom w:val="single" w:sz="4" w:space="0" w:color="auto"/>
              <w:right w:val="single" w:sz="4" w:space="0" w:color="auto"/>
            </w:tcBorders>
          </w:tcPr>
          <w:p w14:paraId="4B7E3A46" w14:textId="77777777" w:rsidR="00DE19E1" w:rsidRPr="001C5F76" w:rsidRDefault="00DE19E1" w:rsidP="00E2153F">
            <w:pPr>
              <w:spacing w:line="360" w:lineRule="auto"/>
              <w:jc w:val="both"/>
            </w:pPr>
          </w:p>
        </w:tc>
        <w:tc>
          <w:tcPr>
            <w:tcW w:w="1090" w:type="dxa"/>
            <w:gridSpan w:val="3"/>
            <w:tcBorders>
              <w:top w:val="single" w:sz="4" w:space="0" w:color="auto"/>
              <w:left w:val="single" w:sz="4" w:space="0" w:color="auto"/>
              <w:bottom w:val="single" w:sz="4" w:space="0" w:color="auto"/>
              <w:right w:val="single" w:sz="4" w:space="0" w:color="auto"/>
            </w:tcBorders>
          </w:tcPr>
          <w:p w14:paraId="448E7076" w14:textId="77777777" w:rsidR="00DE19E1" w:rsidRPr="001C5F76" w:rsidRDefault="00DE19E1" w:rsidP="00E2153F">
            <w:pPr>
              <w:spacing w:line="360" w:lineRule="auto"/>
              <w:jc w:val="center"/>
              <w:cnfStyle w:val="000000000000" w:firstRow="0" w:lastRow="0" w:firstColumn="0" w:lastColumn="0" w:oddVBand="0" w:evenVBand="0" w:oddHBand="0" w:evenHBand="0" w:firstRowFirstColumn="0" w:firstRowLastColumn="0" w:lastRowFirstColumn="0" w:lastRowLastColumn="0"/>
            </w:pPr>
            <w:r w:rsidRPr="001C5F76">
              <w:t>X</w:t>
            </w:r>
          </w:p>
        </w:tc>
        <w:tc>
          <w:tcPr>
            <w:tcW w:w="2430" w:type="dxa"/>
            <w:tcBorders>
              <w:top w:val="single" w:sz="4" w:space="0" w:color="auto"/>
              <w:left w:val="single" w:sz="4" w:space="0" w:color="auto"/>
              <w:bottom w:val="single" w:sz="4" w:space="0" w:color="auto"/>
              <w:right w:val="single" w:sz="4" w:space="0" w:color="auto"/>
            </w:tcBorders>
          </w:tcPr>
          <w:p w14:paraId="277D4153"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E19E1" w:rsidRPr="001C5F76" w14:paraId="67E46ECF" w14:textId="77777777" w:rsidTr="00E2153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2BB0456A" w14:textId="77777777" w:rsidR="00DE19E1" w:rsidRPr="001C5F76" w:rsidRDefault="00DE19E1" w:rsidP="00E2153F">
            <w:pPr>
              <w:spacing w:line="360" w:lineRule="auto"/>
              <w:jc w:val="both"/>
            </w:pPr>
            <w:r w:rsidRPr="001C5F76">
              <w:t>Justificativa:</w:t>
            </w:r>
          </w:p>
          <w:p w14:paraId="2463C675" w14:textId="77777777" w:rsidR="00DE19E1" w:rsidRPr="001C5F76" w:rsidRDefault="00DE19E1" w:rsidP="00E2153F">
            <w:pPr>
              <w:spacing w:line="360" w:lineRule="auto"/>
              <w:jc w:val="both"/>
            </w:pPr>
            <w:r w:rsidRPr="001C5F76">
              <w:t>Oxford tem como objetivo oferecer uma educação excepcional, realizar pesquisas de ponta e fazer contribuições significativas para a sociedade - local, nacional e internacionalmente. Isto inclui o apoio à mobilidade entre o corpo docente e corpo discente através do Erasmus e outros meios, e o apoio a colaborações de investigação internacionais com base no interesse e necessidade acadêmica. Os vínculos globais extensos e em constante expansão da Universidade, foram desenvolvidos para servir a esses princípios.</w:t>
            </w:r>
          </w:p>
          <w:p w14:paraId="22C12CE7" w14:textId="77777777" w:rsidR="00DE19E1" w:rsidRPr="001C5F76" w:rsidRDefault="00DE19E1" w:rsidP="00E2153F">
            <w:pPr>
              <w:spacing w:line="360" w:lineRule="auto"/>
              <w:jc w:val="both"/>
            </w:pPr>
          </w:p>
        </w:tc>
      </w:tr>
      <w:tr w:rsidR="00DE19E1" w:rsidRPr="001C5F76" w14:paraId="4B405D69" w14:textId="77777777" w:rsidTr="00E2153F">
        <w:trPr>
          <w:trHeight w:val="135"/>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417BF3AF" w14:textId="77777777" w:rsidR="00DE19E1" w:rsidRPr="001C5F76" w:rsidRDefault="00DE19E1" w:rsidP="00E2153F">
            <w:pPr>
              <w:spacing w:line="360" w:lineRule="auto"/>
              <w:jc w:val="both"/>
            </w:pPr>
          </w:p>
        </w:tc>
      </w:tr>
      <w:tr w:rsidR="00DE19E1" w:rsidRPr="001C5F76" w14:paraId="303257BA"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7F4C6101" w14:textId="77777777" w:rsidR="00DE19E1" w:rsidRPr="001C5F76" w:rsidRDefault="00DE19E1" w:rsidP="00E2153F">
            <w:pPr>
              <w:spacing w:line="360" w:lineRule="auto"/>
              <w:jc w:val="both"/>
            </w:pPr>
            <w:r w:rsidRPr="001C5F76">
              <w:t>Relação de documentos consultados</w:t>
            </w:r>
          </w:p>
        </w:tc>
      </w:tr>
      <w:tr w:rsidR="00DE19E1" w:rsidRPr="001C5F76" w14:paraId="2485A079"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65C57DC" w14:textId="77777777" w:rsidR="00DE19E1" w:rsidRPr="001C5F76" w:rsidRDefault="00DE19E1" w:rsidP="00E2153F">
            <w:pPr>
              <w:spacing w:line="360" w:lineRule="auto"/>
              <w:jc w:val="both"/>
            </w:pPr>
          </w:p>
          <w:p w14:paraId="6FA34BDD" w14:textId="77777777" w:rsidR="00DE19E1" w:rsidRPr="001C5F76" w:rsidRDefault="00DE19E1" w:rsidP="00E2153F">
            <w:pPr>
              <w:spacing w:line="360" w:lineRule="auto"/>
              <w:jc w:val="both"/>
            </w:pPr>
            <w:r w:rsidRPr="001C5F76">
              <w:t>Documento com oportunidade de colaboração internacional com OXFORD</w:t>
            </w:r>
          </w:p>
          <w:p w14:paraId="66A25F49" w14:textId="77777777" w:rsidR="00DE19E1" w:rsidRPr="001C5F76" w:rsidRDefault="00A515B3" w:rsidP="00E2153F">
            <w:pPr>
              <w:spacing w:line="360" w:lineRule="auto"/>
              <w:jc w:val="both"/>
            </w:pPr>
            <w:hyperlink r:id="rId199" w:history="1">
              <w:r w:rsidR="00DE19E1" w:rsidRPr="001C5F76">
                <w:rPr>
                  <w:color w:val="4875BD" w:themeColor="accent1"/>
                  <w:u w:val="single"/>
                </w:rPr>
                <w:t>https://www.ox.ac.uk/sites/files/oxford/field/field_document/Opportunities%20for%20collaboration%20WEB.pdf</w:t>
              </w:r>
            </w:hyperlink>
            <w:r w:rsidR="00DE19E1" w:rsidRPr="001C5F76">
              <w:t xml:space="preserve"> </w:t>
            </w:r>
          </w:p>
          <w:p w14:paraId="7E2E530D" w14:textId="77777777" w:rsidR="00DE19E1" w:rsidRPr="001C5F76" w:rsidRDefault="00DE19E1" w:rsidP="00E2153F">
            <w:pPr>
              <w:spacing w:line="360" w:lineRule="auto"/>
              <w:jc w:val="both"/>
            </w:pPr>
          </w:p>
          <w:p w14:paraId="52350A44" w14:textId="77777777" w:rsidR="00DE19E1" w:rsidRPr="001C5F76" w:rsidRDefault="00DE19E1" w:rsidP="00E2153F">
            <w:pPr>
              <w:spacing w:line="360" w:lineRule="auto"/>
              <w:jc w:val="both"/>
            </w:pPr>
            <w:r w:rsidRPr="001C5F76">
              <w:t>Plano estratégico nos compromissos de pesquisa</w:t>
            </w:r>
          </w:p>
          <w:p w14:paraId="57D7A5F3" w14:textId="77777777" w:rsidR="00DE19E1" w:rsidRPr="001C5F76" w:rsidRDefault="00A515B3" w:rsidP="00E2153F">
            <w:pPr>
              <w:spacing w:line="360" w:lineRule="auto"/>
              <w:jc w:val="both"/>
            </w:pPr>
            <w:hyperlink r:id="rId200" w:history="1">
              <w:r w:rsidR="00DE19E1" w:rsidRPr="001C5F76">
                <w:rPr>
                  <w:color w:val="4875BD" w:themeColor="accent1"/>
                  <w:u w:val="single"/>
                </w:rPr>
                <w:t>https://www.ox.ac.uk/sites/files/oxford/field/field_document/Strategic%20Plan%202018-23.pdf</w:t>
              </w:r>
            </w:hyperlink>
            <w:r w:rsidR="00DE19E1" w:rsidRPr="001C5F76">
              <w:t xml:space="preserve"> </w:t>
            </w:r>
          </w:p>
          <w:p w14:paraId="07062D8D" w14:textId="77777777" w:rsidR="00DE19E1" w:rsidRPr="001C5F76" w:rsidRDefault="00DE19E1" w:rsidP="00E2153F">
            <w:pPr>
              <w:spacing w:line="360" w:lineRule="auto"/>
              <w:jc w:val="both"/>
            </w:pPr>
          </w:p>
          <w:p w14:paraId="130E3EA3" w14:textId="77777777" w:rsidR="00DE19E1" w:rsidRPr="001C5F76" w:rsidRDefault="00DE19E1" w:rsidP="00E2153F">
            <w:pPr>
              <w:spacing w:line="360" w:lineRule="auto"/>
              <w:jc w:val="both"/>
            </w:pPr>
          </w:p>
        </w:tc>
      </w:tr>
      <w:tr w:rsidR="00DE19E1" w:rsidRPr="001C5F76" w14:paraId="410FC5EC" w14:textId="77777777" w:rsidTr="00E215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356A10B5" w14:textId="77777777" w:rsidR="00DE19E1" w:rsidRPr="001C5F76" w:rsidRDefault="00DE19E1" w:rsidP="00E2153F">
            <w:pPr>
              <w:spacing w:line="360" w:lineRule="auto"/>
              <w:jc w:val="both"/>
            </w:pPr>
            <w:r w:rsidRPr="001C5F76">
              <w:t>Observações:</w:t>
            </w:r>
          </w:p>
        </w:tc>
      </w:tr>
      <w:tr w:rsidR="00DE19E1" w:rsidRPr="001C5F76" w14:paraId="57FCC893"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1528C43B" w14:textId="77777777" w:rsidR="00DE19E1" w:rsidRPr="001C5F76" w:rsidRDefault="00DE19E1" w:rsidP="00E2153F">
            <w:pPr>
              <w:spacing w:line="360" w:lineRule="auto"/>
              <w:jc w:val="both"/>
              <w:rPr>
                <w:b w:val="0"/>
              </w:rPr>
            </w:pPr>
            <w:r w:rsidRPr="001C5F76">
              <w:t>8.9. Edição de periódico especializado – por área de conhecimento</w:t>
            </w:r>
          </w:p>
        </w:tc>
      </w:tr>
      <w:tr w:rsidR="00DE19E1" w:rsidRPr="001C5F76" w14:paraId="27287086"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17A791A3" w14:textId="77777777" w:rsidR="00DE19E1" w:rsidRPr="001C5F76" w:rsidRDefault="00DE19E1" w:rsidP="00E2153F">
            <w:pPr>
              <w:spacing w:line="360" w:lineRule="auto"/>
              <w:jc w:val="both"/>
            </w:pPr>
            <w:r w:rsidRPr="001C5F76">
              <w:t>Área</w:t>
            </w:r>
          </w:p>
        </w:tc>
        <w:tc>
          <w:tcPr>
            <w:tcW w:w="3295" w:type="dxa"/>
            <w:gridSpan w:val="7"/>
            <w:tcBorders>
              <w:top w:val="single" w:sz="4" w:space="0" w:color="auto"/>
              <w:left w:val="single" w:sz="4" w:space="0" w:color="auto"/>
              <w:bottom w:val="single" w:sz="4" w:space="0" w:color="auto"/>
              <w:right w:val="single" w:sz="4" w:space="0" w:color="auto"/>
            </w:tcBorders>
          </w:tcPr>
          <w:p w14:paraId="128AD2B7"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Nome do Periódico</w:t>
            </w:r>
          </w:p>
        </w:tc>
        <w:tc>
          <w:tcPr>
            <w:tcW w:w="4247" w:type="dxa"/>
            <w:gridSpan w:val="7"/>
            <w:tcBorders>
              <w:top w:val="single" w:sz="4" w:space="0" w:color="auto"/>
              <w:left w:val="single" w:sz="4" w:space="0" w:color="auto"/>
              <w:bottom w:val="single" w:sz="4" w:space="0" w:color="auto"/>
              <w:right w:val="single" w:sz="4" w:space="0" w:color="auto"/>
            </w:tcBorders>
          </w:tcPr>
          <w:p w14:paraId="72C2684E"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Ano de criação/ edição atual</w:t>
            </w:r>
          </w:p>
        </w:tc>
      </w:tr>
      <w:tr w:rsidR="00DE19E1" w:rsidRPr="001C5F76" w14:paraId="61E438F4" w14:textId="77777777" w:rsidTr="00E2153F">
        <w:trPr>
          <w:trHeight w:val="282"/>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557185A4" w14:textId="77777777" w:rsidR="00DE19E1" w:rsidRPr="001C5F76" w:rsidRDefault="00DE19E1" w:rsidP="00E2153F">
            <w:pPr>
              <w:tabs>
                <w:tab w:val="clear" w:pos="1615"/>
              </w:tabs>
              <w:spacing w:line="360" w:lineRule="auto"/>
              <w:jc w:val="both"/>
              <w:rPr>
                <w:rFonts w:ascii="Calibri" w:hAnsi="Calibri" w:cs="Calibri"/>
                <w:color w:val="000000"/>
              </w:rPr>
            </w:pPr>
            <w:r w:rsidRPr="001C5F76">
              <w:rPr>
                <w:rFonts w:ascii="Calibri" w:hAnsi="Calibri" w:cs="Calibri"/>
                <w:color w:val="000000"/>
              </w:rPr>
              <w:t>Arts and humanities</w:t>
            </w:r>
          </w:p>
        </w:tc>
        <w:tc>
          <w:tcPr>
            <w:tcW w:w="3295" w:type="dxa"/>
            <w:gridSpan w:val="7"/>
            <w:tcBorders>
              <w:top w:val="single" w:sz="4" w:space="0" w:color="auto"/>
              <w:left w:val="single" w:sz="4" w:space="0" w:color="auto"/>
              <w:bottom w:val="single" w:sz="4" w:space="0" w:color="auto"/>
              <w:right w:val="single" w:sz="4" w:space="0" w:color="auto"/>
            </w:tcBorders>
          </w:tcPr>
          <w:p w14:paraId="7F20D0EC"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 xml:space="preserve">87 revistas </w:t>
            </w:r>
          </w:p>
        </w:tc>
        <w:tc>
          <w:tcPr>
            <w:tcW w:w="4247" w:type="dxa"/>
            <w:gridSpan w:val="7"/>
            <w:tcBorders>
              <w:top w:val="single" w:sz="4" w:space="0" w:color="auto"/>
              <w:left w:val="single" w:sz="4" w:space="0" w:color="auto"/>
              <w:bottom w:val="single" w:sz="4" w:space="0" w:color="auto"/>
              <w:right w:val="single" w:sz="4" w:space="0" w:color="auto"/>
            </w:tcBorders>
          </w:tcPr>
          <w:p w14:paraId="28FBE09A"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Não se aplica</w:t>
            </w:r>
          </w:p>
        </w:tc>
      </w:tr>
      <w:tr w:rsidR="00DE19E1" w:rsidRPr="001C5F76" w14:paraId="29F9CE5E" w14:textId="77777777" w:rsidTr="00E2153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0B69CDA6" w14:textId="77777777" w:rsidR="00DE19E1" w:rsidRPr="001C5F76" w:rsidRDefault="00DE19E1" w:rsidP="00E2153F">
            <w:pPr>
              <w:tabs>
                <w:tab w:val="clear" w:pos="1615"/>
              </w:tabs>
              <w:spacing w:line="360" w:lineRule="auto"/>
              <w:jc w:val="both"/>
              <w:rPr>
                <w:rFonts w:ascii="Calibri" w:hAnsi="Calibri" w:cs="Calibri"/>
                <w:color w:val="000000"/>
              </w:rPr>
            </w:pPr>
            <w:r w:rsidRPr="001C5F76">
              <w:rPr>
                <w:rFonts w:ascii="Calibri" w:hAnsi="Calibri" w:cs="Calibri"/>
                <w:color w:val="000000"/>
              </w:rPr>
              <w:t>Law</w:t>
            </w:r>
          </w:p>
        </w:tc>
        <w:tc>
          <w:tcPr>
            <w:tcW w:w="3295" w:type="dxa"/>
            <w:gridSpan w:val="7"/>
            <w:tcBorders>
              <w:top w:val="single" w:sz="4" w:space="0" w:color="auto"/>
              <w:left w:val="single" w:sz="4" w:space="0" w:color="auto"/>
              <w:bottom w:val="single" w:sz="4" w:space="0" w:color="auto"/>
              <w:right w:val="single" w:sz="4" w:space="0" w:color="auto"/>
            </w:tcBorders>
          </w:tcPr>
          <w:p w14:paraId="75030715"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56 revistas</w:t>
            </w:r>
          </w:p>
        </w:tc>
        <w:tc>
          <w:tcPr>
            <w:tcW w:w="4247" w:type="dxa"/>
            <w:gridSpan w:val="7"/>
            <w:tcBorders>
              <w:top w:val="single" w:sz="4" w:space="0" w:color="auto"/>
              <w:left w:val="single" w:sz="4" w:space="0" w:color="auto"/>
              <w:bottom w:val="single" w:sz="4" w:space="0" w:color="auto"/>
              <w:right w:val="single" w:sz="4" w:space="0" w:color="auto"/>
            </w:tcBorders>
          </w:tcPr>
          <w:p w14:paraId="1033B029"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Não se aplica</w:t>
            </w:r>
          </w:p>
        </w:tc>
      </w:tr>
      <w:tr w:rsidR="00DE19E1" w:rsidRPr="001C5F76" w14:paraId="1A854AA6" w14:textId="77777777" w:rsidTr="00E2153F">
        <w:trPr>
          <w:trHeight w:val="282"/>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6F6EABD6" w14:textId="77777777" w:rsidR="00DE19E1" w:rsidRPr="001C5F76" w:rsidRDefault="00DE19E1" w:rsidP="00E2153F">
            <w:pPr>
              <w:tabs>
                <w:tab w:val="clear" w:pos="1615"/>
              </w:tabs>
              <w:spacing w:line="360" w:lineRule="auto"/>
              <w:jc w:val="both"/>
              <w:rPr>
                <w:rFonts w:ascii="Calibri" w:hAnsi="Calibri" w:cs="Calibri"/>
                <w:color w:val="000000"/>
              </w:rPr>
            </w:pPr>
            <w:r w:rsidRPr="001C5F76">
              <w:rPr>
                <w:rFonts w:ascii="Calibri" w:hAnsi="Calibri" w:cs="Calibri"/>
                <w:color w:val="000000"/>
              </w:rPr>
              <w:lastRenderedPageBreak/>
              <w:t>Medicine and health</w:t>
            </w:r>
          </w:p>
        </w:tc>
        <w:tc>
          <w:tcPr>
            <w:tcW w:w="3295" w:type="dxa"/>
            <w:gridSpan w:val="7"/>
            <w:tcBorders>
              <w:top w:val="single" w:sz="4" w:space="0" w:color="auto"/>
              <w:left w:val="single" w:sz="4" w:space="0" w:color="auto"/>
              <w:bottom w:val="single" w:sz="4" w:space="0" w:color="auto"/>
              <w:right w:val="single" w:sz="4" w:space="0" w:color="auto"/>
            </w:tcBorders>
          </w:tcPr>
          <w:p w14:paraId="03C319B9"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166 revistas</w:t>
            </w:r>
          </w:p>
        </w:tc>
        <w:tc>
          <w:tcPr>
            <w:tcW w:w="4247" w:type="dxa"/>
            <w:gridSpan w:val="7"/>
            <w:tcBorders>
              <w:top w:val="single" w:sz="4" w:space="0" w:color="auto"/>
              <w:left w:val="single" w:sz="4" w:space="0" w:color="auto"/>
              <w:bottom w:val="single" w:sz="4" w:space="0" w:color="auto"/>
              <w:right w:val="single" w:sz="4" w:space="0" w:color="auto"/>
            </w:tcBorders>
          </w:tcPr>
          <w:p w14:paraId="6EBE6DC0"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Não se aplica</w:t>
            </w:r>
          </w:p>
        </w:tc>
      </w:tr>
      <w:tr w:rsidR="00DE19E1" w:rsidRPr="001C5F76" w14:paraId="24A702FB" w14:textId="77777777" w:rsidTr="00E2153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068D8B5D" w14:textId="77777777" w:rsidR="00DE19E1" w:rsidRPr="001C5F76" w:rsidRDefault="00DE19E1" w:rsidP="00E2153F">
            <w:pPr>
              <w:tabs>
                <w:tab w:val="clear" w:pos="1615"/>
              </w:tabs>
              <w:spacing w:line="360" w:lineRule="auto"/>
              <w:jc w:val="both"/>
              <w:rPr>
                <w:rFonts w:ascii="Calibri" w:hAnsi="Calibri" w:cs="Calibri"/>
                <w:color w:val="000000"/>
              </w:rPr>
            </w:pPr>
            <w:r w:rsidRPr="001C5F76">
              <w:rPr>
                <w:rFonts w:ascii="Calibri" w:hAnsi="Calibri" w:cs="Calibri"/>
                <w:color w:val="000000"/>
              </w:rPr>
              <w:t>Science and mathematics</w:t>
            </w:r>
          </w:p>
        </w:tc>
        <w:tc>
          <w:tcPr>
            <w:tcW w:w="3295" w:type="dxa"/>
            <w:gridSpan w:val="7"/>
            <w:tcBorders>
              <w:top w:val="single" w:sz="4" w:space="0" w:color="auto"/>
              <w:left w:val="single" w:sz="4" w:space="0" w:color="auto"/>
              <w:bottom w:val="single" w:sz="4" w:space="0" w:color="auto"/>
              <w:right w:val="single" w:sz="4" w:space="0" w:color="auto"/>
            </w:tcBorders>
          </w:tcPr>
          <w:p w14:paraId="7F282614"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182 revistas</w:t>
            </w:r>
          </w:p>
        </w:tc>
        <w:tc>
          <w:tcPr>
            <w:tcW w:w="4247" w:type="dxa"/>
            <w:gridSpan w:val="7"/>
            <w:tcBorders>
              <w:top w:val="single" w:sz="4" w:space="0" w:color="auto"/>
              <w:left w:val="single" w:sz="4" w:space="0" w:color="auto"/>
              <w:bottom w:val="single" w:sz="4" w:space="0" w:color="auto"/>
              <w:right w:val="single" w:sz="4" w:space="0" w:color="auto"/>
            </w:tcBorders>
          </w:tcPr>
          <w:p w14:paraId="4249CF6B"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r w:rsidRPr="001C5F76">
              <w:t>Não se aplica</w:t>
            </w:r>
          </w:p>
        </w:tc>
      </w:tr>
      <w:tr w:rsidR="00DE19E1" w:rsidRPr="001C5F76" w14:paraId="6F26F008" w14:textId="77777777" w:rsidTr="00E2153F">
        <w:trPr>
          <w:trHeight w:val="282"/>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362A191F" w14:textId="77777777" w:rsidR="00DE19E1" w:rsidRPr="001C5F76" w:rsidRDefault="00DE19E1" w:rsidP="00E2153F">
            <w:pPr>
              <w:tabs>
                <w:tab w:val="clear" w:pos="1615"/>
              </w:tabs>
              <w:spacing w:line="360" w:lineRule="auto"/>
              <w:jc w:val="both"/>
              <w:rPr>
                <w:rFonts w:ascii="Calibri" w:hAnsi="Calibri" w:cs="Calibri"/>
                <w:color w:val="000000"/>
              </w:rPr>
            </w:pPr>
            <w:r w:rsidRPr="001C5F76">
              <w:rPr>
                <w:rFonts w:ascii="Calibri" w:hAnsi="Calibri" w:cs="Calibri"/>
                <w:color w:val="000000"/>
              </w:rPr>
              <w:t>Social sciences</w:t>
            </w:r>
          </w:p>
        </w:tc>
        <w:tc>
          <w:tcPr>
            <w:tcW w:w="3295" w:type="dxa"/>
            <w:gridSpan w:val="7"/>
            <w:tcBorders>
              <w:top w:val="single" w:sz="4" w:space="0" w:color="auto"/>
              <w:left w:val="single" w:sz="4" w:space="0" w:color="auto"/>
              <w:bottom w:val="single" w:sz="4" w:space="0" w:color="auto"/>
              <w:right w:val="single" w:sz="4" w:space="0" w:color="auto"/>
            </w:tcBorders>
          </w:tcPr>
          <w:p w14:paraId="08128E1C"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105 revistas</w:t>
            </w:r>
          </w:p>
        </w:tc>
        <w:tc>
          <w:tcPr>
            <w:tcW w:w="4247" w:type="dxa"/>
            <w:gridSpan w:val="7"/>
            <w:tcBorders>
              <w:top w:val="single" w:sz="4" w:space="0" w:color="auto"/>
              <w:left w:val="single" w:sz="4" w:space="0" w:color="auto"/>
              <w:bottom w:val="single" w:sz="4" w:space="0" w:color="auto"/>
              <w:right w:val="single" w:sz="4" w:space="0" w:color="auto"/>
            </w:tcBorders>
          </w:tcPr>
          <w:p w14:paraId="4AE28576" w14:textId="77777777" w:rsidR="00DE19E1" w:rsidRPr="001C5F76" w:rsidRDefault="00DE19E1" w:rsidP="00E2153F">
            <w:pPr>
              <w:spacing w:line="360" w:lineRule="auto"/>
              <w:jc w:val="both"/>
              <w:cnfStyle w:val="000000000000" w:firstRow="0" w:lastRow="0" w:firstColumn="0" w:lastColumn="0" w:oddVBand="0" w:evenVBand="0" w:oddHBand="0" w:evenHBand="0" w:firstRowFirstColumn="0" w:firstRowLastColumn="0" w:lastRowFirstColumn="0" w:lastRowLastColumn="0"/>
            </w:pPr>
            <w:r w:rsidRPr="001C5F76">
              <w:t>Não se aplica</w:t>
            </w:r>
          </w:p>
        </w:tc>
      </w:tr>
      <w:tr w:rsidR="00DE19E1" w:rsidRPr="001C5F76" w14:paraId="40FE926E" w14:textId="77777777" w:rsidTr="00E2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gridSpan w:val="5"/>
            <w:tcBorders>
              <w:top w:val="single" w:sz="4" w:space="0" w:color="auto"/>
              <w:left w:val="single" w:sz="4" w:space="0" w:color="auto"/>
              <w:bottom w:val="single" w:sz="4" w:space="0" w:color="auto"/>
              <w:right w:val="single" w:sz="4" w:space="0" w:color="auto"/>
            </w:tcBorders>
          </w:tcPr>
          <w:p w14:paraId="43D35FE3" w14:textId="77777777" w:rsidR="00DE19E1" w:rsidRPr="001C5F76" w:rsidRDefault="00DE19E1" w:rsidP="00E2153F">
            <w:pPr>
              <w:spacing w:line="360" w:lineRule="auto"/>
              <w:jc w:val="both"/>
            </w:pPr>
          </w:p>
        </w:tc>
        <w:tc>
          <w:tcPr>
            <w:tcW w:w="3295" w:type="dxa"/>
            <w:gridSpan w:val="7"/>
            <w:tcBorders>
              <w:top w:val="single" w:sz="4" w:space="0" w:color="auto"/>
              <w:left w:val="single" w:sz="4" w:space="0" w:color="auto"/>
              <w:bottom w:val="single" w:sz="4" w:space="0" w:color="auto"/>
              <w:right w:val="single" w:sz="4" w:space="0" w:color="auto"/>
            </w:tcBorders>
          </w:tcPr>
          <w:p w14:paraId="1F126068"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4247" w:type="dxa"/>
            <w:gridSpan w:val="7"/>
            <w:tcBorders>
              <w:top w:val="single" w:sz="4" w:space="0" w:color="auto"/>
              <w:left w:val="single" w:sz="4" w:space="0" w:color="auto"/>
              <w:bottom w:val="single" w:sz="4" w:space="0" w:color="auto"/>
              <w:right w:val="single" w:sz="4" w:space="0" w:color="auto"/>
            </w:tcBorders>
          </w:tcPr>
          <w:p w14:paraId="1F094090" w14:textId="77777777" w:rsidR="00DE19E1" w:rsidRPr="001C5F76" w:rsidRDefault="00DE19E1" w:rsidP="00E2153F">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E19E1" w:rsidRPr="001C5F76" w14:paraId="38E334DC" w14:textId="77777777" w:rsidTr="00E2153F">
        <w:tc>
          <w:tcPr>
            <w:cnfStyle w:val="001000000000" w:firstRow="0" w:lastRow="0" w:firstColumn="1" w:lastColumn="0" w:oddVBand="0" w:evenVBand="0" w:oddHBand="0" w:evenHBand="0" w:firstRowFirstColumn="0" w:firstRowLastColumn="0" w:lastRowFirstColumn="0" w:lastRowLastColumn="0"/>
            <w:tcW w:w="10491" w:type="dxa"/>
            <w:gridSpan w:val="19"/>
            <w:tcBorders>
              <w:top w:val="single" w:sz="4" w:space="0" w:color="auto"/>
              <w:left w:val="single" w:sz="4" w:space="0" w:color="auto"/>
              <w:bottom w:val="single" w:sz="4" w:space="0" w:color="auto"/>
              <w:right w:val="single" w:sz="4" w:space="0" w:color="auto"/>
            </w:tcBorders>
          </w:tcPr>
          <w:p w14:paraId="01444FB2" w14:textId="77777777" w:rsidR="00DE19E1" w:rsidRPr="001C5F76" w:rsidRDefault="00DE19E1" w:rsidP="00E2153F">
            <w:pPr>
              <w:spacing w:line="360" w:lineRule="auto"/>
              <w:jc w:val="both"/>
            </w:pPr>
            <w:r w:rsidRPr="001C5F76">
              <w:t>Observações:</w:t>
            </w:r>
          </w:p>
          <w:p w14:paraId="34B208F3" w14:textId="77777777" w:rsidR="00DE19E1" w:rsidRPr="001C5F76" w:rsidRDefault="00DE19E1" w:rsidP="00E2153F">
            <w:pPr>
              <w:spacing w:line="360" w:lineRule="auto"/>
              <w:jc w:val="both"/>
            </w:pPr>
          </w:p>
          <w:p w14:paraId="2D0E2F57" w14:textId="77777777" w:rsidR="00DE19E1" w:rsidRPr="001C5F76" w:rsidRDefault="00DE19E1" w:rsidP="00E2153F">
            <w:pPr>
              <w:spacing w:line="360" w:lineRule="auto"/>
              <w:jc w:val="both"/>
            </w:pPr>
            <w:r w:rsidRPr="001C5F76">
              <w:t xml:space="preserve">Ao todo pode-se observar que a coleção de Journals de OXFORD é extensa e possui 596 exemplares diferentes de journals das suas diversas áreas de pesquisa. </w:t>
            </w:r>
          </w:p>
          <w:p w14:paraId="143AF284" w14:textId="77777777" w:rsidR="00DE19E1" w:rsidRPr="001C5F76" w:rsidRDefault="00DE19E1" w:rsidP="00E2153F">
            <w:pPr>
              <w:spacing w:line="360" w:lineRule="auto"/>
              <w:jc w:val="both"/>
            </w:pPr>
            <w:r w:rsidRPr="001C5F76">
              <w:t>Mais informações podem ser consultadas em: Journals de A-Z</w:t>
            </w:r>
          </w:p>
          <w:p w14:paraId="56ACA92E" w14:textId="3798FA3A" w:rsidR="00DE19E1" w:rsidRPr="001C5F76" w:rsidRDefault="00A515B3" w:rsidP="00E2153F">
            <w:pPr>
              <w:spacing w:line="360" w:lineRule="auto"/>
              <w:jc w:val="both"/>
            </w:pPr>
            <w:hyperlink r:id="rId201" w:history="1">
              <w:r w:rsidR="00DE19E1" w:rsidRPr="001C5F76">
                <w:rPr>
                  <w:color w:val="4875BD" w:themeColor="accent1"/>
                  <w:u w:val="single"/>
                </w:rPr>
                <w:t>https://academic.oup.com/journals/pages/journals_a_to_z</w:t>
              </w:r>
            </w:hyperlink>
            <w:r w:rsidR="00DE19E1" w:rsidRPr="001C5F76">
              <w:t xml:space="preserve"> </w:t>
            </w:r>
          </w:p>
        </w:tc>
      </w:tr>
    </w:tbl>
    <w:p w14:paraId="779E8096" w14:textId="51D4F490" w:rsidR="00DE19E1" w:rsidRDefault="00DE19E1" w:rsidP="001C5F76">
      <w:pPr>
        <w:jc w:val="both"/>
        <w:rPr>
          <w:rFonts w:asciiTheme="majorHAnsi" w:hAnsiTheme="majorHAnsi" w:cstheme="majorHAnsi"/>
          <w:b/>
        </w:rPr>
      </w:pPr>
    </w:p>
    <w:p w14:paraId="71B70DF4" w14:textId="77777777" w:rsidR="00DE19E1" w:rsidRDefault="00DE19E1">
      <w:pPr>
        <w:tabs>
          <w:tab w:val="clear" w:pos="1615"/>
        </w:tabs>
        <w:spacing w:line="259" w:lineRule="auto"/>
        <w:rPr>
          <w:rFonts w:asciiTheme="majorHAnsi" w:hAnsiTheme="majorHAnsi" w:cstheme="majorHAnsi"/>
          <w:b/>
        </w:rPr>
      </w:pPr>
      <w:r>
        <w:rPr>
          <w:rFonts w:asciiTheme="majorHAnsi" w:hAnsiTheme="majorHAnsi" w:cstheme="majorHAnsi"/>
          <w:b/>
        </w:rPr>
        <w:br w:type="page"/>
      </w:r>
    </w:p>
    <w:tbl>
      <w:tblPr>
        <w:tblStyle w:val="TabeladeLista6Colorida-nfase31"/>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149"/>
        <w:gridCol w:w="1828"/>
      </w:tblGrid>
      <w:tr w:rsidR="00DE19E1" w:rsidRPr="00DE19E1" w14:paraId="3631B935" w14:textId="77777777" w:rsidTr="00DE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3" w:type="dxa"/>
            <w:gridSpan w:val="3"/>
            <w:tcBorders>
              <w:bottom w:val="none" w:sz="0" w:space="0" w:color="auto"/>
            </w:tcBorders>
            <w:shd w:val="clear" w:color="auto" w:fill="4875BD" w:themeFill="accent1"/>
          </w:tcPr>
          <w:p w14:paraId="59D40787" w14:textId="77777777" w:rsidR="001C5F76" w:rsidRPr="00DE19E1" w:rsidRDefault="001C5F76" w:rsidP="00DE19E1">
            <w:pPr>
              <w:spacing w:line="360" w:lineRule="auto"/>
              <w:jc w:val="both"/>
              <w:rPr>
                <w:rFonts w:asciiTheme="majorHAnsi" w:hAnsiTheme="majorHAnsi" w:cstheme="majorHAnsi"/>
                <w:b w:val="0"/>
                <w:color w:val="FFFFFF" w:themeColor="background1"/>
              </w:rPr>
            </w:pPr>
            <w:r w:rsidRPr="00DE19E1">
              <w:rPr>
                <w:rFonts w:asciiTheme="majorHAnsi" w:hAnsiTheme="majorHAnsi" w:cstheme="majorHAnsi"/>
                <w:color w:val="FFFFFF" w:themeColor="background1"/>
              </w:rPr>
              <w:lastRenderedPageBreak/>
              <w:t>Dimensão 9. Vinculação com a Educação Básica</w:t>
            </w:r>
          </w:p>
        </w:tc>
      </w:tr>
      <w:tr w:rsidR="001C5F76" w:rsidRPr="00485F85" w14:paraId="33C81EED" w14:textId="77777777" w:rsidTr="00DE19E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776" w:type="dxa"/>
            <w:vMerge w:val="restart"/>
          </w:tcPr>
          <w:p w14:paraId="2C9B0710" w14:textId="77777777" w:rsidR="001C5F76" w:rsidRPr="00485F85" w:rsidRDefault="001C5F76" w:rsidP="00DE19E1">
            <w:pPr>
              <w:spacing w:line="360" w:lineRule="auto"/>
              <w:jc w:val="both"/>
              <w:rPr>
                <w:rFonts w:asciiTheme="majorHAnsi" w:hAnsiTheme="majorHAnsi" w:cstheme="majorHAnsi"/>
                <w:b w:val="0"/>
                <w:u w:val="single"/>
              </w:rPr>
            </w:pPr>
            <w:r w:rsidRPr="00485F85">
              <w:rPr>
                <w:rFonts w:asciiTheme="majorHAnsi" w:hAnsiTheme="majorHAnsi" w:cstheme="majorHAnsi"/>
              </w:rPr>
              <w:t>9.1. Existência Colégio de Aplicação ou similar</w:t>
            </w:r>
          </w:p>
        </w:tc>
        <w:tc>
          <w:tcPr>
            <w:tcW w:w="1149" w:type="dxa"/>
          </w:tcPr>
          <w:p w14:paraId="526ABE5D"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1828" w:type="dxa"/>
          </w:tcPr>
          <w:p w14:paraId="6415CF8C"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w:t>
            </w:r>
          </w:p>
        </w:tc>
      </w:tr>
      <w:tr w:rsidR="001C5F76" w:rsidRPr="00485F85" w14:paraId="00606961" w14:textId="77777777" w:rsidTr="00DE19E1">
        <w:trPr>
          <w:trHeight w:val="135"/>
        </w:trPr>
        <w:tc>
          <w:tcPr>
            <w:cnfStyle w:val="001000000000" w:firstRow="0" w:lastRow="0" w:firstColumn="1" w:lastColumn="0" w:oddVBand="0" w:evenVBand="0" w:oddHBand="0" w:evenHBand="0" w:firstRowFirstColumn="0" w:firstRowLastColumn="0" w:lastRowFirstColumn="0" w:lastRowLastColumn="0"/>
            <w:tcW w:w="6776" w:type="dxa"/>
            <w:vMerge/>
          </w:tcPr>
          <w:p w14:paraId="1F57479C" w14:textId="77777777" w:rsidR="001C5F76" w:rsidRPr="00485F85" w:rsidRDefault="001C5F76" w:rsidP="00DE19E1">
            <w:pPr>
              <w:spacing w:line="360" w:lineRule="auto"/>
              <w:jc w:val="both"/>
              <w:rPr>
                <w:rFonts w:asciiTheme="majorHAnsi" w:hAnsiTheme="majorHAnsi" w:cstheme="majorHAnsi"/>
                <w:b w:val="0"/>
              </w:rPr>
            </w:pPr>
          </w:p>
        </w:tc>
        <w:tc>
          <w:tcPr>
            <w:tcW w:w="1149" w:type="dxa"/>
          </w:tcPr>
          <w:p w14:paraId="7262F985"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p>
        </w:tc>
        <w:tc>
          <w:tcPr>
            <w:tcW w:w="1828" w:type="dxa"/>
          </w:tcPr>
          <w:p w14:paraId="5A0B58F4" w14:textId="77777777" w:rsidR="001C5F76" w:rsidRPr="00485F85" w:rsidRDefault="001C5F76" w:rsidP="00DE19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r w:rsidRPr="00485F85">
              <w:rPr>
                <w:rFonts w:asciiTheme="majorHAnsi" w:hAnsiTheme="majorHAnsi" w:cstheme="majorHAnsi"/>
                <w:b/>
                <w:u w:val="single"/>
              </w:rPr>
              <w:t>X</w:t>
            </w:r>
          </w:p>
        </w:tc>
      </w:tr>
      <w:tr w:rsidR="001C5F76" w:rsidRPr="00485F85" w14:paraId="43CD2106"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6" w:type="dxa"/>
          </w:tcPr>
          <w:p w14:paraId="0DB74E76"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Em caso positivo: existe algum mecanismo específico de seleção para o acesso à Educação Superior?</w:t>
            </w:r>
          </w:p>
        </w:tc>
        <w:tc>
          <w:tcPr>
            <w:tcW w:w="2977" w:type="dxa"/>
            <w:gridSpan w:val="2"/>
          </w:tcPr>
          <w:p w14:paraId="4C49BC64" w14:textId="77777777" w:rsidR="001C5F76" w:rsidRPr="00485F85" w:rsidRDefault="001C5F76" w:rsidP="00DE19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r>
      <w:tr w:rsidR="001C5F76" w:rsidRPr="00485F85" w14:paraId="1D26E456" w14:textId="77777777" w:rsidTr="00DE19E1">
        <w:tc>
          <w:tcPr>
            <w:cnfStyle w:val="001000000000" w:firstRow="0" w:lastRow="0" w:firstColumn="1" w:lastColumn="0" w:oddVBand="0" w:evenVBand="0" w:oddHBand="0" w:evenHBand="0" w:firstRowFirstColumn="0" w:firstRowLastColumn="0" w:lastRowFirstColumn="0" w:lastRowLastColumn="0"/>
            <w:tcW w:w="6776" w:type="dxa"/>
          </w:tcPr>
          <w:p w14:paraId="2F78C749"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Não se aplica</w:t>
            </w:r>
          </w:p>
          <w:p w14:paraId="478208C5" w14:textId="77777777" w:rsidR="001C5F76" w:rsidRPr="00485F85" w:rsidRDefault="001C5F76" w:rsidP="00DE19E1">
            <w:pPr>
              <w:spacing w:line="360" w:lineRule="auto"/>
              <w:jc w:val="both"/>
              <w:rPr>
                <w:rFonts w:asciiTheme="majorHAnsi" w:hAnsiTheme="majorHAnsi" w:cstheme="majorHAnsi"/>
                <w:b w:val="0"/>
                <w:u w:val="single"/>
              </w:rPr>
            </w:pPr>
          </w:p>
          <w:p w14:paraId="629751D2" w14:textId="77777777" w:rsidR="001C5F76" w:rsidRPr="00485F85" w:rsidRDefault="001C5F76" w:rsidP="00DE19E1">
            <w:pPr>
              <w:spacing w:line="360" w:lineRule="auto"/>
              <w:jc w:val="both"/>
              <w:rPr>
                <w:rFonts w:asciiTheme="majorHAnsi" w:hAnsiTheme="majorHAnsi" w:cstheme="majorHAnsi"/>
                <w:b w:val="0"/>
                <w:u w:val="single"/>
              </w:rPr>
            </w:pPr>
          </w:p>
        </w:tc>
        <w:tc>
          <w:tcPr>
            <w:tcW w:w="2977" w:type="dxa"/>
            <w:gridSpan w:val="2"/>
          </w:tcPr>
          <w:p w14:paraId="622AC07A" w14:textId="77777777" w:rsidR="001C5F76" w:rsidRPr="00485F85" w:rsidRDefault="001C5F76" w:rsidP="00DE19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p>
        </w:tc>
      </w:tr>
      <w:tr w:rsidR="001C5F76" w:rsidRPr="00485F85" w14:paraId="2DE91CE6" w14:textId="77777777" w:rsidTr="00DE19E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776" w:type="dxa"/>
            <w:vMerge w:val="restart"/>
          </w:tcPr>
          <w:p w14:paraId="78126CD0"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9.2. Ensino Médio Técnico</w:t>
            </w:r>
          </w:p>
          <w:p w14:paraId="75E562E4" w14:textId="77777777" w:rsidR="001C5F76" w:rsidRPr="00485F85" w:rsidRDefault="001C5F76" w:rsidP="00DE19E1">
            <w:pPr>
              <w:spacing w:line="360" w:lineRule="auto"/>
              <w:jc w:val="both"/>
              <w:rPr>
                <w:rFonts w:asciiTheme="majorHAnsi" w:hAnsiTheme="majorHAnsi" w:cstheme="majorHAnsi"/>
                <w:b w:val="0"/>
              </w:rPr>
            </w:pPr>
          </w:p>
          <w:p w14:paraId="7C0FC46D" w14:textId="77777777" w:rsidR="001C5F76" w:rsidRPr="00485F85" w:rsidRDefault="001C5F76" w:rsidP="00DE19E1">
            <w:pPr>
              <w:spacing w:line="360" w:lineRule="auto"/>
              <w:jc w:val="both"/>
              <w:rPr>
                <w:rFonts w:asciiTheme="majorHAnsi" w:hAnsiTheme="majorHAnsi" w:cstheme="majorHAnsi"/>
                <w:b w:val="0"/>
              </w:rPr>
            </w:pPr>
          </w:p>
        </w:tc>
        <w:tc>
          <w:tcPr>
            <w:tcW w:w="1149" w:type="dxa"/>
          </w:tcPr>
          <w:p w14:paraId="03EF96B1"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Sim</w:t>
            </w:r>
          </w:p>
        </w:tc>
        <w:tc>
          <w:tcPr>
            <w:tcW w:w="1828" w:type="dxa"/>
          </w:tcPr>
          <w:p w14:paraId="1974B8FA" w14:textId="77777777" w:rsidR="001C5F76" w:rsidRPr="00485F85" w:rsidRDefault="001C5F76" w:rsidP="00DE19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Não</w:t>
            </w:r>
          </w:p>
        </w:tc>
      </w:tr>
      <w:tr w:rsidR="001C5F76" w:rsidRPr="00485F85" w14:paraId="1C066ABE" w14:textId="77777777" w:rsidTr="00DE19E1">
        <w:trPr>
          <w:trHeight w:val="135"/>
        </w:trPr>
        <w:tc>
          <w:tcPr>
            <w:cnfStyle w:val="001000000000" w:firstRow="0" w:lastRow="0" w:firstColumn="1" w:lastColumn="0" w:oddVBand="0" w:evenVBand="0" w:oddHBand="0" w:evenHBand="0" w:firstRowFirstColumn="0" w:firstRowLastColumn="0" w:lastRowFirstColumn="0" w:lastRowLastColumn="0"/>
            <w:tcW w:w="6776" w:type="dxa"/>
            <w:vMerge/>
          </w:tcPr>
          <w:p w14:paraId="6306615E" w14:textId="77777777" w:rsidR="001C5F76" w:rsidRPr="00485F85" w:rsidRDefault="001C5F76" w:rsidP="00DE19E1">
            <w:pPr>
              <w:spacing w:line="360" w:lineRule="auto"/>
              <w:jc w:val="both"/>
              <w:rPr>
                <w:rFonts w:asciiTheme="majorHAnsi" w:hAnsiTheme="majorHAnsi" w:cstheme="majorHAnsi"/>
                <w:b w:val="0"/>
              </w:rPr>
            </w:pPr>
          </w:p>
        </w:tc>
        <w:tc>
          <w:tcPr>
            <w:tcW w:w="1149" w:type="dxa"/>
          </w:tcPr>
          <w:p w14:paraId="06D24DBC"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828" w:type="dxa"/>
          </w:tcPr>
          <w:p w14:paraId="4CFCDF11" w14:textId="77777777" w:rsidR="001C5F76" w:rsidRPr="00485F85" w:rsidRDefault="001C5F76" w:rsidP="00DE19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485F85">
              <w:rPr>
                <w:rFonts w:asciiTheme="majorHAnsi" w:hAnsiTheme="majorHAnsi" w:cstheme="majorHAnsi"/>
                <w:b/>
                <w:bCs/>
              </w:rPr>
              <w:t>X</w:t>
            </w:r>
          </w:p>
        </w:tc>
      </w:tr>
      <w:tr w:rsidR="001C5F76" w:rsidRPr="00485F85" w14:paraId="6BBD8CED"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3" w:type="dxa"/>
            <w:gridSpan w:val="3"/>
          </w:tcPr>
          <w:p w14:paraId="3D39AD2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Observações:</w:t>
            </w:r>
          </w:p>
          <w:p w14:paraId="68B4787F" w14:textId="77777777" w:rsidR="001C5F76" w:rsidRPr="00485F85" w:rsidRDefault="001C5F76" w:rsidP="00DE19E1">
            <w:pPr>
              <w:spacing w:line="360" w:lineRule="auto"/>
              <w:jc w:val="both"/>
              <w:rPr>
                <w:rFonts w:asciiTheme="majorHAnsi" w:hAnsiTheme="majorHAnsi" w:cstheme="majorHAnsi"/>
              </w:rPr>
            </w:pPr>
          </w:p>
          <w:p w14:paraId="6A5220B4" w14:textId="02EE2480"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Apesar de não possuir vinculação formal com a educação básica, a Universidade de Oxford possui parcerias com as escolas locais para programas de desenvolvimento contínuo com foco na capacitação de professores.</w:t>
            </w:r>
          </w:p>
        </w:tc>
      </w:tr>
    </w:tbl>
    <w:p w14:paraId="61D463BF" w14:textId="77777777" w:rsidR="001C5F76" w:rsidRPr="00485F85" w:rsidRDefault="001C5F76" w:rsidP="001C5F76">
      <w:pPr>
        <w:jc w:val="both"/>
        <w:rPr>
          <w:rFonts w:asciiTheme="majorHAnsi" w:hAnsiTheme="majorHAnsi" w:cstheme="majorHAnsi"/>
          <w:b/>
          <w:u w:val="single"/>
        </w:rPr>
      </w:pPr>
    </w:p>
    <w:p w14:paraId="2C0375C6" w14:textId="77777777" w:rsidR="001C5F76" w:rsidRPr="00485F85" w:rsidRDefault="001C5F76" w:rsidP="001C5F76">
      <w:pPr>
        <w:jc w:val="both"/>
        <w:rPr>
          <w:rFonts w:asciiTheme="majorHAnsi" w:hAnsiTheme="majorHAnsi" w:cstheme="majorHAnsi"/>
          <w:b/>
          <w:u w:val="single"/>
        </w:rPr>
      </w:pPr>
    </w:p>
    <w:p w14:paraId="0C7E11A7" w14:textId="77777777" w:rsidR="001C5F76" w:rsidRPr="00485F85" w:rsidRDefault="001C5F76" w:rsidP="001C5F76">
      <w:pPr>
        <w:jc w:val="both"/>
        <w:rPr>
          <w:rFonts w:asciiTheme="majorHAnsi" w:hAnsiTheme="majorHAnsi" w:cstheme="majorHAnsi"/>
          <w:b/>
          <w:u w:val="single"/>
        </w:rPr>
      </w:pPr>
    </w:p>
    <w:p w14:paraId="5B77EB90" w14:textId="444E70A4" w:rsidR="00DE19E1" w:rsidRDefault="00DE19E1">
      <w:pPr>
        <w:tabs>
          <w:tab w:val="clear" w:pos="1615"/>
        </w:tabs>
        <w:spacing w:line="259" w:lineRule="auto"/>
        <w:rPr>
          <w:rFonts w:asciiTheme="majorHAnsi" w:hAnsiTheme="majorHAnsi" w:cstheme="majorHAnsi"/>
          <w:b/>
          <w:u w:val="single"/>
        </w:rPr>
      </w:pPr>
      <w:r>
        <w:rPr>
          <w:rFonts w:asciiTheme="majorHAnsi" w:hAnsiTheme="majorHAnsi" w:cstheme="majorHAnsi"/>
          <w:b/>
          <w:u w:val="single"/>
        </w:rPr>
        <w:br w:type="page"/>
      </w:r>
    </w:p>
    <w:tbl>
      <w:tblPr>
        <w:tblStyle w:val="TabeladeLista6Colorida-nfase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2693"/>
        <w:gridCol w:w="3396"/>
      </w:tblGrid>
      <w:tr w:rsidR="00DE19E1" w:rsidRPr="00DE19E1" w14:paraId="4474C179" w14:textId="77777777" w:rsidTr="00DE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shd w:val="clear" w:color="auto" w:fill="4875BD" w:themeFill="accent1"/>
          </w:tcPr>
          <w:p w14:paraId="2294E07C" w14:textId="77777777" w:rsidR="001C5F76" w:rsidRPr="00DE19E1" w:rsidRDefault="001C5F76" w:rsidP="00DE19E1">
            <w:pPr>
              <w:spacing w:line="360" w:lineRule="auto"/>
              <w:jc w:val="both"/>
              <w:rPr>
                <w:rFonts w:asciiTheme="majorHAnsi" w:hAnsiTheme="majorHAnsi" w:cstheme="majorHAnsi"/>
                <w:b w:val="0"/>
                <w:color w:val="FFFFFF" w:themeColor="background1"/>
              </w:rPr>
            </w:pPr>
            <w:r w:rsidRPr="00DE19E1">
              <w:rPr>
                <w:rFonts w:asciiTheme="majorHAnsi" w:hAnsiTheme="majorHAnsi" w:cstheme="majorHAnsi"/>
                <w:color w:val="FFFFFF" w:themeColor="background1"/>
              </w:rPr>
              <w:lastRenderedPageBreak/>
              <w:t>Dimensão 10. Impacto na Indústria/Setor produtivo</w:t>
            </w:r>
          </w:p>
        </w:tc>
      </w:tr>
      <w:tr w:rsidR="001C5F76" w:rsidRPr="00485F85" w14:paraId="48D389BD" w14:textId="77777777" w:rsidTr="00DE19E1">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889" w:type="dxa"/>
            <w:gridSpan w:val="3"/>
          </w:tcPr>
          <w:p w14:paraId="4E2F2349"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10.1.  Capacidade da IES em colaborar com o setor produtivo a partir de inovações, invenções e consultorias.</w:t>
            </w:r>
          </w:p>
          <w:p w14:paraId="016989AE"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OBS: não há um documento consolidado com todas as empresas parceiras de Oxford uma vez que suas ações e seus dados e informações não estão centralizados. No site da Oxford Innovation é possível ter acesso aos últimos três relatórios de informações. </w:t>
            </w:r>
            <w:hyperlink r:id="rId202" w:history="1">
              <w:r w:rsidRPr="00485F85">
                <w:rPr>
                  <w:rFonts w:asciiTheme="majorHAnsi" w:hAnsiTheme="majorHAnsi" w:cstheme="majorHAnsi"/>
                  <w:color w:val="4875BD" w:themeColor="accent1"/>
                  <w:u w:val="single"/>
                </w:rPr>
                <w:t>https://innovation.ox.ac.uk/innovation-news/publications/annual-reports/</w:t>
              </w:r>
            </w:hyperlink>
            <w:r w:rsidRPr="00485F85">
              <w:rPr>
                <w:rFonts w:asciiTheme="majorHAnsi" w:hAnsiTheme="majorHAnsi" w:cstheme="majorHAnsi"/>
              </w:rPr>
              <w:t xml:space="preserve"> </w:t>
            </w:r>
          </w:p>
        </w:tc>
      </w:tr>
      <w:tr w:rsidR="001C5F76" w:rsidRPr="00485F85" w14:paraId="3BFC9310" w14:textId="77777777" w:rsidTr="00DE19E1">
        <w:tc>
          <w:tcPr>
            <w:cnfStyle w:val="001000000000" w:firstRow="0" w:lastRow="0" w:firstColumn="1" w:lastColumn="0" w:oddVBand="0" w:evenVBand="0" w:oddHBand="0" w:evenHBand="0" w:firstRowFirstColumn="0" w:firstRowLastColumn="0" w:lastRowFirstColumn="0" w:lastRowLastColumn="0"/>
            <w:tcW w:w="3800" w:type="dxa"/>
          </w:tcPr>
          <w:p w14:paraId="7657F3F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Número de Invenções em parceria com empresas</w:t>
            </w:r>
          </w:p>
        </w:tc>
        <w:tc>
          <w:tcPr>
            <w:tcW w:w="2693" w:type="dxa"/>
          </w:tcPr>
          <w:p w14:paraId="2737745F"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r w:rsidRPr="00485F85">
              <w:rPr>
                <w:rFonts w:asciiTheme="majorHAnsi" w:hAnsiTheme="majorHAnsi" w:cstheme="majorHAnsi"/>
              </w:rPr>
              <w:t>Número de Inovações em parceria com empresas</w:t>
            </w:r>
          </w:p>
        </w:tc>
        <w:tc>
          <w:tcPr>
            <w:tcW w:w="3396" w:type="dxa"/>
          </w:tcPr>
          <w:p w14:paraId="15781CFB"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r w:rsidRPr="00485F85">
              <w:rPr>
                <w:rFonts w:asciiTheme="majorHAnsi" w:hAnsiTheme="majorHAnsi" w:cstheme="majorHAnsi"/>
              </w:rPr>
              <w:t>Consultorias Prestadas (ano 2020)</w:t>
            </w:r>
          </w:p>
        </w:tc>
      </w:tr>
      <w:tr w:rsidR="001C5F76" w:rsidRPr="00485F85" w14:paraId="078CA041"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14:paraId="63A2AA65"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Números não se aplicam</w:t>
            </w:r>
          </w:p>
        </w:tc>
        <w:tc>
          <w:tcPr>
            <w:tcW w:w="2693" w:type="dxa"/>
          </w:tcPr>
          <w:p w14:paraId="726FDFDF"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Números não se aplicam</w:t>
            </w:r>
          </w:p>
        </w:tc>
        <w:tc>
          <w:tcPr>
            <w:tcW w:w="3396" w:type="dxa"/>
          </w:tcPr>
          <w:p w14:paraId="48EC5F87"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Estatísticas de serviços de consultoria:</w:t>
            </w:r>
          </w:p>
          <w:p w14:paraId="2F199F14"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Consultas: 840</w:t>
            </w:r>
          </w:p>
          <w:p w14:paraId="04F87E5D"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Total de negócios: 529</w:t>
            </w:r>
          </w:p>
          <w:p w14:paraId="4C145CD3"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Renda: £ 4,49 milhões</w:t>
            </w:r>
          </w:p>
          <w:p w14:paraId="4439D67B"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Consultores implantados: 347</w:t>
            </w:r>
          </w:p>
          <w:p w14:paraId="79E5FFA0" w14:textId="77777777" w:rsidR="001C5F76" w:rsidRPr="00485F85" w:rsidRDefault="001C5F76" w:rsidP="00DE19E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Cs/>
              </w:rPr>
              <w:t>• Consultores totais registrados: 2.356</w:t>
            </w:r>
          </w:p>
        </w:tc>
      </w:tr>
      <w:tr w:rsidR="001C5F76" w:rsidRPr="00485F85" w14:paraId="6718D1B9" w14:textId="77777777" w:rsidTr="00DE19E1">
        <w:tc>
          <w:tcPr>
            <w:cnfStyle w:val="001000000000" w:firstRow="0" w:lastRow="0" w:firstColumn="1" w:lastColumn="0" w:oddVBand="0" w:evenVBand="0" w:oddHBand="0" w:evenHBand="0" w:firstRowFirstColumn="0" w:firstRowLastColumn="0" w:lastRowFirstColumn="0" w:lastRowLastColumn="0"/>
            <w:tcW w:w="3800" w:type="dxa"/>
          </w:tcPr>
          <w:p w14:paraId="38EC8C4B"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Outros Números da Oxford INNOVATION:</w:t>
            </w:r>
          </w:p>
        </w:tc>
        <w:tc>
          <w:tcPr>
            <w:tcW w:w="6089" w:type="dxa"/>
            <w:gridSpan w:val="2"/>
          </w:tcPr>
          <w:p w14:paraId="65CEF94D"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Novas empresas: 19</w:t>
            </w:r>
          </w:p>
          <w:p w14:paraId="503EF9EE"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Spinouts formados desde 1959: 204</w:t>
            </w:r>
          </w:p>
          <w:p w14:paraId="1B06FC13"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Financiamento externo: £ 855,4 milhões ($ 1,11 bilhão)</w:t>
            </w:r>
          </w:p>
          <w:p w14:paraId="76012BDB"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Divulgações: 359</w:t>
            </w:r>
          </w:p>
          <w:p w14:paraId="25FC714A"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Patentes sob gestão: 4793</w:t>
            </w:r>
          </w:p>
          <w:p w14:paraId="6092D9C1"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Negócios totais: 846</w:t>
            </w:r>
          </w:p>
          <w:p w14:paraId="7CB8B1F4"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Financiamento do estágio inicial: £ 24,8 milhões</w:t>
            </w:r>
          </w:p>
          <w:p w14:paraId="548FCC9C"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Valor do portfólio: £ 139,8 milhões</w:t>
            </w:r>
          </w:p>
          <w:p w14:paraId="2BA956F6"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Realizações de capital: £ 4,6 milhões</w:t>
            </w:r>
          </w:p>
          <w:p w14:paraId="1A79F07D"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Ofertas de consultoria: 529</w:t>
            </w:r>
          </w:p>
          <w:p w14:paraId="530BAC13"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Empresas sociais formadas: 2</w:t>
            </w:r>
          </w:p>
          <w:p w14:paraId="01D52561"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Retorno à Universidade: £ 16,6 milhões</w:t>
            </w:r>
          </w:p>
          <w:p w14:paraId="6907B0DC" w14:textId="77777777" w:rsidR="001C5F76" w:rsidRPr="00485F85" w:rsidRDefault="001C5F76" w:rsidP="00DE19E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u w:val="single"/>
              </w:rPr>
            </w:pPr>
            <w:r w:rsidRPr="00485F85">
              <w:rPr>
                <w:rFonts w:asciiTheme="majorHAnsi" w:hAnsiTheme="majorHAnsi" w:cstheme="majorHAnsi"/>
                <w:bCs/>
              </w:rPr>
              <w:t>Startups: 5</w:t>
            </w:r>
          </w:p>
        </w:tc>
      </w:tr>
      <w:tr w:rsidR="001C5F76" w:rsidRPr="00485F85" w14:paraId="6D57D36A"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Pr>
          <w:p w14:paraId="3E3282F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Observações:</w:t>
            </w:r>
          </w:p>
          <w:p w14:paraId="32D738FD" w14:textId="77777777" w:rsidR="001C5F76" w:rsidRPr="00485F85" w:rsidRDefault="00A515B3" w:rsidP="00DE19E1">
            <w:pPr>
              <w:spacing w:line="360" w:lineRule="auto"/>
              <w:jc w:val="both"/>
              <w:rPr>
                <w:rFonts w:asciiTheme="majorHAnsi" w:hAnsiTheme="majorHAnsi" w:cstheme="majorHAnsi"/>
              </w:rPr>
            </w:pPr>
            <w:hyperlink r:id="rId203" w:history="1">
              <w:r w:rsidR="001C5F76" w:rsidRPr="00485F85">
                <w:rPr>
                  <w:rFonts w:asciiTheme="majorHAnsi" w:hAnsiTheme="majorHAnsi" w:cstheme="majorHAnsi"/>
                  <w:color w:val="4875BD" w:themeColor="accent1"/>
                  <w:u w:val="single"/>
                </w:rPr>
                <w:t>https://innovation.ox.ac.uk/about/</w:t>
              </w:r>
            </w:hyperlink>
          </w:p>
          <w:p w14:paraId="05B21409" w14:textId="77777777" w:rsidR="001C5F76" w:rsidRPr="00485F85" w:rsidRDefault="001C5F76" w:rsidP="00DE19E1">
            <w:pPr>
              <w:spacing w:line="360" w:lineRule="auto"/>
              <w:jc w:val="both"/>
              <w:rPr>
                <w:rFonts w:asciiTheme="majorHAnsi" w:hAnsiTheme="majorHAnsi" w:cstheme="majorHAnsi"/>
              </w:rPr>
            </w:pPr>
          </w:p>
          <w:p w14:paraId="1BB753BF"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Universidade de Oxford colabora com o setor produtivo a partir de inovações, consultorias acadêmicas, </w:t>
            </w:r>
            <w:r w:rsidRPr="00485F85">
              <w:rPr>
                <w:rFonts w:asciiTheme="majorHAnsi" w:hAnsiTheme="majorHAnsi" w:cstheme="majorHAnsi"/>
              </w:rPr>
              <w:lastRenderedPageBreak/>
              <w:t>patentes e invenções por meio da. OXFORD UNIVERSITY INNOVATION. Trata-se de uma empresa subsidiária integral da Universidade de Oxford, supervisionada por um conselho  formado por funcionários seniores da Universidade e membros externos com ampla experiência no setor.</w:t>
            </w:r>
          </w:p>
          <w:p w14:paraId="63147BE2" w14:textId="77777777" w:rsidR="001C5F76" w:rsidRPr="00485F85" w:rsidRDefault="001C5F76" w:rsidP="00DE19E1">
            <w:pPr>
              <w:spacing w:line="360" w:lineRule="auto"/>
              <w:jc w:val="both"/>
              <w:rPr>
                <w:rFonts w:asciiTheme="majorHAnsi" w:hAnsiTheme="majorHAnsi" w:cstheme="majorHAnsi"/>
              </w:rPr>
            </w:pPr>
          </w:p>
          <w:p w14:paraId="23E1817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Os pesquisadores universitários que desejam comercializar sua propriedade intelectual são apoiados pela equipe de Licenciamento e Empreendimentos, que pode auxiliar no licenciamento e formação de uma spinout, e na ligação com buscadores de tecnologia, investidores e outras partes externas.</w:t>
            </w:r>
          </w:p>
          <w:p w14:paraId="1D308F72" w14:textId="77777777" w:rsidR="001C5F76" w:rsidRPr="00485F85" w:rsidRDefault="001C5F76" w:rsidP="00DE19E1">
            <w:pPr>
              <w:spacing w:line="360" w:lineRule="auto"/>
              <w:jc w:val="both"/>
              <w:rPr>
                <w:rFonts w:asciiTheme="majorHAnsi" w:hAnsiTheme="majorHAnsi" w:cstheme="majorHAnsi"/>
              </w:rPr>
            </w:pPr>
          </w:p>
          <w:p w14:paraId="6AFBBA6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Já os pesquisadores que desejam fornecer consultoria acadêmica ou serviços são apoiados pela equipe de Serviços de Consultoria, que também auxilia clientes externos a identificar e se envolver com funcionários relevantes de Oxford.</w:t>
            </w:r>
          </w:p>
          <w:p w14:paraId="562A6E16" w14:textId="77777777" w:rsidR="001C5F76" w:rsidRPr="00485F85" w:rsidRDefault="001C5F76" w:rsidP="00DE19E1">
            <w:pPr>
              <w:spacing w:line="360" w:lineRule="auto"/>
              <w:jc w:val="both"/>
              <w:rPr>
                <w:rFonts w:asciiTheme="majorHAnsi" w:hAnsiTheme="majorHAnsi" w:cstheme="majorHAnsi"/>
              </w:rPr>
            </w:pPr>
          </w:p>
          <w:p w14:paraId="34CE213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Os investidores ou doadores interessados ​​em empreendimentos em estágio inicial são auxiliados pela equipe de Apoio e Financiamento de Empreendimentos e convidados a ingressar na Angels Network. Os próprios investimentos da Universidade em spinouts anteriores são gerenciados pela equipe Spinout Equity Management.</w:t>
            </w:r>
          </w:p>
          <w:p w14:paraId="62DD82BD" w14:textId="77777777" w:rsidR="001C5F76" w:rsidRPr="00485F85" w:rsidRDefault="001C5F76" w:rsidP="00DE19E1">
            <w:pPr>
              <w:spacing w:line="360" w:lineRule="auto"/>
              <w:jc w:val="both"/>
              <w:rPr>
                <w:rFonts w:asciiTheme="majorHAnsi" w:hAnsiTheme="majorHAnsi" w:cstheme="majorHAnsi"/>
              </w:rPr>
            </w:pPr>
          </w:p>
          <w:p w14:paraId="66ED703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Membros e ex-membros da Universidade que desejam iniciar um negócio voltado para o empreendedorismo que não sejam spinouts da Universidade podem se inscrever na Incubadora de Startups para obter suporte.</w:t>
            </w:r>
          </w:p>
          <w:p w14:paraId="3DF7BD5C" w14:textId="77777777" w:rsidR="001C5F76" w:rsidRPr="00485F85" w:rsidRDefault="001C5F76" w:rsidP="00DE19E1">
            <w:pPr>
              <w:spacing w:line="360" w:lineRule="auto"/>
              <w:jc w:val="both"/>
              <w:rPr>
                <w:rFonts w:asciiTheme="majorHAnsi" w:hAnsiTheme="majorHAnsi" w:cstheme="majorHAnsi"/>
              </w:rPr>
            </w:pPr>
          </w:p>
          <w:p w14:paraId="64284D2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Governos, empresas e universidades em todo o mundo podem acessar suporte e know-how para gestão de inovação por meio da Oxentia (agora uma empresa separada, anteriormente conhecida como Isis Enterprise). </w:t>
            </w:r>
            <w:hyperlink r:id="rId204" w:history="1">
              <w:r w:rsidRPr="00485F85">
                <w:rPr>
                  <w:rFonts w:asciiTheme="majorHAnsi" w:hAnsiTheme="majorHAnsi" w:cstheme="majorHAnsi"/>
                  <w:color w:val="4875BD" w:themeColor="accent1"/>
                  <w:u w:val="single"/>
                </w:rPr>
                <w:t>https://www.oxentia.com/</w:t>
              </w:r>
            </w:hyperlink>
            <w:r w:rsidRPr="00485F85">
              <w:rPr>
                <w:rFonts w:asciiTheme="majorHAnsi" w:hAnsiTheme="majorHAnsi" w:cstheme="majorHAnsi"/>
              </w:rPr>
              <w:t xml:space="preserve"> </w:t>
            </w:r>
          </w:p>
          <w:p w14:paraId="7924F675" w14:textId="77777777" w:rsidR="001C5F76" w:rsidRPr="00485F85" w:rsidRDefault="001C5F76" w:rsidP="00DE19E1">
            <w:pPr>
              <w:spacing w:line="360" w:lineRule="auto"/>
              <w:jc w:val="both"/>
              <w:rPr>
                <w:rFonts w:asciiTheme="majorHAnsi" w:hAnsiTheme="majorHAnsi" w:cstheme="majorHAnsi"/>
              </w:rPr>
            </w:pPr>
          </w:p>
          <w:p w14:paraId="1A0FDB2B" w14:textId="77777777" w:rsidR="001C5F76" w:rsidRPr="00485F85" w:rsidRDefault="001C5F76" w:rsidP="00DE19E1">
            <w:pPr>
              <w:spacing w:line="360" w:lineRule="auto"/>
              <w:jc w:val="both"/>
              <w:rPr>
                <w:rFonts w:asciiTheme="majorHAnsi" w:hAnsiTheme="majorHAnsi" w:cstheme="majorHAnsi"/>
                <w:b w:val="0"/>
                <w:u w:val="single"/>
              </w:rPr>
            </w:pPr>
          </w:p>
        </w:tc>
      </w:tr>
      <w:tr w:rsidR="001C5F76" w:rsidRPr="00485F85" w14:paraId="5A474FCC" w14:textId="77777777" w:rsidTr="00DE19E1">
        <w:tc>
          <w:tcPr>
            <w:cnfStyle w:val="001000000000" w:firstRow="0" w:lastRow="0" w:firstColumn="1" w:lastColumn="0" w:oddVBand="0" w:evenVBand="0" w:oddHBand="0" w:evenHBand="0" w:firstRowFirstColumn="0" w:firstRowLastColumn="0" w:lastRowFirstColumn="0" w:lastRowLastColumn="0"/>
            <w:tcW w:w="9889" w:type="dxa"/>
            <w:gridSpan w:val="3"/>
          </w:tcPr>
          <w:p w14:paraId="5D567EB2"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lastRenderedPageBreak/>
              <w:t>10.2. Aumento da produtividade acadêmica</w:t>
            </w:r>
          </w:p>
        </w:tc>
      </w:tr>
      <w:tr w:rsidR="001C5F76" w:rsidRPr="00485F85" w14:paraId="10998F20"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Pr>
          <w:p w14:paraId="7CCD3CD7" w14:textId="77777777" w:rsidR="001C5F76" w:rsidRPr="00485F85" w:rsidRDefault="001C5F76" w:rsidP="00DE19E1">
            <w:pPr>
              <w:spacing w:line="360" w:lineRule="auto"/>
              <w:jc w:val="both"/>
              <w:rPr>
                <w:rFonts w:asciiTheme="majorHAnsi" w:hAnsiTheme="majorHAnsi" w:cstheme="majorHAnsi"/>
                <w:b w:val="0"/>
              </w:rPr>
            </w:pPr>
          </w:p>
          <w:p w14:paraId="68A40E59"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Não foi encontrado dados sobre aumento da produtividade acadêmica. Contudo foi possível perceber que os journals da Instituição além de relatarem pesquisas básicas, também registram os casos de impacto para a indústria ou setor produtivo.</w:t>
            </w:r>
          </w:p>
          <w:p w14:paraId="78C74B1D" w14:textId="77777777" w:rsidR="001C5F76" w:rsidRPr="00485F85" w:rsidRDefault="001C5F76" w:rsidP="00DE19E1">
            <w:pPr>
              <w:spacing w:line="360" w:lineRule="auto"/>
              <w:jc w:val="both"/>
              <w:rPr>
                <w:rFonts w:asciiTheme="majorHAnsi" w:hAnsiTheme="majorHAnsi" w:cstheme="majorHAnsi"/>
                <w:b w:val="0"/>
              </w:rPr>
            </w:pPr>
          </w:p>
        </w:tc>
      </w:tr>
      <w:tr w:rsidR="001C5F76" w:rsidRPr="00485F85" w14:paraId="20D4A7D8" w14:textId="77777777" w:rsidTr="00DE19E1">
        <w:tc>
          <w:tcPr>
            <w:cnfStyle w:val="001000000000" w:firstRow="0" w:lastRow="0" w:firstColumn="1" w:lastColumn="0" w:oddVBand="0" w:evenVBand="0" w:oddHBand="0" w:evenHBand="0" w:firstRowFirstColumn="0" w:firstRowLastColumn="0" w:lastRowFirstColumn="0" w:lastRowLastColumn="0"/>
            <w:tcW w:w="9889" w:type="dxa"/>
            <w:gridSpan w:val="3"/>
          </w:tcPr>
          <w:p w14:paraId="6E146E34" w14:textId="77777777" w:rsidR="001C5F76" w:rsidRPr="00485F85" w:rsidRDefault="001C5F76" w:rsidP="00DE19E1">
            <w:pPr>
              <w:spacing w:line="360" w:lineRule="auto"/>
              <w:jc w:val="both"/>
              <w:rPr>
                <w:rFonts w:asciiTheme="majorHAnsi" w:hAnsiTheme="majorHAnsi" w:cstheme="majorHAnsi"/>
                <w:b w:val="0"/>
              </w:rPr>
            </w:pPr>
          </w:p>
        </w:tc>
      </w:tr>
      <w:tr w:rsidR="001C5F76" w:rsidRPr="00485F85" w14:paraId="0DAB3B4F" w14:textId="77777777" w:rsidTr="00DE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Pr>
          <w:p w14:paraId="1937D320" w14:textId="77777777" w:rsidR="001C5F76" w:rsidRPr="00485F85" w:rsidRDefault="001C5F76" w:rsidP="00DE19E1">
            <w:pPr>
              <w:shd w:val="clear" w:color="auto" w:fill="FFFFFF"/>
              <w:spacing w:beforeAutospacing="1" w:afterAutospacing="1" w:line="360" w:lineRule="auto"/>
              <w:textAlignment w:val="baseline"/>
              <w:rPr>
                <w:rFonts w:asciiTheme="majorHAnsi" w:hAnsiTheme="majorHAnsi" w:cstheme="majorHAnsi"/>
                <w:b w:val="0"/>
              </w:rPr>
            </w:pPr>
            <w:r w:rsidRPr="00485F85">
              <w:rPr>
                <w:rFonts w:asciiTheme="majorHAnsi" w:hAnsiTheme="majorHAnsi" w:cstheme="majorHAnsi"/>
              </w:rPr>
              <w:t>10.3. Desenvolvimento de ambiente de empreendedorismo na IES</w:t>
            </w:r>
          </w:p>
        </w:tc>
      </w:tr>
      <w:tr w:rsidR="001C5F76" w:rsidRPr="00485F85" w14:paraId="253A458E" w14:textId="77777777" w:rsidTr="00DE19E1">
        <w:tc>
          <w:tcPr>
            <w:cnfStyle w:val="001000000000" w:firstRow="0" w:lastRow="0" w:firstColumn="1" w:lastColumn="0" w:oddVBand="0" w:evenVBand="0" w:oddHBand="0" w:evenHBand="0" w:firstRowFirstColumn="0" w:firstRowLastColumn="0" w:lastRowFirstColumn="0" w:lastRowLastColumn="0"/>
            <w:tcW w:w="9889" w:type="dxa"/>
            <w:gridSpan w:val="3"/>
          </w:tcPr>
          <w:p w14:paraId="7D0F0084" w14:textId="77777777" w:rsidR="001C5F76" w:rsidRPr="00485F85" w:rsidRDefault="001C5F76" w:rsidP="00DE19E1">
            <w:pPr>
              <w:spacing w:line="360" w:lineRule="auto"/>
              <w:jc w:val="both"/>
              <w:rPr>
                <w:rFonts w:asciiTheme="majorHAnsi" w:hAnsiTheme="majorHAnsi" w:cstheme="majorHAnsi"/>
                <w:bCs w:val="0"/>
              </w:rPr>
            </w:pPr>
          </w:p>
          <w:p w14:paraId="4393B858" w14:textId="77777777" w:rsidR="001C5F76" w:rsidRPr="00485F85" w:rsidRDefault="001C5F76" w:rsidP="00DE19E1">
            <w:pPr>
              <w:spacing w:line="360" w:lineRule="auto"/>
              <w:jc w:val="both"/>
              <w:rPr>
                <w:rFonts w:asciiTheme="majorHAnsi" w:hAnsiTheme="majorHAnsi" w:cstheme="majorHAnsi"/>
                <w:bCs w:val="0"/>
              </w:rPr>
            </w:pPr>
          </w:p>
          <w:p w14:paraId="1513F37E"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Oxford convida a comunidade a expandir seus negócios oferecendo diferentes opções para atender ao conjunto de desafios do crescimento ou construção de uma empresa. Para isso, oferece: </w:t>
            </w:r>
          </w:p>
          <w:p w14:paraId="3970F55A" w14:textId="77777777" w:rsidR="001C5F76" w:rsidRPr="00485F85" w:rsidRDefault="001C5F76" w:rsidP="00DE19E1">
            <w:pPr>
              <w:spacing w:line="360" w:lineRule="auto"/>
              <w:jc w:val="both"/>
              <w:rPr>
                <w:rFonts w:asciiTheme="majorHAnsi" w:hAnsiTheme="majorHAnsi" w:cstheme="majorHAnsi"/>
                <w:bCs w:val="0"/>
              </w:rPr>
            </w:pPr>
          </w:p>
          <w:p w14:paraId="3D814999"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construção flexível e aluguel no Oxford Science Park</w:t>
            </w:r>
          </w:p>
          <w:p w14:paraId="23F14C7F"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instalações flexíveis em um ambiente de pesquisa exclusivo no Begbroke Science Park e no BioEscalator</w:t>
            </w:r>
          </w:p>
          <w:p w14:paraId="7B107CC6"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engajamento com empreendedores, acadêmicos e alunos do Centro de Empreendedorismo</w:t>
            </w:r>
          </w:p>
          <w:p w14:paraId="428FB390"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instalações para inovação e empresas baseadas em ciência e tecnologia no campus The Harwell Science &amp; Innovation</w:t>
            </w:r>
          </w:p>
          <w:p w14:paraId="1DE86A11"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espaço de escritório e serviços especializados de apoio empresarial no Culham Science Center</w:t>
            </w:r>
          </w:p>
          <w:p w14:paraId="7839BDFA" w14:textId="77777777" w:rsidR="001C5F76" w:rsidRPr="00485F85" w:rsidRDefault="001C5F76" w:rsidP="00DE19E1">
            <w:pPr>
              <w:numPr>
                <w:ilvl w:val="0"/>
                <w:numId w:val="37"/>
              </w:numPr>
              <w:spacing w:line="360" w:lineRule="auto"/>
              <w:contextualSpacing/>
              <w:jc w:val="both"/>
              <w:rPr>
                <w:rFonts w:asciiTheme="majorHAnsi" w:hAnsiTheme="majorHAnsi" w:cstheme="majorHAnsi"/>
                <w:bCs w:val="0"/>
              </w:rPr>
            </w:pPr>
            <w:r w:rsidRPr="00485F85">
              <w:rPr>
                <w:rFonts w:asciiTheme="majorHAnsi" w:hAnsiTheme="majorHAnsi" w:cstheme="majorHAnsi"/>
              </w:rPr>
              <w:t xml:space="preserve">redes locais, apoio governamental regional e nacional para empresas locais   </w:t>
            </w:r>
          </w:p>
          <w:p w14:paraId="5A3A1BAD" w14:textId="77777777" w:rsidR="001C5F76" w:rsidRPr="00485F85" w:rsidRDefault="001C5F76" w:rsidP="00DE19E1">
            <w:pPr>
              <w:spacing w:line="360" w:lineRule="auto"/>
              <w:jc w:val="both"/>
              <w:rPr>
                <w:rFonts w:asciiTheme="majorHAnsi" w:hAnsiTheme="majorHAnsi" w:cstheme="majorHAnsi"/>
                <w:bCs w:val="0"/>
              </w:rPr>
            </w:pPr>
          </w:p>
          <w:p w14:paraId="02449F6E"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 </w:t>
            </w:r>
          </w:p>
          <w:p w14:paraId="1DA501CD" w14:textId="77777777" w:rsidR="001C5F76" w:rsidRPr="00485F85" w:rsidRDefault="001C5F76" w:rsidP="00DE19E1">
            <w:pPr>
              <w:spacing w:line="360" w:lineRule="auto"/>
              <w:jc w:val="both"/>
              <w:rPr>
                <w:rFonts w:asciiTheme="majorHAnsi" w:hAnsiTheme="majorHAnsi" w:cstheme="majorHAnsi"/>
                <w:b w:val="0"/>
                <w:lang w:val="en-US"/>
              </w:rPr>
            </w:pPr>
            <w:r w:rsidRPr="00485F85">
              <w:rPr>
                <w:rFonts w:asciiTheme="majorHAnsi" w:hAnsiTheme="majorHAnsi" w:cstheme="majorHAnsi"/>
                <w:lang w:val="en-US"/>
              </w:rPr>
              <w:t xml:space="preserve">The Oxford Science Park - </w:t>
            </w:r>
            <w:hyperlink r:id="rId205" w:history="1">
              <w:r w:rsidRPr="00485F85">
                <w:rPr>
                  <w:rFonts w:asciiTheme="majorHAnsi" w:hAnsiTheme="majorHAnsi" w:cstheme="majorHAnsi"/>
                  <w:color w:val="4875BD" w:themeColor="accent1"/>
                  <w:u w:val="single"/>
                  <w:lang w:val="en-US"/>
                </w:rPr>
                <w:t>http://www.oxfordsp.com/contact-us/</w:t>
              </w:r>
            </w:hyperlink>
            <w:r w:rsidRPr="00485F85">
              <w:rPr>
                <w:rFonts w:asciiTheme="majorHAnsi" w:hAnsiTheme="majorHAnsi" w:cstheme="majorHAnsi"/>
                <w:lang w:val="en-US"/>
              </w:rPr>
              <w:t xml:space="preserve"> </w:t>
            </w:r>
          </w:p>
          <w:p w14:paraId="5E42C9D9"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Etsá prosperando como um centro de excelência para ocupantes de ciência, tecnologia e negócios.</w:t>
            </w:r>
          </w:p>
          <w:p w14:paraId="43467966"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Sua abordagem flexível para construir e deixar atende às demandas em constante mudança de negócios, de organizações estabelecidas a empresas incipientes.</w:t>
            </w:r>
          </w:p>
          <w:p w14:paraId="01AC29A8" w14:textId="77777777" w:rsidR="001C5F76" w:rsidRPr="00485F85" w:rsidRDefault="001C5F76" w:rsidP="00DE19E1">
            <w:pPr>
              <w:spacing w:line="360" w:lineRule="auto"/>
              <w:jc w:val="both"/>
              <w:rPr>
                <w:rFonts w:asciiTheme="majorHAnsi" w:hAnsiTheme="majorHAnsi" w:cstheme="majorHAnsi"/>
                <w:bCs w:val="0"/>
              </w:rPr>
            </w:pPr>
          </w:p>
          <w:p w14:paraId="44C6BF37" w14:textId="77777777" w:rsidR="001C5F76" w:rsidRPr="00485F85" w:rsidRDefault="001C5F76" w:rsidP="00DE19E1">
            <w:pPr>
              <w:spacing w:line="360" w:lineRule="auto"/>
              <w:jc w:val="both"/>
              <w:rPr>
                <w:rFonts w:asciiTheme="majorHAnsi" w:hAnsiTheme="majorHAnsi" w:cstheme="majorHAnsi"/>
                <w:b w:val="0"/>
                <w:lang w:val="en-US"/>
              </w:rPr>
            </w:pPr>
            <w:r w:rsidRPr="00485F85">
              <w:rPr>
                <w:rFonts w:asciiTheme="majorHAnsi" w:hAnsiTheme="majorHAnsi" w:cstheme="majorHAnsi"/>
                <w:lang w:val="en-US"/>
              </w:rPr>
              <w:t xml:space="preserve">Begbroke Science Park - </w:t>
            </w:r>
            <w:hyperlink r:id="rId206" w:history="1">
              <w:r w:rsidRPr="00485F85">
                <w:rPr>
                  <w:rFonts w:asciiTheme="majorHAnsi" w:hAnsiTheme="majorHAnsi" w:cstheme="majorHAnsi"/>
                  <w:color w:val="4875BD" w:themeColor="accent1"/>
                  <w:u w:val="single"/>
                  <w:lang w:val="en-US"/>
                </w:rPr>
                <w:t>http://www.begbroke.ox.ac.uk</w:t>
              </w:r>
            </w:hyperlink>
            <w:r w:rsidRPr="00485F85">
              <w:rPr>
                <w:rFonts w:asciiTheme="majorHAnsi" w:hAnsiTheme="majorHAnsi" w:cstheme="majorHAnsi"/>
                <w:lang w:val="en-US"/>
              </w:rPr>
              <w:t xml:space="preserve"> </w:t>
            </w:r>
          </w:p>
          <w:p w14:paraId="17A268C4"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Oxford University  Begbroke Science Park oferece um ambiente único onde cientistas de classe mundial trabalham ao lado de empresários e da indústria para traduzir pesquisa de ponta em oportunidades comerciais.</w:t>
            </w:r>
          </w:p>
          <w:p w14:paraId="4C99F222"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A equipe de gestão está à disposição para ajudar as empresas a fortalecerem seus vínculos acadêmicos.</w:t>
            </w:r>
          </w:p>
          <w:p w14:paraId="48EACE67" w14:textId="77777777" w:rsidR="001C5F76" w:rsidRPr="00485F85" w:rsidRDefault="001C5F76" w:rsidP="00DE19E1">
            <w:pPr>
              <w:spacing w:line="360" w:lineRule="auto"/>
              <w:jc w:val="both"/>
              <w:rPr>
                <w:rFonts w:asciiTheme="majorHAnsi" w:hAnsiTheme="majorHAnsi" w:cstheme="majorHAnsi"/>
                <w:bCs w:val="0"/>
              </w:rPr>
            </w:pPr>
          </w:p>
          <w:p w14:paraId="72FD2D44" w14:textId="77777777" w:rsidR="001C5F76" w:rsidRPr="00485F85" w:rsidRDefault="001C5F76" w:rsidP="00DE19E1">
            <w:pPr>
              <w:spacing w:line="360" w:lineRule="auto"/>
              <w:jc w:val="both"/>
              <w:rPr>
                <w:rFonts w:asciiTheme="majorHAnsi" w:hAnsiTheme="majorHAnsi" w:cstheme="majorHAnsi"/>
                <w:b w:val="0"/>
                <w:lang w:val="en-US"/>
              </w:rPr>
            </w:pPr>
            <w:r w:rsidRPr="00485F85">
              <w:rPr>
                <w:rFonts w:asciiTheme="majorHAnsi" w:hAnsiTheme="majorHAnsi" w:cstheme="majorHAnsi"/>
                <w:lang w:val="en-US"/>
              </w:rPr>
              <w:t xml:space="preserve">The BioEscalator - </w:t>
            </w:r>
            <w:hyperlink r:id="rId207" w:history="1">
              <w:r w:rsidRPr="00485F85">
                <w:rPr>
                  <w:rFonts w:asciiTheme="majorHAnsi" w:hAnsiTheme="majorHAnsi" w:cstheme="majorHAnsi"/>
                  <w:color w:val="4875BD" w:themeColor="accent1"/>
                  <w:u w:val="single"/>
                  <w:lang w:val="en-US"/>
                </w:rPr>
                <w:t>http://www.medsci.ox.ac.uk</w:t>
              </w:r>
            </w:hyperlink>
            <w:r w:rsidRPr="00485F85">
              <w:rPr>
                <w:rFonts w:asciiTheme="majorHAnsi" w:hAnsiTheme="majorHAnsi" w:cstheme="majorHAnsi"/>
                <w:lang w:val="en-US"/>
              </w:rPr>
              <w:t xml:space="preserve"> </w:t>
            </w:r>
          </w:p>
          <w:p w14:paraId="75BE8076"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É um centro para novas inovações em desenvolvimento das ciências da vida. Ele oferece espaço de laboratório flexível para sua pequena e crescente empresa de ciências biomédicas no coração de Oxford, localizada no Old Road Campus ao lado de importantes pesquisadores médicos e hospitais de Oxford.</w:t>
            </w:r>
          </w:p>
          <w:p w14:paraId="28532B53" w14:textId="77777777" w:rsidR="001C5F76" w:rsidRPr="00485F85" w:rsidRDefault="001C5F76" w:rsidP="00DE19E1">
            <w:pPr>
              <w:spacing w:line="360" w:lineRule="auto"/>
              <w:jc w:val="both"/>
              <w:rPr>
                <w:rFonts w:asciiTheme="majorHAnsi" w:hAnsiTheme="majorHAnsi" w:cstheme="majorHAnsi"/>
                <w:bCs w:val="0"/>
              </w:rPr>
            </w:pPr>
          </w:p>
          <w:p w14:paraId="19B1DDC1"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Entrepreneurship Centre </w:t>
            </w:r>
            <w:hyperlink r:id="rId208" w:history="1">
              <w:r w:rsidRPr="00485F85">
                <w:rPr>
                  <w:rFonts w:asciiTheme="majorHAnsi" w:hAnsiTheme="majorHAnsi" w:cstheme="majorHAnsi"/>
                  <w:color w:val="4875BD" w:themeColor="accent1"/>
                  <w:u w:val="single"/>
                </w:rPr>
                <w:t>https://www.oxfordfoundry.ox.ac.uk/what-oxford-foundry</w:t>
              </w:r>
            </w:hyperlink>
          </w:p>
          <w:p w14:paraId="5794FD58"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O Centro de Empreendedorismo da Saïd Business School oferece às empresas a oportunidade de se envolverem com acadêmicos, spin-outs e estudantes empreendedores. Seus programas e eventos </w:t>
            </w:r>
            <w:r w:rsidRPr="00485F85">
              <w:rPr>
                <w:rFonts w:asciiTheme="majorHAnsi" w:hAnsiTheme="majorHAnsi" w:cstheme="majorHAnsi"/>
              </w:rPr>
              <w:lastRenderedPageBreak/>
              <w:t>combinam pesquisa e ensino prático para apoiar empreendedores e empresas de alto crescimento.</w:t>
            </w:r>
          </w:p>
          <w:p w14:paraId="09C7F6B5" w14:textId="77777777" w:rsidR="001C5F76" w:rsidRPr="00485F85" w:rsidRDefault="001C5F76" w:rsidP="00DE19E1">
            <w:pPr>
              <w:spacing w:line="360" w:lineRule="auto"/>
              <w:jc w:val="both"/>
              <w:rPr>
                <w:rFonts w:asciiTheme="majorHAnsi" w:hAnsiTheme="majorHAnsi" w:cstheme="majorHAnsi"/>
                <w:bCs w:val="0"/>
              </w:rPr>
            </w:pPr>
          </w:p>
          <w:p w14:paraId="57503A25"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Por meio da Saïd Business School a Universidade de Oxford possui um espaço para os alunos exercitarem o empreendedorismo por meio de ideias testadas na prática a partir de tutores e investidores do ecossistema de Oxford. </w:t>
            </w:r>
          </w:p>
          <w:p w14:paraId="3BD386B7"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 </w:t>
            </w:r>
          </w:p>
          <w:p w14:paraId="3CE3FC30"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O Centro de Empreendedorismo apoia parte integrante dos programas de MBA e EMBA, o Projeto de Empreendedorismo. O projeto apresenta habilidades críticas de empreendedorismo e cultiva uma ampla perspectiva sobre a criação de um novo empreendimento. As ideias de negócios podem vir dos próprios alunos ou de colaboradores. Colaboradores são start-ups, scale-ups ou PMEs dispostos a se associar a MBAs para trabalhar em seu plano de negócios ou no lançamento de um novo produto / serviço.</w:t>
            </w:r>
          </w:p>
          <w:p w14:paraId="114E91E3" w14:textId="77777777" w:rsidR="001C5F76" w:rsidRPr="00485F85" w:rsidRDefault="001C5F76" w:rsidP="00DE19E1">
            <w:pPr>
              <w:spacing w:line="360" w:lineRule="auto"/>
              <w:jc w:val="both"/>
              <w:rPr>
                <w:rFonts w:asciiTheme="majorHAnsi" w:hAnsiTheme="majorHAnsi" w:cstheme="majorHAnsi"/>
                <w:bCs w:val="0"/>
              </w:rPr>
            </w:pPr>
          </w:p>
          <w:p w14:paraId="0E3F59C8"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Como parte deste módulo de aprendizagem, os alunos trabalham juntos em pequenos grupos em novos produtos ou novos modelos de negócios em um ambiente seguro. Eles recebem apoio de mentoria durante todo o projeto e feedback de profissionais de negócios seniores, empresários, especialistas ou investidores que são membros do painel em suas apresentações. O projeto desafia os participantes a desenvolver um plano de negócios completo e apresentá-lo a um painel de investidores e empresários convidados. Para os alunos que já administram uma empresa, esta é uma grande oportunidade de desenvolver novos produtos ou modelos de negócios e fazer com que sejam avaliados com rigor.</w:t>
            </w:r>
          </w:p>
          <w:p w14:paraId="2F63F67E" w14:textId="77777777" w:rsidR="001C5F76" w:rsidRPr="00485F85" w:rsidRDefault="001C5F76" w:rsidP="00DE19E1">
            <w:pPr>
              <w:spacing w:line="360" w:lineRule="auto"/>
              <w:jc w:val="both"/>
              <w:rPr>
                <w:rFonts w:asciiTheme="majorHAnsi" w:hAnsiTheme="majorHAnsi" w:cstheme="majorHAnsi"/>
                <w:bCs w:val="0"/>
              </w:rPr>
            </w:pPr>
          </w:p>
          <w:p w14:paraId="28F41964" w14:textId="77777777" w:rsidR="001C5F76" w:rsidRPr="00485F85" w:rsidRDefault="001C5F76" w:rsidP="00DE19E1">
            <w:pPr>
              <w:spacing w:line="360" w:lineRule="auto"/>
              <w:jc w:val="both"/>
              <w:rPr>
                <w:rFonts w:asciiTheme="majorHAnsi" w:hAnsiTheme="majorHAnsi" w:cstheme="majorHAnsi"/>
                <w:b w:val="0"/>
                <w:lang w:val="en-US"/>
              </w:rPr>
            </w:pPr>
            <w:r w:rsidRPr="00485F85">
              <w:rPr>
                <w:rFonts w:asciiTheme="majorHAnsi" w:hAnsiTheme="majorHAnsi" w:cstheme="majorHAnsi"/>
                <w:lang w:val="en-US"/>
              </w:rPr>
              <w:t xml:space="preserve">The Harwell Science and Innovation Campus - </w:t>
            </w:r>
            <w:hyperlink r:id="rId209" w:history="1">
              <w:r w:rsidRPr="00485F85">
                <w:rPr>
                  <w:rFonts w:asciiTheme="majorHAnsi" w:hAnsiTheme="majorHAnsi" w:cstheme="majorHAnsi"/>
                  <w:color w:val="4875BD" w:themeColor="accent1"/>
                  <w:u w:val="single"/>
                  <w:lang w:val="en-US"/>
                </w:rPr>
                <w:t>http://www.harwellcampus.com</w:t>
              </w:r>
            </w:hyperlink>
            <w:r w:rsidRPr="00485F85">
              <w:rPr>
                <w:rFonts w:asciiTheme="majorHAnsi" w:hAnsiTheme="majorHAnsi" w:cstheme="majorHAnsi"/>
                <w:lang w:val="en-US"/>
              </w:rPr>
              <w:t xml:space="preserve"> </w:t>
            </w:r>
          </w:p>
          <w:p w14:paraId="377ECE19"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É uma comunidade crescente de inovação e empreendimentos baseados em ciência e tecnologia, incluindo grandes projetos e instalações científicas nacionais e internacionais.</w:t>
            </w:r>
          </w:p>
          <w:p w14:paraId="16B55479" w14:textId="77777777" w:rsidR="001C5F76" w:rsidRPr="00485F85" w:rsidRDefault="001C5F76" w:rsidP="00DE19E1">
            <w:pPr>
              <w:spacing w:line="360" w:lineRule="auto"/>
              <w:jc w:val="both"/>
              <w:rPr>
                <w:rFonts w:asciiTheme="majorHAnsi" w:hAnsiTheme="majorHAnsi" w:cstheme="majorHAnsi"/>
                <w:bCs w:val="0"/>
              </w:rPr>
            </w:pPr>
          </w:p>
          <w:p w14:paraId="4576730F"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 xml:space="preserve">Culham Science Center - </w:t>
            </w:r>
            <w:hyperlink r:id="rId210" w:history="1">
              <w:r w:rsidRPr="00485F85">
                <w:rPr>
                  <w:rFonts w:asciiTheme="majorHAnsi" w:hAnsiTheme="majorHAnsi" w:cstheme="majorHAnsi"/>
                  <w:color w:val="4875BD" w:themeColor="accent1"/>
                  <w:u w:val="single"/>
                </w:rPr>
                <w:t>http://www.culham.org.uk/property-availability/</w:t>
              </w:r>
            </w:hyperlink>
            <w:r w:rsidRPr="00485F85">
              <w:rPr>
                <w:rFonts w:asciiTheme="majorHAnsi" w:hAnsiTheme="majorHAnsi" w:cstheme="majorHAnsi"/>
              </w:rPr>
              <w:t xml:space="preserve"> </w:t>
            </w:r>
          </w:p>
          <w:p w14:paraId="6C28DCC4"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Combina pesquisa de classe mundial com financiamento público em energia de fusão, organizações de tecnologia comercial e  Culham Innovation Center para criar uma potência de inovação e empreendimento de alta tecnologia. </w:t>
            </w:r>
          </w:p>
          <w:p w14:paraId="76AA2EA1"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Culham Science Center pertence e é administrado pela Autoridade de Energia Atômica do  Reino Unido e é um parceiro da  Science Vale UK .</w:t>
            </w:r>
          </w:p>
          <w:p w14:paraId="79CBD830"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 xml:space="preserve">Culham também abriga o  RACE (Remote Applications in Challenging Environments), criado para permitir que a indústria aplique o conhecimento de pesquisa sobre sistemas produtivos totalmente operados remotamente a uma ampla gama de situações comerciais.  </w:t>
            </w:r>
          </w:p>
          <w:p w14:paraId="1C319377" w14:textId="77777777" w:rsidR="001C5F76" w:rsidRPr="00485F85" w:rsidRDefault="001C5F76" w:rsidP="00DE19E1">
            <w:pPr>
              <w:spacing w:line="360" w:lineRule="auto"/>
              <w:jc w:val="both"/>
              <w:rPr>
                <w:rFonts w:asciiTheme="majorHAnsi" w:hAnsiTheme="majorHAnsi" w:cstheme="majorHAnsi"/>
                <w:b w:val="0"/>
              </w:rPr>
            </w:pPr>
          </w:p>
          <w:p w14:paraId="34F2F09B"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lastRenderedPageBreak/>
              <w:t>Suporte para empresas locais</w:t>
            </w:r>
          </w:p>
          <w:p w14:paraId="670542DF" w14:textId="77777777" w:rsidR="001C5F76" w:rsidRPr="00485F85" w:rsidRDefault="001C5F76" w:rsidP="00DE19E1">
            <w:pPr>
              <w:spacing w:line="360" w:lineRule="auto"/>
              <w:jc w:val="both"/>
              <w:rPr>
                <w:rFonts w:asciiTheme="majorHAnsi" w:hAnsiTheme="majorHAnsi" w:cstheme="majorHAnsi"/>
                <w:bCs w:val="0"/>
              </w:rPr>
            </w:pPr>
          </w:p>
          <w:p w14:paraId="4FE359AD"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A Universidade trabalha em estreita colaboração com a Oxfordshire Local Enterprise Partnership  (OxLEP), cujo papel é defender o potencial econômico de Oxfordshire e impulsionar o crescimento dos negócios, incluindo investimento interno por meio de investimentos em Oxfordshire . Ele também oferece um serviço gratuito de Suporte a Negócios em Oxfordshire .</w:t>
            </w:r>
          </w:p>
          <w:p w14:paraId="5FF41491" w14:textId="77777777" w:rsidR="001C5F76" w:rsidRPr="00485F85" w:rsidRDefault="001C5F76" w:rsidP="00DE19E1">
            <w:pPr>
              <w:spacing w:line="360" w:lineRule="auto"/>
              <w:jc w:val="both"/>
              <w:rPr>
                <w:rFonts w:asciiTheme="majorHAnsi" w:hAnsiTheme="majorHAnsi" w:cstheme="majorHAnsi"/>
                <w:bCs w:val="0"/>
              </w:rPr>
            </w:pPr>
          </w:p>
          <w:p w14:paraId="31C5ECE6" w14:textId="77777777" w:rsidR="001C5F76" w:rsidRPr="00485F85" w:rsidRDefault="001C5F76" w:rsidP="00DE19E1">
            <w:pPr>
              <w:spacing w:line="360" w:lineRule="auto"/>
              <w:jc w:val="both"/>
              <w:rPr>
                <w:rFonts w:asciiTheme="majorHAnsi" w:hAnsiTheme="majorHAnsi" w:cstheme="majorHAnsi"/>
                <w:bCs w:val="0"/>
              </w:rPr>
            </w:pPr>
            <w:r w:rsidRPr="00485F85">
              <w:rPr>
                <w:rFonts w:asciiTheme="majorHAnsi" w:hAnsiTheme="majorHAnsi" w:cstheme="majorHAnsi"/>
              </w:rPr>
              <w:t>A Universidade está envolvida nas redes regionais de negócios:</w:t>
            </w:r>
          </w:p>
          <w:p w14:paraId="111DEE74" w14:textId="77777777" w:rsidR="001C5F76" w:rsidRPr="00485F85" w:rsidRDefault="00A515B3" w:rsidP="00DE19E1">
            <w:pPr>
              <w:spacing w:line="360" w:lineRule="auto"/>
              <w:jc w:val="both"/>
              <w:rPr>
                <w:rFonts w:asciiTheme="majorHAnsi" w:hAnsiTheme="majorHAnsi" w:cstheme="majorHAnsi"/>
                <w:bCs w:val="0"/>
              </w:rPr>
            </w:pPr>
            <w:hyperlink r:id="rId211" w:history="1">
              <w:r w:rsidR="001C5F76" w:rsidRPr="00485F85">
                <w:rPr>
                  <w:rFonts w:asciiTheme="majorHAnsi" w:hAnsiTheme="majorHAnsi" w:cstheme="majorHAnsi"/>
                  <w:color w:val="4875BD" w:themeColor="accent1"/>
                  <w:u w:val="single"/>
                </w:rPr>
                <w:t>https://venturefestoxford.com/</w:t>
              </w:r>
            </w:hyperlink>
            <w:r w:rsidR="001C5F76" w:rsidRPr="00485F85">
              <w:rPr>
                <w:rFonts w:asciiTheme="majorHAnsi" w:hAnsiTheme="majorHAnsi" w:cstheme="majorHAnsi"/>
              </w:rPr>
              <w:t xml:space="preserve"> </w:t>
            </w:r>
          </w:p>
          <w:p w14:paraId="445182C6" w14:textId="77777777" w:rsidR="001C5F76" w:rsidRPr="00485F85" w:rsidRDefault="00A515B3" w:rsidP="00DE19E1">
            <w:pPr>
              <w:spacing w:line="360" w:lineRule="auto"/>
              <w:jc w:val="both"/>
              <w:rPr>
                <w:rFonts w:asciiTheme="majorHAnsi" w:hAnsiTheme="majorHAnsi" w:cstheme="majorHAnsi"/>
                <w:bCs w:val="0"/>
              </w:rPr>
            </w:pPr>
            <w:hyperlink r:id="rId212" w:history="1">
              <w:r w:rsidR="001C5F76" w:rsidRPr="00485F85">
                <w:rPr>
                  <w:rFonts w:asciiTheme="majorHAnsi" w:hAnsiTheme="majorHAnsi" w:cstheme="majorHAnsi"/>
                  <w:color w:val="4875BD" w:themeColor="accent1"/>
                  <w:u w:val="single"/>
                </w:rPr>
                <w:t>https://www.businessinoxford.com/</w:t>
              </w:r>
            </w:hyperlink>
            <w:r w:rsidR="001C5F76" w:rsidRPr="00485F85">
              <w:rPr>
                <w:rFonts w:asciiTheme="majorHAnsi" w:hAnsiTheme="majorHAnsi" w:cstheme="majorHAnsi"/>
              </w:rPr>
              <w:t xml:space="preserve"> </w:t>
            </w:r>
          </w:p>
          <w:p w14:paraId="0612CD56" w14:textId="77777777" w:rsidR="001C5F76" w:rsidRPr="00485F85" w:rsidRDefault="00A515B3" w:rsidP="00DE19E1">
            <w:pPr>
              <w:spacing w:line="360" w:lineRule="auto"/>
              <w:jc w:val="both"/>
              <w:rPr>
                <w:rFonts w:asciiTheme="majorHAnsi" w:hAnsiTheme="majorHAnsi" w:cstheme="majorHAnsi"/>
                <w:bCs w:val="0"/>
              </w:rPr>
            </w:pPr>
            <w:hyperlink r:id="rId213" w:history="1">
              <w:r w:rsidR="001C5F76" w:rsidRPr="00485F85">
                <w:rPr>
                  <w:rFonts w:asciiTheme="majorHAnsi" w:hAnsiTheme="majorHAnsi" w:cstheme="majorHAnsi"/>
                  <w:color w:val="4875BD" w:themeColor="accent1"/>
                  <w:u w:val="single"/>
                </w:rPr>
                <w:t>http://obn.org.uk</w:t>
              </w:r>
            </w:hyperlink>
            <w:r w:rsidR="001C5F76" w:rsidRPr="00485F85">
              <w:rPr>
                <w:rFonts w:asciiTheme="majorHAnsi" w:hAnsiTheme="majorHAnsi" w:cstheme="majorHAnsi"/>
              </w:rPr>
              <w:t xml:space="preserve"> </w:t>
            </w:r>
          </w:p>
          <w:p w14:paraId="1A5C02D5" w14:textId="77777777" w:rsidR="001C5F76" w:rsidRPr="00485F85" w:rsidRDefault="00A515B3" w:rsidP="00DE19E1">
            <w:pPr>
              <w:spacing w:line="360" w:lineRule="auto"/>
              <w:jc w:val="both"/>
              <w:rPr>
                <w:rFonts w:asciiTheme="majorHAnsi" w:hAnsiTheme="majorHAnsi" w:cstheme="majorHAnsi"/>
                <w:bCs w:val="0"/>
              </w:rPr>
            </w:pPr>
            <w:hyperlink r:id="rId214" w:history="1">
              <w:r w:rsidR="001C5F76" w:rsidRPr="00485F85">
                <w:rPr>
                  <w:rFonts w:asciiTheme="majorHAnsi" w:hAnsiTheme="majorHAnsi" w:cstheme="majorHAnsi"/>
                  <w:color w:val="4875BD" w:themeColor="accent1"/>
                  <w:u w:val="single"/>
                </w:rPr>
                <w:t>https://otmn.co.uk/</w:t>
              </w:r>
            </w:hyperlink>
            <w:r w:rsidR="001C5F76" w:rsidRPr="00485F85">
              <w:rPr>
                <w:rFonts w:asciiTheme="majorHAnsi" w:hAnsiTheme="majorHAnsi" w:cstheme="majorHAnsi"/>
              </w:rPr>
              <w:t xml:space="preserve"> </w:t>
            </w:r>
          </w:p>
          <w:p w14:paraId="56E56DC2" w14:textId="77777777" w:rsidR="001C5F76" w:rsidRPr="00485F85" w:rsidRDefault="001C5F76" w:rsidP="00DE19E1">
            <w:pPr>
              <w:spacing w:line="360" w:lineRule="auto"/>
              <w:jc w:val="both"/>
              <w:rPr>
                <w:rFonts w:asciiTheme="majorHAnsi" w:hAnsiTheme="majorHAnsi" w:cstheme="majorHAnsi"/>
                <w:bCs w:val="0"/>
              </w:rPr>
            </w:pPr>
          </w:p>
          <w:p w14:paraId="3AB09726" w14:textId="77777777" w:rsidR="001C5F76" w:rsidRPr="00485F85" w:rsidRDefault="00A515B3" w:rsidP="00DE19E1">
            <w:pPr>
              <w:spacing w:line="360" w:lineRule="auto"/>
              <w:jc w:val="both"/>
              <w:rPr>
                <w:rFonts w:asciiTheme="majorHAnsi" w:hAnsiTheme="majorHAnsi" w:cstheme="majorHAnsi"/>
                <w:bCs w:val="0"/>
              </w:rPr>
            </w:pPr>
            <w:hyperlink r:id="rId215" w:history="1">
              <w:r w:rsidR="001C5F76" w:rsidRPr="00485F85">
                <w:rPr>
                  <w:rFonts w:asciiTheme="majorHAnsi" w:hAnsiTheme="majorHAnsi" w:cstheme="majorHAnsi"/>
                  <w:color w:val="4875BD" w:themeColor="accent1"/>
                  <w:u w:val="single"/>
                </w:rPr>
                <w:t>https://www.ox.ac.uk/research/innovation-and-partnership/resources-facilities/grow-your-business-oxford</w:t>
              </w:r>
            </w:hyperlink>
            <w:r w:rsidR="001C5F76" w:rsidRPr="00485F85">
              <w:rPr>
                <w:rFonts w:asciiTheme="majorHAnsi" w:hAnsiTheme="majorHAnsi" w:cstheme="majorHAnsi"/>
              </w:rPr>
              <w:t xml:space="preserve"> </w:t>
            </w:r>
          </w:p>
          <w:p w14:paraId="23A36752" w14:textId="77777777" w:rsidR="001C5F76" w:rsidRPr="00485F85" w:rsidRDefault="001C5F76" w:rsidP="00DE19E1">
            <w:pPr>
              <w:spacing w:line="360" w:lineRule="auto"/>
              <w:jc w:val="both"/>
              <w:rPr>
                <w:rFonts w:asciiTheme="majorHAnsi" w:hAnsiTheme="majorHAnsi" w:cstheme="majorHAnsi"/>
                <w:bCs w:val="0"/>
              </w:rPr>
            </w:pPr>
          </w:p>
          <w:p w14:paraId="4EBF7873" w14:textId="77777777" w:rsidR="001C5F76" w:rsidRPr="00485F85" w:rsidRDefault="001C5F76" w:rsidP="00DE19E1">
            <w:pPr>
              <w:spacing w:line="360" w:lineRule="auto"/>
              <w:jc w:val="both"/>
              <w:rPr>
                <w:rFonts w:asciiTheme="majorHAnsi" w:hAnsiTheme="majorHAnsi" w:cstheme="majorHAnsi"/>
                <w:b w:val="0"/>
                <w:bCs w:val="0"/>
              </w:rPr>
            </w:pPr>
          </w:p>
          <w:p w14:paraId="227CAE71" w14:textId="77777777" w:rsidR="001C5F76" w:rsidRPr="00485F85" w:rsidRDefault="001C5F76" w:rsidP="00DE19E1">
            <w:pPr>
              <w:spacing w:line="360" w:lineRule="auto"/>
              <w:jc w:val="both"/>
              <w:rPr>
                <w:rFonts w:asciiTheme="majorHAnsi" w:hAnsiTheme="majorHAnsi" w:cstheme="majorHAnsi"/>
                <w:b w:val="0"/>
                <w:bCs w:val="0"/>
              </w:rPr>
            </w:pPr>
          </w:p>
          <w:p w14:paraId="243CF6A6" w14:textId="77777777" w:rsidR="001C5F76" w:rsidRPr="00485F85" w:rsidRDefault="001C5F76" w:rsidP="00DE19E1">
            <w:pPr>
              <w:spacing w:line="360" w:lineRule="auto"/>
              <w:jc w:val="both"/>
              <w:rPr>
                <w:rFonts w:asciiTheme="majorHAnsi" w:hAnsiTheme="majorHAnsi" w:cstheme="majorHAnsi"/>
                <w:b w:val="0"/>
                <w:bCs w:val="0"/>
              </w:rPr>
            </w:pPr>
          </w:p>
          <w:p w14:paraId="16119840" w14:textId="77777777" w:rsidR="001C5F76" w:rsidRPr="00485F85" w:rsidRDefault="001C5F76" w:rsidP="00DE19E1">
            <w:pPr>
              <w:spacing w:line="360" w:lineRule="auto"/>
              <w:jc w:val="both"/>
              <w:rPr>
                <w:rFonts w:asciiTheme="majorHAnsi" w:hAnsiTheme="majorHAnsi" w:cstheme="majorHAnsi"/>
                <w:b w:val="0"/>
                <w:bCs w:val="0"/>
              </w:rPr>
            </w:pPr>
          </w:p>
          <w:p w14:paraId="3C0A9E60" w14:textId="77777777" w:rsidR="001C5F76" w:rsidRPr="00485F85" w:rsidRDefault="001C5F76" w:rsidP="00DE19E1">
            <w:pPr>
              <w:spacing w:line="360" w:lineRule="auto"/>
              <w:jc w:val="both"/>
              <w:rPr>
                <w:rFonts w:asciiTheme="majorHAnsi" w:hAnsiTheme="majorHAnsi" w:cstheme="majorHAnsi"/>
                <w:b w:val="0"/>
                <w:bCs w:val="0"/>
              </w:rPr>
            </w:pPr>
          </w:p>
          <w:p w14:paraId="7E6A9B84" w14:textId="77777777" w:rsidR="001C5F76" w:rsidRPr="00485F85" w:rsidRDefault="001C5F76" w:rsidP="00DE19E1">
            <w:pPr>
              <w:spacing w:line="360" w:lineRule="auto"/>
              <w:jc w:val="both"/>
              <w:rPr>
                <w:rFonts w:asciiTheme="majorHAnsi" w:hAnsiTheme="majorHAnsi" w:cstheme="majorHAnsi"/>
                <w:b w:val="0"/>
                <w:bCs w:val="0"/>
              </w:rPr>
            </w:pPr>
          </w:p>
          <w:p w14:paraId="5ADD2491" w14:textId="77777777" w:rsidR="001C5F76" w:rsidRPr="00485F85" w:rsidRDefault="001C5F76" w:rsidP="00DE19E1">
            <w:pPr>
              <w:spacing w:line="360" w:lineRule="auto"/>
              <w:jc w:val="both"/>
              <w:rPr>
                <w:rFonts w:asciiTheme="majorHAnsi" w:hAnsiTheme="majorHAnsi" w:cstheme="majorHAnsi"/>
                <w:b w:val="0"/>
                <w:bCs w:val="0"/>
              </w:rPr>
            </w:pPr>
          </w:p>
          <w:p w14:paraId="70D0B433" w14:textId="77777777" w:rsidR="001C5F76" w:rsidRPr="00485F85" w:rsidRDefault="001C5F76" w:rsidP="00DE19E1">
            <w:pPr>
              <w:spacing w:line="360" w:lineRule="auto"/>
              <w:jc w:val="both"/>
              <w:rPr>
                <w:rFonts w:asciiTheme="majorHAnsi" w:hAnsiTheme="majorHAnsi" w:cstheme="majorHAnsi"/>
                <w:b w:val="0"/>
                <w:bCs w:val="0"/>
              </w:rPr>
            </w:pPr>
          </w:p>
          <w:p w14:paraId="119E0D74" w14:textId="77777777" w:rsidR="001C5F76" w:rsidRPr="00485F85" w:rsidRDefault="001C5F76" w:rsidP="00DE19E1">
            <w:pPr>
              <w:spacing w:line="360" w:lineRule="auto"/>
              <w:jc w:val="both"/>
              <w:rPr>
                <w:rFonts w:asciiTheme="majorHAnsi" w:hAnsiTheme="majorHAnsi" w:cstheme="majorHAnsi"/>
                <w:b w:val="0"/>
                <w:bCs w:val="0"/>
              </w:rPr>
            </w:pPr>
          </w:p>
          <w:p w14:paraId="7776D79B" w14:textId="77777777" w:rsidR="001C5F76" w:rsidRPr="00485F85" w:rsidRDefault="001C5F76" w:rsidP="00DE19E1">
            <w:pPr>
              <w:spacing w:line="360" w:lineRule="auto"/>
              <w:jc w:val="both"/>
              <w:rPr>
                <w:rFonts w:asciiTheme="majorHAnsi" w:hAnsiTheme="majorHAnsi" w:cstheme="majorHAnsi"/>
                <w:b w:val="0"/>
              </w:rPr>
            </w:pPr>
          </w:p>
        </w:tc>
      </w:tr>
    </w:tbl>
    <w:p w14:paraId="11AF00F4" w14:textId="77777777" w:rsidR="00DE19E1" w:rsidRPr="00485F85" w:rsidRDefault="00DE19E1" w:rsidP="00DE19E1">
      <w:pPr>
        <w:spacing w:line="360" w:lineRule="auto"/>
        <w:jc w:val="both"/>
        <w:rPr>
          <w:rFonts w:asciiTheme="majorHAnsi" w:hAnsiTheme="majorHAnsi" w:cstheme="majorHAnsi"/>
          <w:b/>
        </w:rPr>
      </w:pPr>
    </w:p>
    <w:p w14:paraId="4388A9AF" w14:textId="77777777" w:rsidR="00DE19E1" w:rsidRDefault="00DE19E1">
      <w:r>
        <w:rPr>
          <w:b/>
          <w:bCs/>
        </w:rPr>
        <w:br w:type="page"/>
      </w:r>
    </w:p>
    <w:tbl>
      <w:tblPr>
        <w:tblStyle w:val="TabeladeLista6Colorida-nfase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429"/>
        <w:gridCol w:w="2471"/>
        <w:gridCol w:w="1710"/>
        <w:gridCol w:w="1607"/>
      </w:tblGrid>
      <w:tr w:rsidR="00E3523A" w:rsidRPr="00E3523A" w14:paraId="3CF00CC3" w14:textId="77777777" w:rsidTr="00E35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5"/>
            <w:shd w:val="clear" w:color="auto" w:fill="4875BD" w:themeFill="accent1"/>
          </w:tcPr>
          <w:p w14:paraId="478B0FF5" w14:textId="719A324D" w:rsidR="001C5F76" w:rsidRPr="00E3523A" w:rsidRDefault="001C5F76" w:rsidP="00DD5B0C">
            <w:pPr>
              <w:spacing w:line="360" w:lineRule="auto"/>
              <w:jc w:val="both"/>
              <w:rPr>
                <w:rFonts w:asciiTheme="majorHAnsi" w:hAnsiTheme="majorHAnsi" w:cstheme="majorHAnsi"/>
                <w:b w:val="0"/>
                <w:color w:val="FFFFFF" w:themeColor="background1"/>
              </w:rPr>
            </w:pPr>
            <w:r w:rsidRPr="00E3523A">
              <w:rPr>
                <w:rFonts w:asciiTheme="majorHAnsi" w:hAnsiTheme="majorHAnsi" w:cstheme="majorHAnsi"/>
                <w:color w:val="FFFFFF" w:themeColor="background1"/>
              </w:rPr>
              <w:lastRenderedPageBreak/>
              <w:t>Dimensão 11. Impacto para a comunidade local</w:t>
            </w:r>
          </w:p>
        </w:tc>
      </w:tr>
      <w:tr w:rsidR="001C5F76" w:rsidRPr="00485F85" w14:paraId="3A014275" w14:textId="77777777" w:rsidTr="00DD5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5"/>
          </w:tcPr>
          <w:p w14:paraId="602657C0" w14:textId="77777777" w:rsidR="001C5F76" w:rsidRPr="00485F85" w:rsidRDefault="001C5F76" w:rsidP="00DD5B0C">
            <w:pPr>
              <w:spacing w:line="360" w:lineRule="auto"/>
              <w:jc w:val="both"/>
              <w:rPr>
                <w:rFonts w:asciiTheme="majorHAnsi" w:hAnsiTheme="majorHAnsi" w:cstheme="majorHAnsi"/>
                <w:b w:val="0"/>
                <w:u w:val="single"/>
              </w:rPr>
            </w:pPr>
            <w:r w:rsidRPr="00485F85">
              <w:rPr>
                <w:rFonts w:asciiTheme="majorHAnsi" w:hAnsiTheme="majorHAnsi" w:cstheme="majorHAnsi"/>
              </w:rPr>
              <w:t>11.1. Dados sobre o perfil socioeconômico dos ingressantes e concluintes: pode dar uma ideia do quanto a IES contribui para o acesso das diferentes camadas sociais</w:t>
            </w:r>
          </w:p>
        </w:tc>
      </w:tr>
      <w:tr w:rsidR="001C5F76" w:rsidRPr="00485F85" w14:paraId="410F6197" w14:textId="77777777" w:rsidTr="00DD5B0C">
        <w:tc>
          <w:tcPr>
            <w:cnfStyle w:val="001000000000" w:firstRow="0" w:lastRow="0" w:firstColumn="1" w:lastColumn="0" w:oddVBand="0" w:evenVBand="0" w:oddHBand="0" w:evenHBand="0" w:firstRowFirstColumn="0" w:firstRowLastColumn="0" w:lastRowFirstColumn="0" w:lastRowLastColumn="0"/>
            <w:tcW w:w="1672" w:type="dxa"/>
          </w:tcPr>
          <w:p w14:paraId="5D5F56F2"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Perfil de Renda Ingressante</w:t>
            </w:r>
          </w:p>
        </w:tc>
        <w:tc>
          <w:tcPr>
            <w:tcW w:w="2429" w:type="dxa"/>
          </w:tcPr>
          <w:p w14:paraId="2D9776F4"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Perfil Renda</w:t>
            </w:r>
          </w:p>
          <w:p w14:paraId="26BB3DD7"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Concluinte</w:t>
            </w:r>
          </w:p>
        </w:tc>
        <w:tc>
          <w:tcPr>
            <w:tcW w:w="2471" w:type="dxa"/>
          </w:tcPr>
          <w:p w14:paraId="78403AB7"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Perfil Raça/Cor</w:t>
            </w:r>
          </w:p>
        </w:tc>
        <w:tc>
          <w:tcPr>
            <w:tcW w:w="1710" w:type="dxa"/>
          </w:tcPr>
          <w:p w14:paraId="531987F9"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Perfil Sexo</w:t>
            </w:r>
          </w:p>
        </w:tc>
        <w:tc>
          <w:tcPr>
            <w:tcW w:w="1607" w:type="dxa"/>
          </w:tcPr>
          <w:p w14:paraId="1582414A"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Perfil Etário</w:t>
            </w:r>
          </w:p>
        </w:tc>
      </w:tr>
      <w:tr w:rsidR="001C5F76" w:rsidRPr="00485F85" w14:paraId="2C3E2238" w14:textId="77777777" w:rsidTr="00DD5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061FB00E" w14:textId="77777777" w:rsidR="001C5F76" w:rsidRPr="00485F85" w:rsidRDefault="001C5F76" w:rsidP="00DD5B0C">
            <w:pPr>
              <w:spacing w:line="360" w:lineRule="auto"/>
              <w:rPr>
                <w:rFonts w:asciiTheme="majorHAnsi" w:hAnsiTheme="majorHAnsi" w:cstheme="majorHAnsi"/>
                <w:b w:val="0"/>
                <w:bCs w:val="0"/>
                <w:sz w:val="20"/>
                <w:szCs w:val="20"/>
              </w:rPr>
            </w:pPr>
          </w:p>
          <w:p w14:paraId="08B1C688" w14:textId="77777777" w:rsidR="001C5F76" w:rsidRPr="00485F85" w:rsidRDefault="001C5F76" w:rsidP="00DD5B0C">
            <w:pPr>
              <w:spacing w:line="360" w:lineRule="auto"/>
              <w:rPr>
                <w:rFonts w:asciiTheme="majorHAnsi" w:hAnsiTheme="majorHAnsi" w:cstheme="majorHAnsi"/>
                <w:b w:val="0"/>
                <w:bCs w:val="0"/>
                <w:sz w:val="20"/>
                <w:szCs w:val="20"/>
              </w:rPr>
            </w:pPr>
          </w:p>
          <w:p w14:paraId="271A00C9" w14:textId="77777777" w:rsidR="001C5F76" w:rsidRPr="00485F85" w:rsidRDefault="001C5F76" w:rsidP="00DD5B0C">
            <w:pPr>
              <w:spacing w:line="360" w:lineRule="auto"/>
              <w:rPr>
                <w:rFonts w:asciiTheme="majorHAnsi" w:hAnsiTheme="majorHAnsi" w:cstheme="majorHAnsi"/>
                <w:b w:val="0"/>
                <w:bCs w:val="0"/>
                <w:sz w:val="20"/>
                <w:szCs w:val="20"/>
              </w:rPr>
            </w:pPr>
          </w:p>
          <w:p w14:paraId="2B9CED65" w14:textId="77777777" w:rsidR="001C5F76" w:rsidRPr="00485F85" w:rsidRDefault="001C5F76" w:rsidP="00DD5B0C">
            <w:pPr>
              <w:spacing w:line="360" w:lineRule="auto"/>
              <w:rPr>
                <w:rFonts w:asciiTheme="majorHAnsi" w:hAnsiTheme="majorHAnsi" w:cstheme="majorHAnsi"/>
                <w:b w:val="0"/>
                <w:bCs w:val="0"/>
                <w:sz w:val="20"/>
                <w:szCs w:val="20"/>
                <w:u w:val="single"/>
              </w:rPr>
            </w:pPr>
            <w:r w:rsidRPr="00485F85">
              <w:rPr>
                <w:rFonts w:asciiTheme="majorHAnsi" w:hAnsiTheme="majorHAnsi" w:cstheme="majorHAnsi"/>
                <w:sz w:val="20"/>
                <w:szCs w:val="20"/>
              </w:rPr>
              <w:t>Perfil de Renda Ingressante</w:t>
            </w:r>
          </w:p>
        </w:tc>
        <w:tc>
          <w:tcPr>
            <w:tcW w:w="8217" w:type="dxa"/>
            <w:gridSpan w:val="4"/>
          </w:tcPr>
          <w:p w14:paraId="3E4C1562"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07DD1457"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476208E0"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As tabelas abaixo mostram o número de candidaturas, ofertas e alunos admitidos dos dois grupos mais desfavorecidos sócio-economicamente (ACORN categorias 4 e 5) e os dois grupos de jovens com menos probabilidade de progredir para o ensino superior (quintis POLAR 1 e 2 )</w:t>
            </w:r>
          </w:p>
          <w:p w14:paraId="16FB46DB"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Fonte: </w:t>
            </w:r>
            <w:hyperlink r:id="rId216" w:history="1">
              <w:r w:rsidRPr="00485F85">
                <w:rPr>
                  <w:rFonts w:asciiTheme="majorHAnsi" w:hAnsiTheme="majorHAnsi" w:cstheme="majorHAnsi"/>
                  <w:bCs/>
                  <w:color w:val="4875BD" w:themeColor="accent1"/>
                  <w:u w:val="single"/>
                </w:rPr>
                <w:t>https://www.ox.ac.uk/about/facts-and-figures/admissions-statistics/undergraduate-students/current/disadvantage</w:t>
              </w:r>
            </w:hyperlink>
            <w:r w:rsidRPr="00485F85">
              <w:rPr>
                <w:rFonts w:asciiTheme="majorHAnsi" w:hAnsiTheme="majorHAnsi" w:cstheme="majorHAnsi"/>
                <w:bCs/>
              </w:rPr>
              <w:t xml:space="preserve"> </w:t>
            </w:r>
          </w:p>
          <w:p w14:paraId="40D9EBFE"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033F3E1A"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bl>
    <w:tbl>
      <w:tblPr>
        <w:tblW w:w="9923" w:type="dxa"/>
        <w:tblInd w:w="-72" w:type="dxa"/>
        <w:tblCellMar>
          <w:left w:w="70" w:type="dxa"/>
          <w:right w:w="70" w:type="dxa"/>
        </w:tblCellMar>
        <w:tblLook w:val="04A0" w:firstRow="1" w:lastRow="0" w:firstColumn="1" w:lastColumn="0" w:noHBand="0" w:noVBand="1"/>
      </w:tblPr>
      <w:tblGrid>
        <w:gridCol w:w="2172"/>
        <w:gridCol w:w="1220"/>
        <w:gridCol w:w="1600"/>
        <w:gridCol w:w="1140"/>
        <w:gridCol w:w="3791"/>
      </w:tblGrid>
      <w:tr w:rsidR="001C5F76" w:rsidRPr="00485F85" w14:paraId="32131A5F" w14:textId="77777777" w:rsidTr="00DD5B0C">
        <w:trPr>
          <w:trHeight w:val="1500"/>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8FB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Ano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19D5A5E"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5CA0776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312820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3791" w:type="dxa"/>
            <w:tcBorders>
              <w:top w:val="single" w:sz="4" w:space="0" w:color="auto"/>
              <w:left w:val="nil"/>
              <w:bottom w:val="single" w:sz="4" w:space="0" w:color="auto"/>
              <w:right w:val="single" w:sz="4" w:space="0" w:color="auto"/>
            </w:tcBorders>
            <w:shd w:val="clear" w:color="auto" w:fill="auto"/>
            <w:vAlign w:val="center"/>
            <w:hideMark/>
          </w:tcPr>
          <w:p w14:paraId="4813939F"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ACORN 4 e 5 Proporção do total de alunos admitidos no Reino Unido 7</w:t>
            </w:r>
          </w:p>
        </w:tc>
      </w:tr>
      <w:tr w:rsidR="001C5F76" w:rsidRPr="00485F85" w14:paraId="01ACF742" w14:textId="77777777" w:rsidTr="00DD5B0C">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21E77FA9"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2020</w:t>
            </w:r>
          </w:p>
        </w:tc>
        <w:tc>
          <w:tcPr>
            <w:tcW w:w="1220" w:type="dxa"/>
            <w:tcBorders>
              <w:top w:val="nil"/>
              <w:left w:val="nil"/>
              <w:bottom w:val="single" w:sz="4" w:space="0" w:color="auto"/>
              <w:right w:val="single" w:sz="4" w:space="0" w:color="auto"/>
            </w:tcBorders>
            <w:shd w:val="clear" w:color="auto" w:fill="auto"/>
            <w:noWrap/>
            <w:vAlign w:val="center"/>
            <w:hideMark/>
          </w:tcPr>
          <w:p w14:paraId="4919455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495</w:t>
            </w:r>
          </w:p>
        </w:tc>
        <w:tc>
          <w:tcPr>
            <w:tcW w:w="1600" w:type="dxa"/>
            <w:tcBorders>
              <w:top w:val="nil"/>
              <w:left w:val="nil"/>
              <w:bottom w:val="single" w:sz="4" w:space="0" w:color="auto"/>
              <w:right w:val="single" w:sz="4" w:space="0" w:color="auto"/>
            </w:tcBorders>
            <w:shd w:val="clear" w:color="auto" w:fill="auto"/>
            <w:noWrap/>
            <w:vAlign w:val="center"/>
            <w:hideMark/>
          </w:tcPr>
          <w:p w14:paraId="6987123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2.316</w:t>
            </w:r>
          </w:p>
        </w:tc>
        <w:tc>
          <w:tcPr>
            <w:tcW w:w="1140" w:type="dxa"/>
            <w:tcBorders>
              <w:top w:val="nil"/>
              <w:left w:val="nil"/>
              <w:bottom w:val="single" w:sz="4" w:space="0" w:color="auto"/>
              <w:right w:val="single" w:sz="4" w:space="0" w:color="auto"/>
            </w:tcBorders>
            <w:shd w:val="clear" w:color="auto" w:fill="auto"/>
            <w:noWrap/>
            <w:vAlign w:val="center"/>
            <w:hideMark/>
          </w:tcPr>
          <w:p w14:paraId="7DD2DDD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467</w:t>
            </w:r>
          </w:p>
        </w:tc>
        <w:tc>
          <w:tcPr>
            <w:tcW w:w="3791" w:type="dxa"/>
            <w:tcBorders>
              <w:top w:val="nil"/>
              <w:left w:val="nil"/>
              <w:bottom w:val="single" w:sz="4" w:space="0" w:color="auto"/>
              <w:right w:val="single" w:sz="4" w:space="0" w:color="auto"/>
            </w:tcBorders>
            <w:shd w:val="clear" w:color="auto" w:fill="auto"/>
            <w:noWrap/>
            <w:vAlign w:val="center"/>
            <w:hideMark/>
          </w:tcPr>
          <w:p w14:paraId="1D953F6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15,90%</w:t>
            </w:r>
          </w:p>
        </w:tc>
      </w:tr>
      <w:tr w:rsidR="001C5F76" w:rsidRPr="00485F85" w14:paraId="2251ABF6" w14:textId="77777777" w:rsidTr="00DD5B0C">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639646F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2019</w:t>
            </w:r>
          </w:p>
        </w:tc>
        <w:tc>
          <w:tcPr>
            <w:tcW w:w="1220" w:type="dxa"/>
            <w:tcBorders>
              <w:top w:val="nil"/>
              <w:left w:val="nil"/>
              <w:bottom w:val="single" w:sz="4" w:space="0" w:color="auto"/>
              <w:right w:val="single" w:sz="4" w:space="0" w:color="auto"/>
            </w:tcBorders>
            <w:shd w:val="clear" w:color="auto" w:fill="auto"/>
            <w:noWrap/>
            <w:vAlign w:val="center"/>
            <w:hideMark/>
          </w:tcPr>
          <w:p w14:paraId="172E319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418</w:t>
            </w:r>
          </w:p>
        </w:tc>
        <w:tc>
          <w:tcPr>
            <w:tcW w:w="1600" w:type="dxa"/>
            <w:tcBorders>
              <w:top w:val="nil"/>
              <w:left w:val="nil"/>
              <w:bottom w:val="single" w:sz="4" w:space="0" w:color="auto"/>
              <w:right w:val="single" w:sz="4" w:space="0" w:color="auto"/>
            </w:tcBorders>
            <w:shd w:val="clear" w:color="auto" w:fill="auto"/>
            <w:noWrap/>
            <w:vAlign w:val="center"/>
            <w:hideMark/>
          </w:tcPr>
          <w:p w14:paraId="6231BBAF"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2.097</w:t>
            </w:r>
          </w:p>
        </w:tc>
        <w:tc>
          <w:tcPr>
            <w:tcW w:w="1140" w:type="dxa"/>
            <w:tcBorders>
              <w:top w:val="nil"/>
              <w:left w:val="nil"/>
              <w:bottom w:val="single" w:sz="4" w:space="0" w:color="auto"/>
              <w:right w:val="single" w:sz="4" w:space="0" w:color="auto"/>
            </w:tcBorders>
            <w:shd w:val="clear" w:color="auto" w:fill="auto"/>
            <w:noWrap/>
            <w:vAlign w:val="center"/>
            <w:hideMark/>
          </w:tcPr>
          <w:p w14:paraId="28FA012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313</w:t>
            </w:r>
          </w:p>
        </w:tc>
        <w:tc>
          <w:tcPr>
            <w:tcW w:w="3791" w:type="dxa"/>
            <w:tcBorders>
              <w:top w:val="nil"/>
              <w:left w:val="nil"/>
              <w:bottom w:val="single" w:sz="4" w:space="0" w:color="auto"/>
              <w:right w:val="single" w:sz="4" w:space="0" w:color="auto"/>
            </w:tcBorders>
            <w:shd w:val="clear" w:color="auto" w:fill="auto"/>
            <w:noWrap/>
            <w:vAlign w:val="center"/>
            <w:hideMark/>
          </w:tcPr>
          <w:p w14:paraId="1A0A906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12,20%</w:t>
            </w:r>
          </w:p>
        </w:tc>
      </w:tr>
      <w:tr w:rsidR="001C5F76" w:rsidRPr="00485F85" w14:paraId="33FE7687" w14:textId="77777777" w:rsidTr="00DD5B0C">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323EC439"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2018</w:t>
            </w:r>
          </w:p>
        </w:tc>
        <w:tc>
          <w:tcPr>
            <w:tcW w:w="1220" w:type="dxa"/>
            <w:tcBorders>
              <w:top w:val="nil"/>
              <w:left w:val="nil"/>
              <w:bottom w:val="single" w:sz="4" w:space="0" w:color="auto"/>
              <w:right w:val="single" w:sz="4" w:space="0" w:color="auto"/>
            </w:tcBorders>
            <w:shd w:val="clear" w:color="auto" w:fill="auto"/>
            <w:noWrap/>
            <w:vAlign w:val="center"/>
            <w:hideMark/>
          </w:tcPr>
          <w:p w14:paraId="2CFA9FF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379</w:t>
            </w:r>
          </w:p>
        </w:tc>
        <w:tc>
          <w:tcPr>
            <w:tcW w:w="1600" w:type="dxa"/>
            <w:tcBorders>
              <w:top w:val="nil"/>
              <w:left w:val="nil"/>
              <w:bottom w:val="single" w:sz="4" w:space="0" w:color="auto"/>
              <w:right w:val="single" w:sz="4" w:space="0" w:color="auto"/>
            </w:tcBorders>
            <w:shd w:val="clear" w:color="auto" w:fill="auto"/>
            <w:noWrap/>
            <w:vAlign w:val="center"/>
            <w:hideMark/>
          </w:tcPr>
          <w:p w14:paraId="25D797B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1.872</w:t>
            </w:r>
          </w:p>
        </w:tc>
        <w:tc>
          <w:tcPr>
            <w:tcW w:w="1140" w:type="dxa"/>
            <w:tcBorders>
              <w:top w:val="nil"/>
              <w:left w:val="nil"/>
              <w:bottom w:val="single" w:sz="4" w:space="0" w:color="auto"/>
              <w:right w:val="single" w:sz="4" w:space="0" w:color="auto"/>
            </w:tcBorders>
            <w:shd w:val="clear" w:color="auto" w:fill="auto"/>
            <w:noWrap/>
            <w:vAlign w:val="center"/>
            <w:hideMark/>
          </w:tcPr>
          <w:p w14:paraId="5AE4A1F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289</w:t>
            </w:r>
          </w:p>
        </w:tc>
        <w:tc>
          <w:tcPr>
            <w:tcW w:w="3791" w:type="dxa"/>
            <w:tcBorders>
              <w:top w:val="nil"/>
              <w:left w:val="nil"/>
              <w:bottom w:val="single" w:sz="4" w:space="0" w:color="auto"/>
              <w:right w:val="single" w:sz="4" w:space="0" w:color="auto"/>
            </w:tcBorders>
            <w:shd w:val="clear" w:color="auto" w:fill="auto"/>
            <w:noWrap/>
            <w:vAlign w:val="center"/>
            <w:hideMark/>
          </w:tcPr>
          <w:p w14:paraId="10269A6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11,30%</w:t>
            </w:r>
          </w:p>
        </w:tc>
      </w:tr>
      <w:tr w:rsidR="001C5F76" w:rsidRPr="00485F85" w14:paraId="7E342BDD" w14:textId="77777777" w:rsidTr="00DD5B0C">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4415DE5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2017</w:t>
            </w:r>
          </w:p>
        </w:tc>
        <w:tc>
          <w:tcPr>
            <w:tcW w:w="1220" w:type="dxa"/>
            <w:tcBorders>
              <w:top w:val="nil"/>
              <w:left w:val="nil"/>
              <w:bottom w:val="single" w:sz="4" w:space="0" w:color="auto"/>
              <w:right w:val="single" w:sz="4" w:space="0" w:color="auto"/>
            </w:tcBorders>
            <w:shd w:val="clear" w:color="auto" w:fill="auto"/>
            <w:noWrap/>
            <w:vAlign w:val="center"/>
            <w:hideMark/>
          </w:tcPr>
          <w:p w14:paraId="15FFFD3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349</w:t>
            </w:r>
          </w:p>
        </w:tc>
        <w:tc>
          <w:tcPr>
            <w:tcW w:w="1600" w:type="dxa"/>
            <w:tcBorders>
              <w:top w:val="nil"/>
              <w:left w:val="nil"/>
              <w:bottom w:val="single" w:sz="4" w:space="0" w:color="auto"/>
              <w:right w:val="single" w:sz="4" w:space="0" w:color="auto"/>
            </w:tcBorders>
            <w:shd w:val="clear" w:color="auto" w:fill="auto"/>
            <w:noWrap/>
            <w:vAlign w:val="center"/>
            <w:hideMark/>
          </w:tcPr>
          <w:p w14:paraId="18A1C44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1.660</w:t>
            </w:r>
          </w:p>
        </w:tc>
        <w:tc>
          <w:tcPr>
            <w:tcW w:w="1140" w:type="dxa"/>
            <w:tcBorders>
              <w:top w:val="nil"/>
              <w:left w:val="nil"/>
              <w:bottom w:val="single" w:sz="4" w:space="0" w:color="auto"/>
              <w:right w:val="single" w:sz="4" w:space="0" w:color="auto"/>
            </w:tcBorders>
            <w:shd w:val="clear" w:color="auto" w:fill="auto"/>
            <w:noWrap/>
            <w:vAlign w:val="center"/>
            <w:hideMark/>
          </w:tcPr>
          <w:p w14:paraId="10F3B27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269</w:t>
            </w:r>
          </w:p>
        </w:tc>
        <w:tc>
          <w:tcPr>
            <w:tcW w:w="3791" w:type="dxa"/>
            <w:tcBorders>
              <w:top w:val="nil"/>
              <w:left w:val="nil"/>
              <w:bottom w:val="single" w:sz="4" w:space="0" w:color="auto"/>
              <w:right w:val="single" w:sz="4" w:space="0" w:color="auto"/>
            </w:tcBorders>
            <w:shd w:val="clear" w:color="auto" w:fill="auto"/>
            <w:noWrap/>
            <w:vAlign w:val="center"/>
            <w:hideMark/>
          </w:tcPr>
          <w:p w14:paraId="7012041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10,60%</w:t>
            </w:r>
          </w:p>
        </w:tc>
      </w:tr>
      <w:tr w:rsidR="001C5F76" w:rsidRPr="00485F85" w14:paraId="2A915AD3" w14:textId="77777777" w:rsidTr="00DD5B0C">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3283B5FF"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2016</w:t>
            </w:r>
          </w:p>
        </w:tc>
        <w:tc>
          <w:tcPr>
            <w:tcW w:w="1220" w:type="dxa"/>
            <w:tcBorders>
              <w:top w:val="nil"/>
              <w:left w:val="nil"/>
              <w:bottom w:val="single" w:sz="4" w:space="0" w:color="auto"/>
              <w:right w:val="single" w:sz="4" w:space="0" w:color="auto"/>
            </w:tcBorders>
            <w:shd w:val="clear" w:color="auto" w:fill="auto"/>
            <w:noWrap/>
            <w:vAlign w:val="center"/>
            <w:hideMark/>
          </w:tcPr>
          <w:p w14:paraId="01E9C31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272</w:t>
            </w:r>
          </w:p>
        </w:tc>
        <w:tc>
          <w:tcPr>
            <w:tcW w:w="1600" w:type="dxa"/>
            <w:tcBorders>
              <w:top w:val="nil"/>
              <w:left w:val="nil"/>
              <w:bottom w:val="single" w:sz="4" w:space="0" w:color="auto"/>
              <w:right w:val="single" w:sz="4" w:space="0" w:color="auto"/>
            </w:tcBorders>
            <w:shd w:val="clear" w:color="auto" w:fill="auto"/>
            <w:noWrap/>
            <w:vAlign w:val="center"/>
            <w:hideMark/>
          </w:tcPr>
          <w:p w14:paraId="7FEE1FD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1.351</w:t>
            </w:r>
          </w:p>
        </w:tc>
        <w:tc>
          <w:tcPr>
            <w:tcW w:w="1140" w:type="dxa"/>
            <w:tcBorders>
              <w:top w:val="nil"/>
              <w:left w:val="nil"/>
              <w:bottom w:val="single" w:sz="4" w:space="0" w:color="auto"/>
              <w:right w:val="single" w:sz="4" w:space="0" w:color="auto"/>
            </w:tcBorders>
            <w:shd w:val="clear" w:color="auto" w:fill="auto"/>
            <w:noWrap/>
            <w:vAlign w:val="center"/>
            <w:hideMark/>
          </w:tcPr>
          <w:p w14:paraId="6D47ACA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216</w:t>
            </w:r>
          </w:p>
        </w:tc>
        <w:tc>
          <w:tcPr>
            <w:tcW w:w="3791" w:type="dxa"/>
            <w:tcBorders>
              <w:top w:val="nil"/>
              <w:left w:val="nil"/>
              <w:bottom w:val="single" w:sz="4" w:space="0" w:color="auto"/>
              <w:right w:val="single" w:sz="4" w:space="0" w:color="auto"/>
            </w:tcBorders>
            <w:shd w:val="clear" w:color="auto" w:fill="auto"/>
            <w:noWrap/>
            <w:vAlign w:val="center"/>
            <w:hideMark/>
          </w:tcPr>
          <w:p w14:paraId="71B7930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8,20%</w:t>
            </w:r>
          </w:p>
        </w:tc>
      </w:tr>
    </w:tbl>
    <w:tbl>
      <w:tblPr>
        <w:tblStyle w:val="Tabelacomgrade2"/>
        <w:tblW w:w="9888" w:type="dxa"/>
        <w:tblInd w:w="-34" w:type="dxa"/>
        <w:tblLook w:val="04A0" w:firstRow="1" w:lastRow="0" w:firstColumn="1" w:lastColumn="0" w:noHBand="0" w:noVBand="1"/>
      </w:tblPr>
      <w:tblGrid>
        <w:gridCol w:w="1050"/>
        <w:gridCol w:w="8838"/>
      </w:tblGrid>
      <w:tr w:rsidR="00E3523A" w:rsidRPr="00485F85" w14:paraId="2139DC49" w14:textId="77777777" w:rsidTr="00E3523A">
        <w:tc>
          <w:tcPr>
            <w:tcW w:w="1560" w:type="dxa"/>
          </w:tcPr>
          <w:p w14:paraId="2556294B" w14:textId="77777777" w:rsidR="001C5F76" w:rsidRPr="00485F85" w:rsidRDefault="001C5F76" w:rsidP="00DD5B0C">
            <w:pPr>
              <w:spacing w:line="360" w:lineRule="auto"/>
              <w:rPr>
                <w:rFonts w:asciiTheme="majorHAnsi" w:hAnsiTheme="majorHAnsi" w:cstheme="majorHAnsi"/>
                <w:b/>
                <w:bCs/>
                <w:sz w:val="20"/>
                <w:szCs w:val="20"/>
              </w:rPr>
            </w:pPr>
            <w:r w:rsidRPr="00485F85">
              <w:rPr>
                <w:rFonts w:asciiTheme="majorHAnsi" w:hAnsiTheme="majorHAnsi" w:cstheme="majorHAnsi"/>
                <w:b/>
                <w:bCs/>
                <w:sz w:val="20"/>
                <w:szCs w:val="20"/>
              </w:rPr>
              <w:t>Perfil Renda</w:t>
            </w:r>
          </w:p>
          <w:p w14:paraId="757AF783" w14:textId="77777777" w:rsidR="001C5F76" w:rsidRPr="00485F85" w:rsidRDefault="001C5F76" w:rsidP="00DD5B0C">
            <w:pPr>
              <w:spacing w:line="360" w:lineRule="auto"/>
              <w:rPr>
                <w:rFonts w:asciiTheme="majorHAnsi" w:hAnsiTheme="majorHAnsi" w:cstheme="majorHAnsi"/>
                <w:b/>
                <w:bCs/>
                <w:sz w:val="20"/>
                <w:szCs w:val="20"/>
              </w:rPr>
            </w:pPr>
            <w:r w:rsidRPr="00485F85">
              <w:rPr>
                <w:rFonts w:asciiTheme="majorHAnsi" w:hAnsiTheme="majorHAnsi" w:cstheme="majorHAnsi"/>
                <w:b/>
                <w:bCs/>
                <w:sz w:val="20"/>
                <w:szCs w:val="20"/>
              </w:rPr>
              <w:t>Concluinte</w:t>
            </w:r>
          </w:p>
        </w:tc>
        <w:tc>
          <w:tcPr>
            <w:tcW w:w="8328" w:type="dxa"/>
          </w:tcPr>
          <w:p w14:paraId="0976518E" w14:textId="77777777" w:rsidR="001C5F76" w:rsidRPr="00485F85" w:rsidRDefault="001C5F76" w:rsidP="00DD5B0C">
            <w:pPr>
              <w:spacing w:line="360" w:lineRule="auto"/>
              <w:rPr>
                <w:rFonts w:asciiTheme="majorHAnsi" w:hAnsiTheme="majorHAnsi" w:cstheme="majorHAnsi"/>
                <w:bCs/>
              </w:rPr>
            </w:pPr>
          </w:p>
          <w:p w14:paraId="1B237CE5" w14:textId="77777777" w:rsidR="001C5F76" w:rsidRPr="00485F85" w:rsidRDefault="001C5F76" w:rsidP="00DD5B0C">
            <w:pPr>
              <w:spacing w:line="360" w:lineRule="auto"/>
              <w:rPr>
                <w:rFonts w:asciiTheme="majorHAnsi" w:hAnsiTheme="majorHAnsi" w:cstheme="majorHAnsi"/>
                <w:bCs/>
              </w:rPr>
            </w:pPr>
            <w:r w:rsidRPr="00485F85">
              <w:rPr>
                <w:rFonts w:asciiTheme="majorHAnsi" w:hAnsiTheme="majorHAnsi" w:cstheme="majorHAnsi"/>
                <w:bCs/>
              </w:rPr>
              <w:t>Fonte:</w:t>
            </w:r>
            <w:hyperlink r:id="rId217" w:history="1">
              <w:r w:rsidRPr="00485F85">
                <w:rPr>
                  <w:rFonts w:asciiTheme="majorHAnsi" w:hAnsiTheme="majorHAnsi" w:cstheme="majorHAnsi"/>
                  <w:bCs/>
                  <w:color w:val="4875BD" w:themeColor="accent1"/>
                  <w:u w:val="single"/>
                </w:rPr>
                <w:t>https://public.tableau.com/views/UniversityofOxford-DLHESurvey/Salaries?%3Aembed=y&amp;%3Adisplay_count=yes&amp;%3AshowTabs=y&amp;%3AshowVizHome=no</w:t>
              </w:r>
            </w:hyperlink>
            <w:r w:rsidRPr="00485F85">
              <w:rPr>
                <w:rFonts w:asciiTheme="majorHAnsi" w:hAnsiTheme="majorHAnsi" w:cstheme="majorHAnsi"/>
                <w:bCs/>
              </w:rPr>
              <w:t xml:space="preserve"> A tabela foi criada com as médias apresentadas no link. Informação cedida pelos alunos egressos 6 meses depois de concluir seus estudos de graduação.</w:t>
            </w:r>
          </w:p>
          <w:p w14:paraId="3B7B1B88" w14:textId="77777777" w:rsidR="001C5F76" w:rsidRPr="00485F85" w:rsidRDefault="001C5F76" w:rsidP="00DD5B0C">
            <w:pPr>
              <w:spacing w:line="360" w:lineRule="auto"/>
              <w:rPr>
                <w:rFonts w:asciiTheme="majorHAnsi" w:hAnsiTheme="majorHAnsi" w:cstheme="majorHAnsi"/>
                <w:bCs/>
              </w:rPr>
            </w:pPr>
          </w:p>
          <w:p w14:paraId="7CDC0F0A" w14:textId="77777777" w:rsidR="001C5F76" w:rsidRPr="00485F85" w:rsidRDefault="001C5F76" w:rsidP="00DD5B0C">
            <w:pPr>
              <w:spacing w:line="360" w:lineRule="auto"/>
              <w:rPr>
                <w:rFonts w:asciiTheme="majorHAnsi" w:hAnsiTheme="majorHAnsi" w:cstheme="majorHAnsi"/>
                <w:bCs/>
              </w:rPr>
            </w:pPr>
          </w:p>
        </w:tc>
      </w:tr>
    </w:tbl>
    <w:tbl>
      <w:tblPr>
        <w:tblW w:w="9923" w:type="dxa"/>
        <w:tblInd w:w="-72" w:type="dxa"/>
        <w:tblCellMar>
          <w:left w:w="70" w:type="dxa"/>
          <w:right w:w="70" w:type="dxa"/>
        </w:tblCellMar>
        <w:tblLook w:val="04A0" w:firstRow="1" w:lastRow="0" w:firstColumn="1" w:lastColumn="0" w:noHBand="0" w:noVBand="1"/>
      </w:tblPr>
      <w:tblGrid>
        <w:gridCol w:w="2172"/>
        <w:gridCol w:w="7751"/>
      </w:tblGrid>
      <w:tr w:rsidR="001C5F76" w:rsidRPr="00485F85" w14:paraId="6C3AB087" w14:textId="77777777" w:rsidTr="00E3523A">
        <w:trPr>
          <w:trHeight w:val="600"/>
        </w:trPr>
        <w:tc>
          <w:tcPr>
            <w:tcW w:w="2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4947E"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Divisão Acadêmica </w:t>
            </w:r>
          </w:p>
        </w:tc>
        <w:tc>
          <w:tcPr>
            <w:tcW w:w="7751" w:type="dxa"/>
            <w:tcBorders>
              <w:top w:val="single" w:sz="4" w:space="0" w:color="auto"/>
              <w:left w:val="nil"/>
              <w:bottom w:val="single" w:sz="4" w:space="0" w:color="auto"/>
              <w:right w:val="single" w:sz="4" w:space="0" w:color="auto"/>
            </w:tcBorders>
            <w:shd w:val="clear" w:color="auto" w:fill="auto"/>
            <w:vAlign w:val="center"/>
            <w:hideMark/>
          </w:tcPr>
          <w:p w14:paraId="6781738C"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 Ano 2017</w:t>
            </w:r>
          </w:p>
        </w:tc>
      </w:tr>
      <w:tr w:rsidR="001C5F76" w:rsidRPr="00485F85" w14:paraId="0A5E3678" w14:textId="77777777" w:rsidTr="00E3523A">
        <w:trPr>
          <w:trHeight w:val="169"/>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22930FC0"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Medical Sciences </w:t>
            </w:r>
          </w:p>
        </w:tc>
        <w:tc>
          <w:tcPr>
            <w:tcW w:w="7751" w:type="dxa"/>
            <w:tcBorders>
              <w:top w:val="nil"/>
              <w:left w:val="nil"/>
              <w:bottom w:val="single" w:sz="4" w:space="0" w:color="auto"/>
              <w:right w:val="single" w:sz="4" w:space="0" w:color="auto"/>
            </w:tcBorders>
            <w:shd w:val="clear" w:color="auto" w:fill="auto"/>
            <w:noWrap/>
            <w:vAlign w:val="center"/>
            <w:hideMark/>
          </w:tcPr>
          <w:p w14:paraId="7ECFF105"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£28.000</w:t>
            </w:r>
          </w:p>
        </w:tc>
      </w:tr>
      <w:tr w:rsidR="001C5F76" w:rsidRPr="00485F85" w14:paraId="69222B72" w14:textId="77777777" w:rsidTr="00E3523A">
        <w:trPr>
          <w:trHeight w:val="342"/>
        </w:trPr>
        <w:tc>
          <w:tcPr>
            <w:tcW w:w="2172" w:type="dxa"/>
            <w:tcBorders>
              <w:top w:val="nil"/>
              <w:left w:val="single" w:sz="4" w:space="0" w:color="auto"/>
              <w:bottom w:val="single" w:sz="4" w:space="0" w:color="auto"/>
              <w:right w:val="single" w:sz="4" w:space="0" w:color="auto"/>
            </w:tcBorders>
            <w:shd w:val="clear" w:color="auto" w:fill="auto"/>
            <w:vAlign w:val="center"/>
            <w:hideMark/>
          </w:tcPr>
          <w:p w14:paraId="5B5C5190"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 xml:space="preserve">Social Sciences </w:t>
            </w:r>
          </w:p>
        </w:tc>
        <w:tc>
          <w:tcPr>
            <w:tcW w:w="7751" w:type="dxa"/>
            <w:tcBorders>
              <w:top w:val="nil"/>
              <w:left w:val="nil"/>
              <w:bottom w:val="single" w:sz="4" w:space="0" w:color="auto"/>
              <w:right w:val="single" w:sz="4" w:space="0" w:color="auto"/>
            </w:tcBorders>
            <w:shd w:val="clear" w:color="auto" w:fill="auto"/>
            <w:noWrap/>
            <w:vAlign w:val="center"/>
            <w:hideMark/>
          </w:tcPr>
          <w:p w14:paraId="7FB1F57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£27.000</w:t>
            </w:r>
          </w:p>
        </w:tc>
      </w:tr>
      <w:tr w:rsidR="001C5F76" w:rsidRPr="00485F85" w14:paraId="14E29EF3" w14:textId="77777777" w:rsidTr="00E3523A">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5EE99931"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lastRenderedPageBreak/>
              <w:t xml:space="preserve">MPLS </w:t>
            </w:r>
          </w:p>
        </w:tc>
        <w:tc>
          <w:tcPr>
            <w:tcW w:w="7751" w:type="dxa"/>
            <w:tcBorders>
              <w:top w:val="nil"/>
              <w:left w:val="nil"/>
              <w:bottom w:val="single" w:sz="4" w:space="0" w:color="auto"/>
              <w:right w:val="single" w:sz="4" w:space="0" w:color="auto"/>
            </w:tcBorders>
            <w:shd w:val="clear" w:color="auto" w:fill="auto"/>
            <w:noWrap/>
            <w:vAlign w:val="center"/>
            <w:hideMark/>
          </w:tcPr>
          <w:p w14:paraId="42A6D26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£29.000</w:t>
            </w:r>
          </w:p>
        </w:tc>
      </w:tr>
      <w:tr w:rsidR="001C5F76" w:rsidRPr="00485F85" w14:paraId="3B8C8B85" w14:textId="77777777" w:rsidTr="00E3523A">
        <w:trPr>
          <w:trHeight w:val="300"/>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14:paraId="54F88879"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Humanities</w:t>
            </w:r>
          </w:p>
        </w:tc>
        <w:tc>
          <w:tcPr>
            <w:tcW w:w="7751" w:type="dxa"/>
            <w:tcBorders>
              <w:top w:val="nil"/>
              <w:left w:val="nil"/>
              <w:bottom w:val="single" w:sz="4" w:space="0" w:color="auto"/>
              <w:right w:val="single" w:sz="4" w:space="0" w:color="auto"/>
            </w:tcBorders>
            <w:shd w:val="clear" w:color="auto" w:fill="auto"/>
            <w:noWrap/>
            <w:vAlign w:val="center"/>
            <w:hideMark/>
          </w:tcPr>
          <w:p w14:paraId="5D986CA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£20.000</w:t>
            </w:r>
          </w:p>
        </w:tc>
      </w:tr>
    </w:tbl>
    <w:tbl>
      <w:tblPr>
        <w:tblStyle w:val="TabeladeLista6Colorida-nfase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1137"/>
        <w:gridCol w:w="771"/>
        <w:gridCol w:w="767"/>
        <w:gridCol w:w="1471"/>
        <w:gridCol w:w="774"/>
        <w:gridCol w:w="935"/>
        <w:gridCol w:w="633"/>
        <w:gridCol w:w="1367"/>
      </w:tblGrid>
      <w:tr w:rsidR="001C5F76" w:rsidRPr="00485F85" w14:paraId="678821C9" w14:textId="77777777" w:rsidTr="00E35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Borders>
              <w:bottom w:val="none" w:sz="0" w:space="0" w:color="auto"/>
            </w:tcBorders>
          </w:tcPr>
          <w:p w14:paraId="19D15326" w14:textId="77777777" w:rsidR="001C5F76" w:rsidRPr="00485F85" w:rsidRDefault="001C5F76" w:rsidP="00DD5B0C">
            <w:pPr>
              <w:spacing w:line="360" w:lineRule="auto"/>
              <w:rPr>
                <w:rFonts w:asciiTheme="majorHAnsi" w:hAnsiTheme="majorHAnsi" w:cstheme="majorHAnsi"/>
                <w:b w:val="0"/>
                <w:bCs w:val="0"/>
                <w:sz w:val="20"/>
                <w:szCs w:val="20"/>
              </w:rPr>
            </w:pPr>
          </w:p>
        </w:tc>
        <w:tc>
          <w:tcPr>
            <w:tcW w:w="7855" w:type="dxa"/>
            <w:gridSpan w:val="8"/>
            <w:tcBorders>
              <w:bottom w:val="none" w:sz="0" w:space="0" w:color="auto"/>
            </w:tcBorders>
          </w:tcPr>
          <w:p w14:paraId="0E6F8684" w14:textId="77777777" w:rsidR="001C5F76" w:rsidRPr="00485F85" w:rsidRDefault="001C5F76" w:rsidP="00DD5B0C">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p>
        </w:tc>
      </w:tr>
      <w:tr w:rsidR="001C5F76" w:rsidRPr="00485F85" w14:paraId="015AC0A0"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Pr>
          <w:p w14:paraId="6C84FFD2" w14:textId="77777777" w:rsidR="001C5F76" w:rsidRPr="00485F85" w:rsidRDefault="001C5F76" w:rsidP="00DD5B0C">
            <w:pPr>
              <w:spacing w:line="360" w:lineRule="auto"/>
              <w:rPr>
                <w:rFonts w:asciiTheme="majorHAnsi" w:hAnsiTheme="majorHAnsi" w:cstheme="majorHAnsi"/>
                <w:b w:val="0"/>
                <w:bCs w:val="0"/>
                <w:sz w:val="20"/>
                <w:szCs w:val="20"/>
              </w:rPr>
            </w:pPr>
          </w:p>
          <w:p w14:paraId="45571965" w14:textId="77777777" w:rsidR="001C5F76" w:rsidRPr="00485F85" w:rsidRDefault="001C5F76" w:rsidP="00DD5B0C">
            <w:pPr>
              <w:spacing w:line="360" w:lineRule="auto"/>
              <w:rPr>
                <w:rFonts w:asciiTheme="majorHAnsi" w:hAnsiTheme="majorHAnsi" w:cstheme="majorHAnsi"/>
                <w:b w:val="0"/>
                <w:bCs w:val="0"/>
                <w:sz w:val="20"/>
                <w:szCs w:val="20"/>
              </w:rPr>
            </w:pPr>
          </w:p>
          <w:p w14:paraId="39760624" w14:textId="77777777" w:rsidR="001C5F76" w:rsidRPr="00485F85" w:rsidRDefault="001C5F76" w:rsidP="00DD5B0C">
            <w:pPr>
              <w:spacing w:line="360" w:lineRule="auto"/>
              <w:rPr>
                <w:rFonts w:asciiTheme="majorHAnsi" w:hAnsiTheme="majorHAnsi" w:cstheme="majorHAnsi"/>
                <w:b w:val="0"/>
                <w:bCs w:val="0"/>
                <w:sz w:val="20"/>
                <w:szCs w:val="20"/>
                <w:u w:val="single"/>
              </w:rPr>
            </w:pPr>
            <w:r w:rsidRPr="00485F85">
              <w:rPr>
                <w:rFonts w:asciiTheme="majorHAnsi" w:hAnsiTheme="majorHAnsi" w:cstheme="majorHAnsi"/>
                <w:sz w:val="20"/>
                <w:szCs w:val="20"/>
              </w:rPr>
              <w:t>Perfil Raça/Cor</w:t>
            </w:r>
          </w:p>
        </w:tc>
        <w:tc>
          <w:tcPr>
            <w:tcW w:w="7855" w:type="dxa"/>
            <w:gridSpan w:val="8"/>
          </w:tcPr>
          <w:p w14:paraId="7FD673BB"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6122D946"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Os alunos negros e étnicos minoritários (BME) domiciliados no Reino Unido incluem aqueles que indicam em sua inscrição na UCAS que se identificam como negros (incluindo africano, caribenho e outras origens negras), asiáticos (incluindo Bangladesh, Índia, Paquistão, China e outras origens asiáticas) , Herança mista (incluindo branco e asiático, africano branco e negro, caribenho branco e negro e outras origens mistas), árabe ou qualquer outra etnia exceto branca.</w:t>
            </w:r>
          </w:p>
          <w:p w14:paraId="10F63484"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Fonte: </w:t>
            </w:r>
            <w:hyperlink r:id="rId218" w:history="1">
              <w:r w:rsidRPr="00485F85">
                <w:rPr>
                  <w:rFonts w:asciiTheme="majorHAnsi" w:hAnsiTheme="majorHAnsi" w:cstheme="majorHAnsi"/>
                  <w:bCs/>
                  <w:color w:val="4875BD" w:themeColor="accent1"/>
                  <w:u w:val="single"/>
                </w:rPr>
                <w:t>https://www.ox.ac.uk/about/facts-and-figures/admissions-statistics/undergraduate-students/current/ethnicity</w:t>
              </w:r>
            </w:hyperlink>
            <w:r w:rsidRPr="00485F85">
              <w:rPr>
                <w:rFonts w:asciiTheme="majorHAnsi" w:hAnsiTheme="majorHAnsi" w:cstheme="majorHAnsi"/>
                <w:bCs/>
              </w:rPr>
              <w:t xml:space="preserve"> </w:t>
            </w:r>
          </w:p>
          <w:p w14:paraId="50495683"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2888C006"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213B7741"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r>
      <w:tr w:rsidR="001C5F76" w:rsidRPr="00485F85" w14:paraId="37C41EE0"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tbl>
            <w:tblPr>
              <w:tblW w:w="10385" w:type="dxa"/>
              <w:tblLayout w:type="fixed"/>
              <w:tblCellMar>
                <w:left w:w="70" w:type="dxa"/>
                <w:right w:w="70" w:type="dxa"/>
              </w:tblCellMar>
              <w:tblLook w:val="04A0" w:firstRow="1" w:lastRow="0" w:firstColumn="1" w:lastColumn="0" w:noHBand="0" w:noVBand="1"/>
            </w:tblPr>
            <w:tblGrid>
              <w:gridCol w:w="1740"/>
              <w:gridCol w:w="1003"/>
              <w:gridCol w:w="1087"/>
              <w:gridCol w:w="1077"/>
              <w:gridCol w:w="1317"/>
              <w:gridCol w:w="1087"/>
              <w:gridCol w:w="1224"/>
              <w:gridCol w:w="1850"/>
            </w:tblGrid>
            <w:tr w:rsidR="001C5F76" w:rsidRPr="00485F85" w14:paraId="1FFAD4F2" w14:textId="77777777" w:rsidTr="00BB72C8">
              <w:trPr>
                <w:trHeight w:val="300"/>
              </w:trPr>
              <w:tc>
                <w:tcPr>
                  <w:tcW w:w="1740" w:type="dxa"/>
                  <w:tcBorders>
                    <w:top w:val="nil"/>
                    <w:left w:val="nil"/>
                    <w:bottom w:val="nil"/>
                    <w:right w:val="nil"/>
                  </w:tcBorders>
                  <w:shd w:val="clear" w:color="auto" w:fill="auto"/>
                  <w:noWrap/>
                  <w:vAlign w:val="bottom"/>
                  <w:hideMark/>
                </w:tcPr>
                <w:p w14:paraId="119C5C98" w14:textId="77777777" w:rsidR="001C5F76" w:rsidRPr="00485F85" w:rsidRDefault="001C5F76" w:rsidP="00DD5B0C">
                  <w:pPr>
                    <w:tabs>
                      <w:tab w:val="clear" w:pos="1615"/>
                    </w:tabs>
                    <w:spacing w:after="0" w:line="360" w:lineRule="auto"/>
                    <w:rPr>
                      <w:rFonts w:asciiTheme="majorHAnsi" w:eastAsia="Times New Roman" w:hAnsiTheme="majorHAnsi" w:cstheme="majorHAnsi"/>
                      <w:sz w:val="24"/>
                      <w:szCs w:val="24"/>
                      <w:lang w:eastAsia="pt-BR"/>
                    </w:rPr>
                  </w:pPr>
                </w:p>
              </w:tc>
              <w:tc>
                <w:tcPr>
                  <w:tcW w:w="316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98FBF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BME</w:t>
                  </w:r>
                </w:p>
              </w:tc>
              <w:tc>
                <w:tcPr>
                  <w:tcW w:w="362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607731C"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Brancos</w:t>
                  </w:r>
                </w:p>
              </w:tc>
              <w:tc>
                <w:tcPr>
                  <w:tcW w:w="1850" w:type="dxa"/>
                  <w:tcBorders>
                    <w:top w:val="nil"/>
                    <w:left w:val="nil"/>
                    <w:bottom w:val="nil"/>
                    <w:right w:val="nil"/>
                  </w:tcBorders>
                  <w:shd w:val="clear" w:color="auto" w:fill="auto"/>
                  <w:noWrap/>
                  <w:vAlign w:val="bottom"/>
                  <w:hideMark/>
                </w:tcPr>
                <w:p w14:paraId="06D7CDB2"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p>
              </w:tc>
            </w:tr>
            <w:tr w:rsidR="001C5F76" w:rsidRPr="00485F85" w14:paraId="16863916" w14:textId="77777777" w:rsidTr="00BB72C8">
              <w:trPr>
                <w:trHeight w:val="18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12F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Ano</w:t>
                  </w:r>
                </w:p>
              </w:tc>
              <w:tc>
                <w:tcPr>
                  <w:tcW w:w="1003" w:type="dxa"/>
                  <w:tcBorders>
                    <w:top w:val="nil"/>
                    <w:left w:val="nil"/>
                    <w:bottom w:val="single" w:sz="4" w:space="0" w:color="auto"/>
                    <w:right w:val="single" w:sz="4" w:space="0" w:color="auto"/>
                  </w:tcBorders>
                  <w:shd w:val="clear" w:color="auto" w:fill="auto"/>
                  <w:vAlign w:val="center"/>
                  <w:hideMark/>
                </w:tcPr>
                <w:p w14:paraId="3A8D744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087" w:type="dxa"/>
                  <w:tcBorders>
                    <w:top w:val="nil"/>
                    <w:left w:val="nil"/>
                    <w:bottom w:val="single" w:sz="4" w:space="0" w:color="auto"/>
                    <w:right w:val="single" w:sz="4" w:space="0" w:color="auto"/>
                  </w:tcBorders>
                  <w:shd w:val="clear" w:color="auto" w:fill="auto"/>
                  <w:noWrap/>
                  <w:vAlign w:val="center"/>
                  <w:hideMark/>
                </w:tcPr>
                <w:p w14:paraId="5FB20E06"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077" w:type="dxa"/>
                  <w:tcBorders>
                    <w:top w:val="nil"/>
                    <w:left w:val="nil"/>
                    <w:bottom w:val="single" w:sz="4" w:space="0" w:color="auto"/>
                    <w:right w:val="single" w:sz="4" w:space="0" w:color="auto"/>
                  </w:tcBorders>
                  <w:shd w:val="clear" w:color="auto" w:fill="auto"/>
                  <w:vAlign w:val="center"/>
                  <w:hideMark/>
                </w:tcPr>
                <w:p w14:paraId="4CD0D44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317" w:type="dxa"/>
                  <w:tcBorders>
                    <w:top w:val="nil"/>
                    <w:left w:val="nil"/>
                    <w:bottom w:val="single" w:sz="4" w:space="0" w:color="auto"/>
                    <w:right w:val="single" w:sz="4" w:space="0" w:color="auto"/>
                  </w:tcBorders>
                  <w:shd w:val="clear" w:color="auto" w:fill="auto"/>
                  <w:vAlign w:val="center"/>
                  <w:hideMark/>
                </w:tcPr>
                <w:p w14:paraId="026D3278"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087" w:type="dxa"/>
                  <w:tcBorders>
                    <w:top w:val="nil"/>
                    <w:left w:val="nil"/>
                    <w:bottom w:val="single" w:sz="4" w:space="0" w:color="auto"/>
                    <w:right w:val="single" w:sz="4" w:space="0" w:color="auto"/>
                  </w:tcBorders>
                  <w:shd w:val="clear" w:color="auto" w:fill="auto"/>
                  <w:noWrap/>
                  <w:vAlign w:val="center"/>
                  <w:hideMark/>
                </w:tcPr>
                <w:p w14:paraId="3235C451"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224" w:type="dxa"/>
                  <w:tcBorders>
                    <w:top w:val="nil"/>
                    <w:left w:val="nil"/>
                    <w:bottom w:val="single" w:sz="4" w:space="0" w:color="auto"/>
                    <w:right w:val="single" w:sz="4" w:space="0" w:color="auto"/>
                  </w:tcBorders>
                  <w:shd w:val="clear" w:color="auto" w:fill="auto"/>
                  <w:vAlign w:val="center"/>
                  <w:hideMark/>
                </w:tcPr>
                <w:p w14:paraId="53B91D09"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7F9BC94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Proporção de BME do total de alunos admitidos no Reino Unido 11</w:t>
                  </w:r>
                </w:p>
              </w:tc>
            </w:tr>
            <w:tr w:rsidR="001C5F76" w:rsidRPr="00485F85" w14:paraId="5FB902FF" w14:textId="77777777" w:rsidTr="00BB72C8">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648B7C4"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2020</w:t>
                  </w:r>
                </w:p>
              </w:tc>
              <w:tc>
                <w:tcPr>
                  <w:tcW w:w="1003" w:type="dxa"/>
                  <w:tcBorders>
                    <w:top w:val="nil"/>
                    <w:left w:val="nil"/>
                    <w:bottom w:val="single" w:sz="4" w:space="0" w:color="auto"/>
                    <w:right w:val="single" w:sz="4" w:space="0" w:color="auto"/>
                  </w:tcBorders>
                  <w:shd w:val="clear" w:color="auto" w:fill="auto"/>
                  <w:noWrap/>
                  <w:vAlign w:val="bottom"/>
                  <w:hideMark/>
                </w:tcPr>
                <w:p w14:paraId="1EBEAB9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706</w:t>
                  </w:r>
                </w:p>
              </w:tc>
              <w:tc>
                <w:tcPr>
                  <w:tcW w:w="1087" w:type="dxa"/>
                  <w:tcBorders>
                    <w:top w:val="nil"/>
                    <w:left w:val="nil"/>
                    <w:bottom w:val="single" w:sz="4" w:space="0" w:color="auto"/>
                    <w:right w:val="single" w:sz="4" w:space="0" w:color="auto"/>
                  </w:tcBorders>
                  <w:shd w:val="clear" w:color="auto" w:fill="auto"/>
                  <w:noWrap/>
                  <w:vAlign w:val="bottom"/>
                  <w:hideMark/>
                </w:tcPr>
                <w:p w14:paraId="13C90A4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4.024</w:t>
                  </w:r>
                </w:p>
              </w:tc>
              <w:tc>
                <w:tcPr>
                  <w:tcW w:w="1077" w:type="dxa"/>
                  <w:tcBorders>
                    <w:top w:val="nil"/>
                    <w:left w:val="nil"/>
                    <w:bottom w:val="single" w:sz="4" w:space="0" w:color="auto"/>
                    <w:right w:val="single" w:sz="4" w:space="0" w:color="auto"/>
                  </w:tcBorders>
                  <w:shd w:val="clear" w:color="auto" w:fill="auto"/>
                  <w:noWrap/>
                  <w:vAlign w:val="bottom"/>
                  <w:hideMark/>
                </w:tcPr>
                <w:p w14:paraId="229C4AD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684</w:t>
                  </w:r>
                </w:p>
              </w:tc>
              <w:tc>
                <w:tcPr>
                  <w:tcW w:w="1317" w:type="dxa"/>
                  <w:tcBorders>
                    <w:top w:val="nil"/>
                    <w:left w:val="nil"/>
                    <w:bottom w:val="single" w:sz="4" w:space="0" w:color="auto"/>
                    <w:right w:val="single" w:sz="4" w:space="0" w:color="auto"/>
                  </w:tcBorders>
                  <w:shd w:val="clear" w:color="auto" w:fill="auto"/>
                  <w:noWrap/>
                  <w:vAlign w:val="bottom"/>
                  <w:hideMark/>
                </w:tcPr>
                <w:p w14:paraId="60F0F0E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2.293</w:t>
                  </w:r>
                </w:p>
              </w:tc>
              <w:tc>
                <w:tcPr>
                  <w:tcW w:w="1087" w:type="dxa"/>
                  <w:tcBorders>
                    <w:top w:val="nil"/>
                    <w:left w:val="nil"/>
                    <w:bottom w:val="single" w:sz="4" w:space="0" w:color="auto"/>
                    <w:right w:val="single" w:sz="4" w:space="0" w:color="auto"/>
                  </w:tcBorders>
                  <w:shd w:val="clear" w:color="auto" w:fill="auto"/>
                  <w:noWrap/>
                  <w:vAlign w:val="bottom"/>
                  <w:hideMark/>
                </w:tcPr>
                <w:p w14:paraId="1656A7F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9.509</w:t>
                  </w:r>
                </w:p>
              </w:tc>
              <w:tc>
                <w:tcPr>
                  <w:tcW w:w="1224" w:type="dxa"/>
                  <w:tcBorders>
                    <w:top w:val="nil"/>
                    <w:left w:val="nil"/>
                    <w:bottom w:val="single" w:sz="4" w:space="0" w:color="auto"/>
                    <w:right w:val="single" w:sz="4" w:space="0" w:color="auto"/>
                  </w:tcBorders>
                  <w:shd w:val="clear" w:color="auto" w:fill="auto"/>
                  <w:noWrap/>
                  <w:vAlign w:val="bottom"/>
                  <w:hideMark/>
                </w:tcPr>
                <w:p w14:paraId="15772EC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2.214</w:t>
                  </w:r>
                </w:p>
              </w:tc>
              <w:tc>
                <w:tcPr>
                  <w:tcW w:w="1850" w:type="dxa"/>
                  <w:tcBorders>
                    <w:top w:val="nil"/>
                    <w:left w:val="nil"/>
                    <w:bottom w:val="single" w:sz="4" w:space="0" w:color="auto"/>
                    <w:right w:val="single" w:sz="4" w:space="0" w:color="auto"/>
                  </w:tcBorders>
                  <w:shd w:val="clear" w:color="auto" w:fill="auto"/>
                  <w:noWrap/>
                  <w:vAlign w:val="bottom"/>
                  <w:hideMark/>
                </w:tcPr>
                <w:p w14:paraId="1849BBD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23,60%</w:t>
                  </w:r>
                </w:p>
              </w:tc>
            </w:tr>
            <w:tr w:rsidR="001C5F76" w:rsidRPr="00485F85" w14:paraId="3D082786" w14:textId="77777777" w:rsidTr="00BB72C8">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7B4D830"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2019</w:t>
                  </w:r>
                </w:p>
              </w:tc>
              <w:tc>
                <w:tcPr>
                  <w:tcW w:w="1003" w:type="dxa"/>
                  <w:tcBorders>
                    <w:top w:val="nil"/>
                    <w:left w:val="nil"/>
                    <w:bottom w:val="single" w:sz="4" w:space="0" w:color="auto"/>
                    <w:right w:val="single" w:sz="4" w:space="0" w:color="auto"/>
                  </w:tcBorders>
                  <w:shd w:val="clear" w:color="auto" w:fill="auto"/>
                  <w:noWrap/>
                  <w:vAlign w:val="bottom"/>
                  <w:hideMark/>
                </w:tcPr>
                <w:p w14:paraId="4FD6845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669</w:t>
                  </w:r>
                </w:p>
              </w:tc>
              <w:tc>
                <w:tcPr>
                  <w:tcW w:w="1087" w:type="dxa"/>
                  <w:tcBorders>
                    <w:top w:val="nil"/>
                    <w:left w:val="nil"/>
                    <w:bottom w:val="single" w:sz="4" w:space="0" w:color="auto"/>
                    <w:right w:val="single" w:sz="4" w:space="0" w:color="auto"/>
                  </w:tcBorders>
                  <w:shd w:val="clear" w:color="auto" w:fill="auto"/>
                  <w:noWrap/>
                  <w:vAlign w:val="bottom"/>
                  <w:hideMark/>
                </w:tcPr>
                <w:p w14:paraId="739F4AA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3.596</w:t>
                  </w:r>
                </w:p>
              </w:tc>
              <w:tc>
                <w:tcPr>
                  <w:tcW w:w="1077" w:type="dxa"/>
                  <w:tcBorders>
                    <w:top w:val="nil"/>
                    <w:left w:val="nil"/>
                    <w:bottom w:val="single" w:sz="4" w:space="0" w:color="auto"/>
                    <w:right w:val="single" w:sz="4" w:space="0" w:color="auto"/>
                  </w:tcBorders>
                  <w:shd w:val="clear" w:color="auto" w:fill="auto"/>
                  <w:noWrap/>
                  <w:vAlign w:val="bottom"/>
                  <w:hideMark/>
                </w:tcPr>
                <w:p w14:paraId="40FFD51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558</w:t>
                  </w:r>
                </w:p>
              </w:tc>
              <w:tc>
                <w:tcPr>
                  <w:tcW w:w="1317" w:type="dxa"/>
                  <w:tcBorders>
                    <w:top w:val="nil"/>
                    <w:left w:val="nil"/>
                    <w:bottom w:val="single" w:sz="4" w:space="0" w:color="auto"/>
                    <w:right w:val="single" w:sz="4" w:space="0" w:color="auto"/>
                  </w:tcBorders>
                  <w:shd w:val="clear" w:color="auto" w:fill="auto"/>
                  <w:noWrap/>
                  <w:vAlign w:val="bottom"/>
                  <w:hideMark/>
                </w:tcPr>
                <w:p w14:paraId="319EA6E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2.306</w:t>
                  </w:r>
                </w:p>
              </w:tc>
              <w:tc>
                <w:tcPr>
                  <w:tcW w:w="1087" w:type="dxa"/>
                  <w:tcBorders>
                    <w:top w:val="nil"/>
                    <w:left w:val="nil"/>
                    <w:bottom w:val="single" w:sz="4" w:space="0" w:color="auto"/>
                    <w:right w:val="single" w:sz="4" w:space="0" w:color="auto"/>
                  </w:tcBorders>
                  <w:shd w:val="clear" w:color="auto" w:fill="auto"/>
                  <w:noWrap/>
                  <w:vAlign w:val="bottom"/>
                  <w:hideMark/>
                </w:tcPr>
                <w:p w14:paraId="2E75B3B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9.583</w:t>
                  </w:r>
                </w:p>
              </w:tc>
              <w:tc>
                <w:tcPr>
                  <w:tcW w:w="1224" w:type="dxa"/>
                  <w:tcBorders>
                    <w:top w:val="nil"/>
                    <w:left w:val="nil"/>
                    <w:bottom w:val="single" w:sz="4" w:space="0" w:color="auto"/>
                    <w:right w:val="single" w:sz="4" w:space="0" w:color="auto"/>
                  </w:tcBorders>
                  <w:shd w:val="clear" w:color="auto" w:fill="auto"/>
                  <w:noWrap/>
                  <w:vAlign w:val="bottom"/>
                  <w:hideMark/>
                </w:tcPr>
                <w:p w14:paraId="747BB45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1.978</w:t>
                  </w:r>
                </w:p>
              </w:tc>
              <w:tc>
                <w:tcPr>
                  <w:tcW w:w="1850" w:type="dxa"/>
                  <w:tcBorders>
                    <w:top w:val="nil"/>
                    <w:left w:val="nil"/>
                    <w:bottom w:val="single" w:sz="4" w:space="0" w:color="auto"/>
                    <w:right w:val="single" w:sz="4" w:space="0" w:color="auto"/>
                  </w:tcBorders>
                  <w:shd w:val="clear" w:color="auto" w:fill="auto"/>
                  <w:noWrap/>
                  <w:vAlign w:val="bottom"/>
                  <w:hideMark/>
                </w:tcPr>
                <w:p w14:paraId="48C15C8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22,00%</w:t>
                  </w:r>
                </w:p>
              </w:tc>
            </w:tr>
            <w:tr w:rsidR="001C5F76" w:rsidRPr="00485F85" w14:paraId="7519947E" w14:textId="77777777" w:rsidTr="00BB72C8">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CE11026"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2018</w:t>
                  </w:r>
                </w:p>
              </w:tc>
              <w:tc>
                <w:tcPr>
                  <w:tcW w:w="1003" w:type="dxa"/>
                  <w:tcBorders>
                    <w:top w:val="nil"/>
                    <w:left w:val="nil"/>
                    <w:bottom w:val="single" w:sz="4" w:space="0" w:color="auto"/>
                    <w:right w:val="single" w:sz="4" w:space="0" w:color="auto"/>
                  </w:tcBorders>
                  <w:shd w:val="clear" w:color="auto" w:fill="auto"/>
                  <w:noWrap/>
                  <w:vAlign w:val="bottom"/>
                  <w:hideMark/>
                </w:tcPr>
                <w:p w14:paraId="6135852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551</w:t>
                  </w:r>
                </w:p>
              </w:tc>
              <w:tc>
                <w:tcPr>
                  <w:tcW w:w="1087" w:type="dxa"/>
                  <w:tcBorders>
                    <w:top w:val="nil"/>
                    <w:left w:val="nil"/>
                    <w:bottom w:val="single" w:sz="4" w:space="0" w:color="auto"/>
                    <w:right w:val="single" w:sz="4" w:space="0" w:color="auto"/>
                  </w:tcBorders>
                  <w:shd w:val="clear" w:color="auto" w:fill="auto"/>
                  <w:noWrap/>
                  <w:vAlign w:val="bottom"/>
                  <w:hideMark/>
                </w:tcPr>
                <w:p w14:paraId="5D42130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3.097</w:t>
                  </w:r>
                </w:p>
              </w:tc>
              <w:tc>
                <w:tcPr>
                  <w:tcW w:w="1077" w:type="dxa"/>
                  <w:tcBorders>
                    <w:top w:val="nil"/>
                    <w:left w:val="nil"/>
                    <w:bottom w:val="single" w:sz="4" w:space="0" w:color="auto"/>
                    <w:right w:val="single" w:sz="4" w:space="0" w:color="auto"/>
                  </w:tcBorders>
                  <w:shd w:val="clear" w:color="auto" w:fill="auto"/>
                  <w:noWrap/>
                  <w:vAlign w:val="bottom"/>
                  <w:hideMark/>
                </w:tcPr>
                <w:p w14:paraId="4AE159B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457</w:t>
                  </w:r>
                </w:p>
              </w:tc>
              <w:tc>
                <w:tcPr>
                  <w:tcW w:w="1317" w:type="dxa"/>
                  <w:tcBorders>
                    <w:top w:val="nil"/>
                    <w:left w:val="nil"/>
                    <w:bottom w:val="single" w:sz="4" w:space="0" w:color="auto"/>
                    <w:right w:val="single" w:sz="4" w:space="0" w:color="auto"/>
                  </w:tcBorders>
                  <w:shd w:val="clear" w:color="auto" w:fill="auto"/>
                  <w:noWrap/>
                  <w:vAlign w:val="bottom"/>
                  <w:hideMark/>
                </w:tcPr>
                <w:p w14:paraId="423BE80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2.305</w:t>
                  </w:r>
                </w:p>
              </w:tc>
              <w:tc>
                <w:tcPr>
                  <w:tcW w:w="1087" w:type="dxa"/>
                  <w:tcBorders>
                    <w:top w:val="nil"/>
                    <w:left w:val="nil"/>
                    <w:bottom w:val="single" w:sz="4" w:space="0" w:color="auto"/>
                    <w:right w:val="single" w:sz="4" w:space="0" w:color="auto"/>
                  </w:tcBorders>
                  <w:shd w:val="clear" w:color="auto" w:fill="auto"/>
                  <w:noWrap/>
                  <w:vAlign w:val="bottom"/>
                  <w:hideMark/>
                </w:tcPr>
                <w:p w14:paraId="0F41E60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9.048</w:t>
                  </w:r>
                </w:p>
              </w:tc>
              <w:tc>
                <w:tcPr>
                  <w:tcW w:w="1224" w:type="dxa"/>
                  <w:tcBorders>
                    <w:top w:val="nil"/>
                    <w:left w:val="nil"/>
                    <w:bottom w:val="single" w:sz="4" w:space="0" w:color="auto"/>
                    <w:right w:val="single" w:sz="4" w:space="0" w:color="auto"/>
                  </w:tcBorders>
                  <w:shd w:val="clear" w:color="auto" w:fill="auto"/>
                  <w:noWrap/>
                  <w:vAlign w:val="bottom"/>
                  <w:hideMark/>
                </w:tcPr>
                <w:p w14:paraId="6E229A4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2.045</w:t>
                  </w:r>
                </w:p>
              </w:tc>
              <w:tc>
                <w:tcPr>
                  <w:tcW w:w="1850" w:type="dxa"/>
                  <w:tcBorders>
                    <w:top w:val="nil"/>
                    <w:left w:val="nil"/>
                    <w:bottom w:val="single" w:sz="4" w:space="0" w:color="auto"/>
                    <w:right w:val="single" w:sz="4" w:space="0" w:color="auto"/>
                  </w:tcBorders>
                  <w:shd w:val="clear" w:color="auto" w:fill="auto"/>
                  <w:noWrap/>
                  <w:vAlign w:val="bottom"/>
                  <w:hideMark/>
                </w:tcPr>
                <w:p w14:paraId="408623D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18,30%</w:t>
                  </w:r>
                </w:p>
              </w:tc>
            </w:tr>
            <w:tr w:rsidR="001C5F76" w:rsidRPr="00485F85" w14:paraId="318262F6" w14:textId="77777777" w:rsidTr="00BB72C8">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162981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2017</w:t>
                  </w:r>
                </w:p>
              </w:tc>
              <w:tc>
                <w:tcPr>
                  <w:tcW w:w="1003" w:type="dxa"/>
                  <w:tcBorders>
                    <w:top w:val="nil"/>
                    <w:left w:val="nil"/>
                    <w:bottom w:val="single" w:sz="4" w:space="0" w:color="auto"/>
                    <w:right w:val="single" w:sz="4" w:space="0" w:color="auto"/>
                  </w:tcBorders>
                  <w:shd w:val="clear" w:color="auto" w:fill="auto"/>
                  <w:noWrap/>
                  <w:vAlign w:val="bottom"/>
                  <w:hideMark/>
                </w:tcPr>
                <w:p w14:paraId="6E72719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519</w:t>
                  </w:r>
                </w:p>
              </w:tc>
              <w:tc>
                <w:tcPr>
                  <w:tcW w:w="1087" w:type="dxa"/>
                  <w:tcBorders>
                    <w:top w:val="nil"/>
                    <w:left w:val="nil"/>
                    <w:bottom w:val="single" w:sz="4" w:space="0" w:color="auto"/>
                    <w:right w:val="single" w:sz="4" w:space="0" w:color="auto"/>
                  </w:tcBorders>
                  <w:shd w:val="clear" w:color="auto" w:fill="auto"/>
                  <w:noWrap/>
                  <w:vAlign w:val="bottom"/>
                  <w:hideMark/>
                </w:tcPr>
                <w:p w14:paraId="377BAA3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2.899</w:t>
                  </w:r>
                </w:p>
              </w:tc>
              <w:tc>
                <w:tcPr>
                  <w:tcW w:w="1077" w:type="dxa"/>
                  <w:tcBorders>
                    <w:top w:val="nil"/>
                    <w:left w:val="nil"/>
                    <w:bottom w:val="single" w:sz="4" w:space="0" w:color="auto"/>
                    <w:right w:val="single" w:sz="4" w:space="0" w:color="auto"/>
                  </w:tcBorders>
                  <w:shd w:val="clear" w:color="auto" w:fill="auto"/>
                  <w:noWrap/>
                  <w:vAlign w:val="bottom"/>
                  <w:hideMark/>
                </w:tcPr>
                <w:p w14:paraId="1E3D87B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446</w:t>
                  </w:r>
                </w:p>
              </w:tc>
              <w:tc>
                <w:tcPr>
                  <w:tcW w:w="1317" w:type="dxa"/>
                  <w:tcBorders>
                    <w:top w:val="nil"/>
                    <w:left w:val="nil"/>
                    <w:bottom w:val="single" w:sz="4" w:space="0" w:color="auto"/>
                    <w:right w:val="single" w:sz="4" w:space="0" w:color="auto"/>
                  </w:tcBorders>
                  <w:shd w:val="clear" w:color="auto" w:fill="auto"/>
                  <w:noWrap/>
                  <w:vAlign w:val="bottom"/>
                  <w:hideMark/>
                </w:tcPr>
                <w:p w14:paraId="398BACB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2.324</w:t>
                  </w:r>
                </w:p>
              </w:tc>
              <w:tc>
                <w:tcPr>
                  <w:tcW w:w="1087" w:type="dxa"/>
                  <w:tcBorders>
                    <w:top w:val="nil"/>
                    <w:left w:val="nil"/>
                    <w:bottom w:val="single" w:sz="4" w:space="0" w:color="auto"/>
                    <w:right w:val="single" w:sz="4" w:space="0" w:color="auto"/>
                  </w:tcBorders>
                  <w:shd w:val="clear" w:color="auto" w:fill="auto"/>
                  <w:noWrap/>
                  <w:vAlign w:val="bottom"/>
                  <w:hideMark/>
                </w:tcPr>
                <w:p w14:paraId="3E6D449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8.921</w:t>
                  </w:r>
                </w:p>
              </w:tc>
              <w:tc>
                <w:tcPr>
                  <w:tcW w:w="1224" w:type="dxa"/>
                  <w:tcBorders>
                    <w:top w:val="nil"/>
                    <w:left w:val="nil"/>
                    <w:bottom w:val="single" w:sz="4" w:space="0" w:color="auto"/>
                    <w:right w:val="single" w:sz="4" w:space="0" w:color="auto"/>
                  </w:tcBorders>
                  <w:shd w:val="clear" w:color="auto" w:fill="auto"/>
                  <w:noWrap/>
                  <w:vAlign w:val="bottom"/>
                  <w:hideMark/>
                </w:tcPr>
                <w:p w14:paraId="00ED2E7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2.057</w:t>
                  </w:r>
                </w:p>
              </w:tc>
              <w:tc>
                <w:tcPr>
                  <w:tcW w:w="1850" w:type="dxa"/>
                  <w:tcBorders>
                    <w:top w:val="nil"/>
                    <w:left w:val="nil"/>
                    <w:bottom w:val="single" w:sz="4" w:space="0" w:color="auto"/>
                    <w:right w:val="single" w:sz="4" w:space="0" w:color="auto"/>
                  </w:tcBorders>
                  <w:shd w:val="clear" w:color="auto" w:fill="auto"/>
                  <w:noWrap/>
                  <w:vAlign w:val="bottom"/>
                  <w:hideMark/>
                </w:tcPr>
                <w:p w14:paraId="261C94B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17,80%</w:t>
                  </w:r>
                </w:p>
              </w:tc>
            </w:tr>
            <w:tr w:rsidR="001C5F76" w:rsidRPr="00485F85" w14:paraId="0FB81F2C" w14:textId="77777777" w:rsidTr="00BB72C8">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21B4FF8"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2016</w:t>
                  </w:r>
                </w:p>
              </w:tc>
              <w:tc>
                <w:tcPr>
                  <w:tcW w:w="1003" w:type="dxa"/>
                  <w:tcBorders>
                    <w:top w:val="nil"/>
                    <w:left w:val="nil"/>
                    <w:bottom w:val="single" w:sz="4" w:space="0" w:color="auto"/>
                    <w:right w:val="single" w:sz="4" w:space="0" w:color="auto"/>
                  </w:tcBorders>
                  <w:shd w:val="clear" w:color="auto" w:fill="auto"/>
                  <w:noWrap/>
                  <w:vAlign w:val="bottom"/>
                  <w:hideMark/>
                </w:tcPr>
                <w:p w14:paraId="1CD7C21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492</w:t>
                  </w:r>
                </w:p>
              </w:tc>
              <w:tc>
                <w:tcPr>
                  <w:tcW w:w="1087" w:type="dxa"/>
                  <w:tcBorders>
                    <w:top w:val="nil"/>
                    <w:left w:val="nil"/>
                    <w:bottom w:val="single" w:sz="4" w:space="0" w:color="auto"/>
                    <w:right w:val="single" w:sz="4" w:space="0" w:color="auto"/>
                  </w:tcBorders>
                  <w:shd w:val="clear" w:color="auto" w:fill="auto"/>
                  <w:noWrap/>
                  <w:vAlign w:val="bottom"/>
                  <w:hideMark/>
                </w:tcPr>
                <w:p w14:paraId="1C3C9D5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2.547</w:t>
                  </w:r>
                </w:p>
              </w:tc>
              <w:tc>
                <w:tcPr>
                  <w:tcW w:w="1077" w:type="dxa"/>
                  <w:tcBorders>
                    <w:top w:val="nil"/>
                    <w:left w:val="nil"/>
                    <w:bottom w:val="single" w:sz="4" w:space="0" w:color="auto"/>
                    <w:right w:val="single" w:sz="4" w:space="0" w:color="auto"/>
                  </w:tcBorders>
                  <w:shd w:val="clear" w:color="auto" w:fill="auto"/>
                  <w:noWrap/>
                  <w:vAlign w:val="bottom"/>
                  <w:hideMark/>
                </w:tcPr>
                <w:p w14:paraId="5C6C7E3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411</w:t>
                  </w:r>
                </w:p>
              </w:tc>
              <w:tc>
                <w:tcPr>
                  <w:tcW w:w="1317" w:type="dxa"/>
                  <w:tcBorders>
                    <w:top w:val="nil"/>
                    <w:left w:val="nil"/>
                    <w:bottom w:val="single" w:sz="4" w:space="0" w:color="auto"/>
                    <w:right w:val="single" w:sz="4" w:space="0" w:color="auto"/>
                  </w:tcBorders>
                  <w:shd w:val="clear" w:color="auto" w:fill="auto"/>
                  <w:noWrap/>
                  <w:vAlign w:val="bottom"/>
                  <w:hideMark/>
                </w:tcPr>
                <w:p w14:paraId="4933415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2.441</w:t>
                  </w:r>
                </w:p>
              </w:tc>
              <w:tc>
                <w:tcPr>
                  <w:tcW w:w="1087" w:type="dxa"/>
                  <w:tcBorders>
                    <w:top w:val="nil"/>
                    <w:left w:val="nil"/>
                    <w:bottom w:val="single" w:sz="4" w:space="0" w:color="auto"/>
                    <w:right w:val="single" w:sz="4" w:space="0" w:color="auto"/>
                  </w:tcBorders>
                  <w:shd w:val="clear" w:color="auto" w:fill="auto"/>
                  <w:noWrap/>
                  <w:vAlign w:val="bottom"/>
                  <w:hideMark/>
                </w:tcPr>
                <w:p w14:paraId="4E5DE73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8.917</w:t>
                  </w:r>
                </w:p>
              </w:tc>
              <w:tc>
                <w:tcPr>
                  <w:tcW w:w="1224" w:type="dxa"/>
                  <w:tcBorders>
                    <w:top w:val="nil"/>
                    <w:left w:val="nil"/>
                    <w:bottom w:val="single" w:sz="4" w:space="0" w:color="auto"/>
                    <w:right w:val="single" w:sz="4" w:space="0" w:color="auto"/>
                  </w:tcBorders>
                  <w:shd w:val="clear" w:color="auto" w:fill="auto"/>
                  <w:noWrap/>
                  <w:vAlign w:val="bottom"/>
                  <w:hideMark/>
                </w:tcPr>
                <w:p w14:paraId="037C0F9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2.194</w:t>
                  </w:r>
                </w:p>
              </w:tc>
              <w:tc>
                <w:tcPr>
                  <w:tcW w:w="1850" w:type="dxa"/>
                  <w:tcBorders>
                    <w:top w:val="nil"/>
                    <w:left w:val="nil"/>
                    <w:bottom w:val="single" w:sz="4" w:space="0" w:color="auto"/>
                    <w:right w:val="single" w:sz="4" w:space="0" w:color="auto"/>
                  </w:tcBorders>
                  <w:shd w:val="clear" w:color="auto" w:fill="auto"/>
                  <w:noWrap/>
                  <w:vAlign w:val="bottom"/>
                  <w:hideMark/>
                </w:tcPr>
                <w:p w14:paraId="496DADF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15,80%</w:t>
                  </w:r>
                </w:p>
              </w:tc>
            </w:tr>
          </w:tbl>
          <w:p w14:paraId="25909C2D" w14:textId="77777777" w:rsidR="001C5F76" w:rsidRPr="00485F85" w:rsidRDefault="001C5F76" w:rsidP="00DD5B0C">
            <w:pPr>
              <w:spacing w:line="360" w:lineRule="auto"/>
              <w:rPr>
                <w:rFonts w:asciiTheme="majorHAnsi" w:hAnsiTheme="majorHAnsi" w:cstheme="majorHAnsi"/>
                <w:b w:val="0"/>
                <w:u w:val="single"/>
              </w:rPr>
            </w:pPr>
          </w:p>
        </w:tc>
      </w:tr>
      <w:tr w:rsidR="001C5F76" w:rsidRPr="00485F85" w14:paraId="501B8903"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14:paraId="79E13783" w14:textId="77777777" w:rsidR="001C5F76" w:rsidRPr="00485F85" w:rsidRDefault="001C5F76" w:rsidP="00DD5B0C">
            <w:pPr>
              <w:spacing w:line="360" w:lineRule="auto"/>
              <w:rPr>
                <w:rFonts w:asciiTheme="majorHAnsi" w:hAnsiTheme="majorHAnsi" w:cstheme="majorHAnsi"/>
                <w:b w:val="0"/>
                <w:u w:val="single"/>
              </w:rPr>
            </w:pPr>
          </w:p>
        </w:tc>
      </w:tr>
      <w:tr w:rsidR="001C5F76" w:rsidRPr="00485F85" w14:paraId="565D8B2A" w14:textId="77777777" w:rsidTr="00E3523A">
        <w:tc>
          <w:tcPr>
            <w:cnfStyle w:val="001000000000" w:firstRow="0" w:lastRow="0" w:firstColumn="1" w:lastColumn="0" w:oddVBand="0" w:evenVBand="0" w:oddHBand="0" w:evenHBand="0" w:firstRowFirstColumn="0" w:firstRowLastColumn="0" w:lastRowFirstColumn="0" w:lastRowLastColumn="0"/>
            <w:tcW w:w="2034" w:type="dxa"/>
          </w:tcPr>
          <w:p w14:paraId="4B640BA2" w14:textId="77777777" w:rsidR="001C5F76" w:rsidRPr="00485F85" w:rsidRDefault="001C5F76" w:rsidP="00DD5B0C">
            <w:pPr>
              <w:spacing w:line="360" w:lineRule="auto"/>
              <w:rPr>
                <w:rFonts w:asciiTheme="majorHAnsi" w:hAnsiTheme="majorHAnsi" w:cstheme="majorHAnsi"/>
                <w:b w:val="0"/>
                <w:bCs w:val="0"/>
                <w:sz w:val="20"/>
                <w:szCs w:val="20"/>
              </w:rPr>
            </w:pPr>
          </w:p>
          <w:p w14:paraId="581F33FF" w14:textId="77777777" w:rsidR="001C5F76" w:rsidRPr="00485F85" w:rsidRDefault="001C5F76" w:rsidP="00DD5B0C">
            <w:pPr>
              <w:spacing w:line="360" w:lineRule="auto"/>
              <w:rPr>
                <w:rFonts w:asciiTheme="majorHAnsi" w:hAnsiTheme="majorHAnsi" w:cstheme="majorHAnsi"/>
                <w:b w:val="0"/>
                <w:bCs w:val="0"/>
                <w:sz w:val="20"/>
                <w:szCs w:val="20"/>
              </w:rPr>
            </w:pPr>
          </w:p>
          <w:p w14:paraId="401A97ED" w14:textId="77777777" w:rsidR="001C5F76" w:rsidRPr="00485F85" w:rsidRDefault="001C5F76" w:rsidP="00DD5B0C">
            <w:pPr>
              <w:spacing w:line="360" w:lineRule="auto"/>
              <w:rPr>
                <w:rFonts w:asciiTheme="majorHAnsi" w:hAnsiTheme="majorHAnsi" w:cstheme="majorHAnsi"/>
                <w:b w:val="0"/>
                <w:bCs w:val="0"/>
                <w:sz w:val="20"/>
                <w:szCs w:val="20"/>
                <w:u w:val="single"/>
              </w:rPr>
            </w:pPr>
            <w:r w:rsidRPr="00485F85">
              <w:rPr>
                <w:rFonts w:asciiTheme="majorHAnsi" w:hAnsiTheme="majorHAnsi" w:cstheme="majorHAnsi"/>
                <w:sz w:val="20"/>
                <w:szCs w:val="20"/>
              </w:rPr>
              <w:t>Perfil Sexo</w:t>
            </w:r>
          </w:p>
        </w:tc>
        <w:tc>
          <w:tcPr>
            <w:tcW w:w="7855" w:type="dxa"/>
            <w:gridSpan w:val="8"/>
          </w:tcPr>
          <w:p w14:paraId="57433437"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p w14:paraId="48370902"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A proporção feminina de estudantes universitários domiciliados no Reino Unido admitidos em Oxford aumentou nos últimos cinco ciclos de admissão.</w:t>
            </w:r>
          </w:p>
          <w:p w14:paraId="02616234"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Em 2018, 2019 e 2020, Oxford admitiu mais universitárias domiciliadas no Reino Unido do que homens.</w:t>
            </w:r>
          </w:p>
          <w:p w14:paraId="6D011B83"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Fonte: </w:t>
            </w:r>
            <w:hyperlink r:id="rId219" w:history="1">
              <w:r w:rsidRPr="00485F85">
                <w:rPr>
                  <w:rFonts w:asciiTheme="majorHAnsi" w:hAnsiTheme="majorHAnsi" w:cstheme="majorHAnsi"/>
                  <w:bCs/>
                  <w:color w:val="4875BD" w:themeColor="accent1"/>
                  <w:u w:val="single"/>
                </w:rPr>
                <w:t>https://www.ox.ac.uk/about/facts-and-figures/admissions-statistics/undergraduate-students/current/gender</w:t>
              </w:r>
            </w:hyperlink>
            <w:r w:rsidRPr="00485F85">
              <w:rPr>
                <w:rFonts w:asciiTheme="majorHAnsi" w:hAnsiTheme="majorHAnsi" w:cstheme="majorHAnsi"/>
                <w:bCs/>
              </w:rPr>
              <w:t xml:space="preserve"> </w:t>
            </w:r>
          </w:p>
          <w:p w14:paraId="5E895A64"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1C5F76" w:rsidRPr="00485F85" w14:paraId="6DC53B11"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tbl>
            <w:tblPr>
              <w:tblW w:w="10540" w:type="dxa"/>
              <w:tblLayout w:type="fixed"/>
              <w:tblCellMar>
                <w:left w:w="70" w:type="dxa"/>
                <w:right w:w="70" w:type="dxa"/>
              </w:tblCellMar>
              <w:tblLook w:val="04A0" w:firstRow="1" w:lastRow="0" w:firstColumn="1" w:lastColumn="0" w:noHBand="0" w:noVBand="1"/>
            </w:tblPr>
            <w:tblGrid>
              <w:gridCol w:w="1240"/>
              <w:gridCol w:w="1283"/>
              <w:gridCol w:w="1296"/>
              <w:gridCol w:w="1381"/>
              <w:gridCol w:w="1222"/>
              <w:gridCol w:w="1124"/>
              <w:gridCol w:w="1574"/>
              <w:gridCol w:w="1420"/>
            </w:tblGrid>
            <w:tr w:rsidR="001C5F76" w:rsidRPr="00485F85" w14:paraId="4A270D12" w14:textId="77777777" w:rsidTr="00BB72C8">
              <w:trPr>
                <w:trHeight w:val="300"/>
              </w:trPr>
              <w:tc>
                <w:tcPr>
                  <w:tcW w:w="1240" w:type="dxa"/>
                  <w:tcBorders>
                    <w:top w:val="nil"/>
                    <w:left w:val="nil"/>
                    <w:bottom w:val="nil"/>
                    <w:right w:val="nil"/>
                  </w:tcBorders>
                  <w:shd w:val="clear" w:color="auto" w:fill="auto"/>
                  <w:noWrap/>
                  <w:vAlign w:val="bottom"/>
                  <w:hideMark/>
                </w:tcPr>
                <w:p w14:paraId="5DB0A61E" w14:textId="77777777" w:rsidR="001C5F76" w:rsidRPr="00485F85" w:rsidRDefault="001C5F76" w:rsidP="00DD5B0C">
                  <w:pPr>
                    <w:tabs>
                      <w:tab w:val="clear" w:pos="1615"/>
                    </w:tabs>
                    <w:spacing w:after="0" w:line="360" w:lineRule="auto"/>
                    <w:rPr>
                      <w:rFonts w:asciiTheme="majorHAnsi" w:eastAsia="Times New Roman" w:hAnsiTheme="majorHAnsi" w:cstheme="majorHAnsi"/>
                      <w:sz w:val="24"/>
                      <w:szCs w:val="24"/>
                      <w:lang w:eastAsia="pt-BR"/>
                    </w:rPr>
                  </w:pPr>
                  <w:bookmarkStart w:id="54" w:name="_Hlk78735565"/>
                </w:p>
              </w:tc>
              <w:tc>
                <w:tcPr>
                  <w:tcW w:w="3960"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5CE1C14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Mulheres</w:t>
                  </w:r>
                </w:p>
              </w:tc>
              <w:tc>
                <w:tcPr>
                  <w:tcW w:w="3920" w:type="dxa"/>
                  <w:gridSpan w:val="3"/>
                  <w:tcBorders>
                    <w:top w:val="single" w:sz="4" w:space="0" w:color="auto"/>
                    <w:left w:val="nil"/>
                    <w:bottom w:val="nil"/>
                    <w:right w:val="single" w:sz="4" w:space="0" w:color="000000"/>
                  </w:tcBorders>
                  <w:shd w:val="clear" w:color="auto" w:fill="auto"/>
                  <w:vAlign w:val="center"/>
                  <w:hideMark/>
                </w:tcPr>
                <w:p w14:paraId="5BC0048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Homens</w:t>
                  </w:r>
                </w:p>
              </w:tc>
              <w:tc>
                <w:tcPr>
                  <w:tcW w:w="1420" w:type="dxa"/>
                  <w:tcBorders>
                    <w:top w:val="nil"/>
                    <w:left w:val="nil"/>
                    <w:bottom w:val="nil"/>
                    <w:right w:val="nil"/>
                  </w:tcBorders>
                  <w:shd w:val="clear" w:color="auto" w:fill="auto"/>
                  <w:vAlign w:val="center"/>
                  <w:hideMark/>
                </w:tcPr>
                <w:p w14:paraId="707B6D8F"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p>
              </w:tc>
            </w:tr>
            <w:tr w:rsidR="001C5F76" w:rsidRPr="00485F85" w14:paraId="744D22DA" w14:textId="77777777" w:rsidTr="00BB72C8">
              <w:trPr>
                <w:trHeight w:val="18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4AC6"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Ano</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F9A6298"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60C56B29"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0ACED2C"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55136C54"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652FA6F5"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7024FA0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5994732"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Proporção feminina do total de alunos admitidos no Reino Unido</w:t>
                  </w:r>
                </w:p>
              </w:tc>
            </w:tr>
            <w:tr w:rsidR="001C5F76" w:rsidRPr="00485F85" w14:paraId="77A46B36" w14:textId="77777777" w:rsidTr="00BB72C8">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E3EEF4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2020</w:t>
                  </w:r>
                </w:p>
              </w:tc>
              <w:tc>
                <w:tcPr>
                  <w:tcW w:w="1283" w:type="dxa"/>
                  <w:tcBorders>
                    <w:top w:val="nil"/>
                    <w:left w:val="nil"/>
                    <w:bottom w:val="single" w:sz="4" w:space="0" w:color="auto"/>
                    <w:right w:val="single" w:sz="4" w:space="0" w:color="auto"/>
                  </w:tcBorders>
                  <w:shd w:val="clear" w:color="auto" w:fill="auto"/>
                  <w:noWrap/>
                  <w:vAlign w:val="bottom"/>
                  <w:hideMark/>
                </w:tcPr>
                <w:p w14:paraId="5F6EF1E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1.661</w:t>
                  </w:r>
                </w:p>
              </w:tc>
              <w:tc>
                <w:tcPr>
                  <w:tcW w:w="1296" w:type="dxa"/>
                  <w:tcBorders>
                    <w:top w:val="nil"/>
                    <w:left w:val="nil"/>
                    <w:bottom w:val="single" w:sz="4" w:space="0" w:color="auto"/>
                    <w:right w:val="single" w:sz="4" w:space="0" w:color="auto"/>
                  </w:tcBorders>
                  <w:shd w:val="clear" w:color="auto" w:fill="auto"/>
                  <w:noWrap/>
                  <w:vAlign w:val="bottom"/>
                  <w:hideMark/>
                </w:tcPr>
                <w:p w14:paraId="3E42123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7.110</w:t>
                  </w:r>
                </w:p>
              </w:tc>
              <w:tc>
                <w:tcPr>
                  <w:tcW w:w="1381" w:type="dxa"/>
                  <w:tcBorders>
                    <w:top w:val="nil"/>
                    <w:left w:val="nil"/>
                    <w:bottom w:val="single" w:sz="4" w:space="0" w:color="auto"/>
                    <w:right w:val="single" w:sz="4" w:space="0" w:color="auto"/>
                  </w:tcBorders>
                  <w:shd w:val="clear" w:color="auto" w:fill="auto"/>
                  <w:noWrap/>
                  <w:vAlign w:val="bottom"/>
                  <w:hideMark/>
                </w:tcPr>
                <w:p w14:paraId="07C19AC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1.598</w:t>
                  </w:r>
                </w:p>
              </w:tc>
              <w:tc>
                <w:tcPr>
                  <w:tcW w:w="1222" w:type="dxa"/>
                  <w:tcBorders>
                    <w:top w:val="nil"/>
                    <w:left w:val="nil"/>
                    <w:bottom w:val="single" w:sz="4" w:space="0" w:color="auto"/>
                    <w:right w:val="single" w:sz="4" w:space="0" w:color="auto"/>
                  </w:tcBorders>
                  <w:shd w:val="clear" w:color="auto" w:fill="auto"/>
                  <w:noWrap/>
                  <w:vAlign w:val="bottom"/>
                  <w:hideMark/>
                </w:tcPr>
                <w:p w14:paraId="295B931F"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1.398</w:t>
                  </w:r>
                </w:p>
              </w:tc>
              <w:tc>
                <w:tcPr>
                  <w:tcW w:w="1124" w:type="dxa"/>
                  <w:tcBorders>
                    <w:top w:val="nil"/>
                    <w:left w:val="nil"/>
                    <w:bottom w:val="single" w:sz="4" w:space="0" w:color="auto"/>
                    <w:right w:val="single" w:sz="4" w:space="0" w:color="auto"/>
                  </w:tcBorders>
                  <w:shd w:val="clear" w:color="auto" w:fill="auto"/>
                  <w:noWrap/>
                  <w:vAlign w:val="bottom"/>
                  <w:hideMark/>
                </w:tcPr>
                <w:p w14:paraId="3927C30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6.992</w:t>
                  </w:r>
                </w:p>
              </w:tc>
              <w:tc>
                <w:tcPr>
                  <w:tcW w:w="1574" w:type="dxa"/>
                  <w:tcBorders>
                    <w:top w:val="nil"/>
                    <w:left w:val="nil"/>
                    <w:bottom w:val="single" w:sz="4" w:space="0" w:color="auto"/>
                    <w:right w:val="single" w:sz="4" w:space="0" w:color="auto"/>
                  </w:tcBorders>
                  <w:shd w:val="clear" w:color="auto" w:fill="auto"/>
                  <w:noWrap/>
                  <w:vAlign w:val="bottom"/>
                  <w:hideMark/>
                </w:tcPr>
                <w:p w14:paraId="457201A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1.352</w:t>
                  </w:r>
                </w:p>
              </w:tc>
              <w:tc>
                <w:tcPr>
                  <w:tcW w:w="1420" w:type="dxa"/>
                  <w:tcBorders>
                    <w:top w:val="nil"/>
                    <w:left w:val="nil"/>
                    <w:bottom w:val="single" w:sz="4" w:space="0" w:color="auto"/>
                    <w:right w:val="single" w:sz="4" w:space="0" w:color="auto"/>
                  </w:tcBorders>
                  <w:shd w:val="clear" w:color="auto" w:fill="auto"/>
                  <w:noWrap/>
                  <w:vAlign w:val="bottom"/>
                  <w:hideMark/>
                </w:tcPr>
                <w:p w14:paraId="41B5D47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54,20%</w:t>
                  </w:r>
                </w:p>
              </w:tc>
            </w:tr>
            <w:tr w:rsidR="001C5F76" w:rsidRPr="00485F85" w14:paraId="6425945C" w14:textId="77777777" w:rsidTr="00BB72C8">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9B1E73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2019</w:t>
                  </w:r>
                </w:p>
              </w:tc>
              <w:tc>
                <w:tcPr>
                  <w:tcW w:w="1283" w:type="dxa"/>
                  <w:tcBorders>
                    <w:top w:val="nil"/>
                    <w:left w:val="nil"/>
                    <w:bottom w:val="single" w:sz="4" w:space="0" w:color="auto"/>
                    <w:right w:val="single" w:sz="4" w:space="0" w:color="auto"/>
                  </w:tcBorders>
                  <w:shd w:val="clear" w:color="auto" w:fill="auto"/>
                  <w:noWrap/>
                  <w:vAlign w:val="bottom"/>
                  <w:hideMark/>
                </w:tcPr>
                <w:p w14:paraId="3900C2F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1.678</w:t>
                  </w:r>
                </w:p>
              </w:tc>
              <w:tc>
                <w:tcPr>
                  <w:tcW w:w="1296" w:type="dxa"/>
                  <w:tcBorders>
                    <w:top w:val="nil"/>
                    <w:left w:val="nil"/>
                    <w:bottom w:val="single" w:sz="4" w:space="0" w:color="auto"/>
                    <w:right w:val="single" w:sz="4" w:space="0" w:color="auto"/>
                  </w:tcBorders>
                  <w:shd w:val="clear" w:color="auto" w:fill="auto"/>
                  <w:noWrap/>
                  <w:vAlign w:val="bottom"/>
                  <w:hideMark/>
                </w:tcPr>
                <w:p w14:paraId="6D43387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7.145</w:t>
                  </w:r>
                </w:p>
              </w:tc>
              <w:tc>
                <w:tcPr>
                  <w:tcW w:w="1381" w:type="dxa"/>
                  <w:tcBorders>
                    <w:top w:val="nil"/>
                    <w:left w:val="nil"/>
                    <w:bottom w:val="single" w:sz="4" w:space="0" w:color="auto"/>
                    <w:right w:val="single" w:sz="4" w:space="0" w:color="auto"/>
                  </w:tcBorders>
                  <w:shd w:val="clear" w:color="auto" w:fill="auto"/>
                  <w:noWrap/>
                  <w:vAlign w:val="bottom"/>
                  <w:hideMark/>
                </w:tcPr>
                <w:p w14:paraId="46D93D4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1.407</w:t>
                  </w:r>
                </w:p>
              </w:tc>
              <w:tc>
                <w:tcPr>
                  <w:tcW w:w="1222" w:type="dxa"/>
                  <w:tcBorders>
                    <w:top w:val="nil"/>
                    <w:left w:val="nil"/>
                    <w:bottom w:val="single" w:sz="4" w:space="0" w:color="auto"/>
                    <w:right w:val="single" w:sz="4" w:space="0" w:color="auto"/>
                  </w:tcBorders>
                  <w:shd w:val="clear" w:color="auto" w:fill="auto"/>
                  <w:noWrap/>
                  <w:vAlign w:val="bottom"/>
                  <w:hideMark/>
                </w:tcPr>
                <w:p w14:paraId="17110BA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1.381</w:t>
                  </w:r>
                </w:p>
              </w:tc>
              <w:tc>
                <w:tcPr>
                  <w:tcW w:w="1124" w:type="dxa"/>
                  <w:tcBorders>
                    <w:top w:val="nil"/>
                    <w:left w:val="nil"/>
                    <w:bottom w:val="single" w:sz="4" w:space="0" w:color="auto"/>
                    <w:right w:val="single" w:sz="4" w:space="0" w:color="auto"/>
                  </w:tcBorders>
                  <w:shd w:val="clear" w:color="auto" w:fill="auto"/>
                  <w:noWrap/>
                  <w:vAlign w:val="bottom"/>
                  <w:hideMark/>
                </w:tcPr>
                <w:p w14:paraId="03F8383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6.736</w:t>
                  </w:r>
                </w:p>
              </w:tc>
              <w:tc>
                <w:tcPr>
                  <w:tcW w:w="1574" w:type="dxa"/>
                  <w:tcBorders>
                    <w:top w:val="nil"/>
                    <w:left w:val="nil"/>
                    <w:bottom w:val="single" w:sz="4" w:space="0" w:color="auto"/>
                    <w:right w:val="single" w:sz="4" w:space="0" w:color="auto"/>
                  </w:tcBorders>
                  <w:shd w:val="clear" w:color="auto" w:fill="auto"/>
                  <w:noWrap/>
                  <w:vAlign w:val="bottom"/>
                  <w:hideMark/>
                </w:tcPr>
                <w:p w14:paraId="649090A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1.183</w:t>
                  </w:r>
                </w:p>
              </w:tc>
              <w:tc>
                <w:tcPr>
                  <w:tcW w:w="1420" w:type="dxa"/>
                  <w:tcBorders>
                    <w:top w:val="nil"/>
                    <w:left w:val="nil"/>
                    <w:bottom w:val="single" w:sz="4" w:space="0" w:color="auto"/>
                    <w:right w:val="single" w:sz="4" w:space="0" w:color="auto"/>
                  </w:tcBorders>
                  <w:shd w:val="clear" w:color="auto" w:fill="auto"/>
                  <w:noWrap/>
                  <w:vAlign w:val="bottom"/>
                  <w:hideMark/>
                </w:tcPr>
                <w:p w14:paraId="190B5E1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54,30%</w:t>
                  </w:r>
                </w:p>
              </w:tc>
            </w:tr>
            <w:tr w:rsidR="001C5F76" w:rsidRPr="00485F85" w14:paraId="5F5EFFF3" w14:textId="77777777" w:rsidTr="00BB72C8">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0B97EDE"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2018</w:t>
                  </w:r>
                </w:p>
              </w:tc>
              <w:tc>
                <w:tcPr>
                  <w:tcW w:w="1283" w:type="dxa"/>
                  <w:tcBorders>
                    <w:top w:val="nil"/>
                    <w:left w:val="nil"/>
                    <w:bottom w:val="single" w:sz="4" w:space="0" w:color="auto"/>
                    <w:right w:val="single" w:sz="4" w:space="0" w:color="auto"/>
                  </w:tcBorders>
                  <w:shd w:val="clear" w:color="auto" w:fill="auto"/>
                  <w:noWrap/>
                  <w:vAlign w:val="bottom"/>
                  <w:hideMark/>
                </w:tcPr>
                <w:p w14:paraId="3744BE4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1.543</w:t>
                  </w:r>
                </w:p>
              </w:tc>
              <w:tc>
                <w:tcPr>
                  <w:tcW w:w="1296" w:type="dxa"/>
                  <w:tcBorders>
                    <w:top w:val="nil"/>
                    <w:left w:val="nil"/>
                    <w:bottom w:val="single" w:sz="4" w:space="0" w:color="auto"/>
                    <w:right w:val="single" w:sz="4" w:space="0" w:color="auto"/>
                  </w:tcBorders>
                  <w:shd w:val="clear" w:color="auto" w:fill="auto"/>
                  <w:noWrap/>
                  <w:vAlign w:val="bottom"/>
                  <w:hideMark/>
                </w:tcPr>
                <w:p w14:paraId="6344630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6.342</w:t>
                  </w:r>
                </w:p>
              </w:tc>
              <w:tc>
                <w:tcPr>
                  <w:tcW w:w="1381" w:type="dxa"/>
                  <w:tcBorders>
                    <w:top w:val="nil"/>
                    <w:left w:val="nil"/>
                    <w:bottom w:val="single" w:sz="4" w:space="0" w:color="auto"/>
                    <w:right w:val="single" w:sz="4" w:space="0" w:color="auto"/>
                  </w:tcBorders>
                  <w:shd w:val="clear" w:color="auto" w:fill="auto"/>
                  <w:noWrap/>
                  <w:vAlign w:val="bottom"/>
                  <w:hideMark/>
                </w:tcPr>
                <w:p w14:paraId="519847C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1.317</w:t>
                  </w:r>
                </w:p>
              </w:tc>
              <w:tc>
                <w:tcPr>
                  <w:tcW w:w="1222" w:type="dxa"/>
                  <w:tcBorders>
                    <w:top w:val="nil"/>
                    <w:left w:val="nil"/>
                    <w:bottom w:val="single" w:sz="4" w:space="0" w:color="auto"/>
                    <w:right w:val="single" w:sz="4" w:space="0" w:color="auto"/>
                  </w:tcBorders>
                  <w:shd w:val="clear" w:color="auto" w:fill="auto"/>
                  <w:noWrap/>
                  <w:vAlign w:val="bottom"/>
                  <w:hideMark/>
                </w:tcPr>
                <w:p w14:paraId="5A0692A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1.417</w:t>
                  </w:r>
                </w:p>
              </w:tc>
              <w:tc>
                <w:tcPr>
                  <w:tcW w:w="1124" w:type="dxa"/>
                  <w:tcBorders>
                    <w:top w:val="nil"/>
                    <w:left w:val="nil"/>
                    <w:bottom w:val="single" w:sz="4" w:space="0" w:color="auto"/>
                    <w:right w:val="single" w:sz="4" w:space="0" w:color="auto"/>
                  </w:tcBorders>
                  <w:shd w:val="clear" w:color="auto" w:fill="auto"/>
                  <w:noWrap/>
                  <w:vAlign w:val="bottom"/>
                  <w:hideMark/>
                </w:tcPr>
                <w:p w14:paraId="4934159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6.671</w:t>
                  </w:r>
                </w:p>
              </w:tc>
              <w:tc>
                <w:tcPr>
                  <w:tcW w:w="1574" w:type="dxa"/>
                  <w:tcBorders>
                    <w:top w:val="nil"/>
                    <w:left w:val="nil"/>
                    <w:bottom w:val="single" w:sz="4" w:space="0" w:color="auto"/>
                    <w:right w:val="single" w:sz="4" w:space="0" w:color="auto"/>
                  </w:tcBorders>
                  <w:shd w:val="clear" w:color="auto" w:fill="auto"/>
                  <w:noWrap/>
                  <w:vAlign w:val="bottom"/>
                  <w:hideMark/>
                </w:tcPr>
                <w:p w14:paraId="6E2BFE7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1.253</w:t>
                  </w:r>
                </w:p>
              </w:tc>
              <w:tc>
                <w:tcPr>
                  <w:tcW w:w="1420" w:type="dxa"/>
                  <w:tcBorders>
                    <w:top w:val="nil"/>
                    <w:left w:val="nil"/>
                    <w:bottom w:val="single" w:sz="4" w:space="0" w:color="auto"/>
                    <w:right w:val="single" w:sz="4" w:space="0" w:color="auto"/>
                  </w:tcBorders>
                  <w:shd w:val="clear" w:color="auto" w:fill="auto"/>
                  <w:noWrap/>
                  <w:vAlign w:val="bottom"/>
                  <w:hideMark/>
                </w:tcPr>
                <w:p w14:paraId="28CD19A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51,20%</w:t>
                  </w:r>
                </w:p>
              </w:tc>
            </w:tr>
            <w:tr w:rsidR="001C5F76" w:rsidRPr="00485F85" w14:paraId="4897501E" w14:textId="77777777" w:rsidTr="00BB72C8">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A8E0204"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2017</w:t>
                  </w:r>
                </w:p>
              </w:tc>
              <w:tc>
                <w:tcPr>
                  <w:tcW w:w="1283" w:type="dxa"/>
                  <w:tcBorders>
                    <w:top w:val="nil"/>
                    <w:left w:val="nil"/>
                    <w:bottom w:val="single" w:sz="4" w:space="0" w:color="auto"/>
                    <w:right w:val="single" w:sz="4" w:space="0" w:color="auto"/>
                  </w:tcBorders>
                  <w:shd w:val="clear" w:color="auto" w:fill="auto"/>
                  <w:noWrap/>
                  <w:vAlign w:val="bottom"/>
                  <w:hideMark/>
                </w:tcPr>
                <w:p w14:paraId="14F02D2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1.507</w:t>
                  </w:r>
                </w:p>
              </w:tc>
              <w:tc>
                <w:tcPr>
                  <w:tcW w:w="1296" w:type="dxa"/>
                  <w:tcBorders>
                    <w:top w:val="nil"/>
                    <w:left w:val="nil"/>
                    <w:bottom w:val="single" w:sz="4" w:space="0" w:color="auto"/>
                    <w:right w:val="single" w:sz="4" w:space="0" w:color="auto"/>
                  </w:tcBorders>
                  <w:shd w:val="clear" w:color="auto" w:fill="auto"/>
                  <w:noWrap/>
                  <w:vAlign w:val="bottom"/>
                  <w:hideMark/>
                </w:tcPr>
                <w:p w14:paraId="5D00A82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6.144</w:t>
                  </w:r>
                </w:p>
              </w:tc>
              <w:tc>
                <w:tcPr>
                  <w:tcW w:w="1381" w:type="dxa"/>
                  <w:tcBorders>
                    <w:top w:val="nil"/>
                    <w:left w:val="nil"/>
                    <w:bottom w:val="single" w:sz="4" w:space="0" w:color="auto"/>
                    <w:right w:val="single" w:sz="4" w:space="0" w:color="auto"/>
                  </w:tcBorders>
                  <w:shd w:val="clear" w:color="auto" w:fill="auto"/>
                  <w:noWrap/>
                  <w:vAlign w:val="bottom"/>
                  <w:hideMark/>
                </w:tcPr>
                <w:p w14:paraId="7D40A7F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1.280</w:t>
                  </w:r>
                </w:p>
              </w:tc>
              <w:tc>
                <w:tcPr>
                  <w:tcW w:w="1222" w:type="dxa"/>
                  <w:tcBorders>
                    <w:top w:val="nil"/>
                    <w:left w:val="nil"/>
                    <w:bottom w:val="single" w:sz="4" w:space="0" w:color="auto"/>
                    <w:right w:val="single" w:sz="4" w:space="0" w:color="auto"/>
                  </w:tcBorders>
                  <w:shd w:val="clear" w:color="auto" w:fill="auto"/>
                  <w:noWrap/>
                  <w:vAlign w:val="bottom"/>
                  <w:hideMark/>
                </w:tcPr>
                <w:p w14:paraId="347915A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1.434</w:t>
                  </w:r>
                </w:p>
              </w:tc>
              <w:tc>
                <w:tcPr>
                  <w:tcW w:w="1124" w:type="dxa"/>
                  <w:tcBorders>
                    <w:top w:val="nil"/>
                    <w:left w:val="nil"/>
                    <w:bottom w:val="single" w:sz="4" w:space="0" w:color="auto"/>
                    <w:right w:val="single" w:sz="4" w:space="0" w:color="auto"/>
                  </w:tcBorders>
                  <w:shd w:val="clear" w:color="auto" w:fill="auto"/>
                  <w:noWrap/>
                  <w:vAlign w:val="bottom"/>
                  <w:hideMark/>
                </w:tcPr>
                <w:p w14:paraId="2440C75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6.452</w:t>
                  </w:r>
                </w:p>
              </w:tc>
              <w:tc>
                <w:tcPr>
                  <w:tcW w:w="1574" w:type="dxa"/>
                  <w:tcBorders>
                    <w:top w:val="nil"/>
                    <w:left w:val="nil"/>
                    <w:bottom w:val="single" w:sz="4" w:space="0" w:color="auto"/>
                    <w:right w:val="single" w:sz="4" w:space="0" w:color="auto"/>
                  </w:tcBorders>
                  <w:shd w:val="clear" w:color="auto" w:fill="auto"/>
                  <w:noWrap/>
                  <w:vAlign w:val="bottom"/>
                  <w:hideMark/>
                </w:tcPr>
                <w:p w14:paraId="642C315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1.280</w:t>
                  </w:r>
                </w:p>
              </w:tc>
              <w:tc>
                <w:tcPr>
                  <w:tcW w:w="1420" w:type="dxa"/>
                  <w:tcBorders>
                    <w:top w:val="nil"/>
                    <w:left w:val="nil"/>
                    <w:bottom w:val="single" w:sz="4" w:space="0" w:color="auto"/>
                    <w:right w:val="single" w:sz="4" w:space="0" w:color="auto"/>
                  </w:tcBorders>
                  <w:shd w:val="clear" w:color="auto" w:fill="auto"/>
                  <w:noWrap/>
                  <w:vAlign w:val="bottom"/>
                  <w:hideMark/>
                </w:tcPr>
                <w:p w14:paraId="0E6EB80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50,00%</w:t>
                  </w:r>
                </w:p>
              </w:tc>
            </w:tr>
            <w:tr w:rsidR="001C5F76" w:rsidRPr="00485F85" w14:paraId="51978382" w14:textId="77777777" w:rsidTr="00BB72C8">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FE96BB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2016</w:t>
                  </w:r>
                </w:p>
              </w:tc>
              <w:tc>
                <w:tcPr>
                  <w:tcW w:w="1283" w:type="dxa"/>
                  <w:tcBorders>
                    <w:top w:val="nil"/>
                    <w:left w:val="nil"/>
                    <w:bottom w:val="single" w:sz="4" w:space="0" w:color="auto"/>
                    <w:right w:val="single" w:sz="4" w:space="0" w:color="auto"/>
                  </w:tcBorders>
                  <w:shd w:val="clear" w:color="auto" w:fill="auto"/>
                  <w:noWrap/>
                  <w:vAlign w:val="bottom"/>
                  <w:hideMark/>
                </w:tcPr>
                <w:p w14:paraId="68D6E72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1.478</w:t>
                  </w:r>
                </w:p>
              </w:tc>
              <w:tc>
                <w:tcPr>
                  <w:tcW w:w="1296" w:type="dxa"/>
                  <w:tcBorders>
                    <w:top w:val="nil"/>
                    <w:left w:val="nil"/>
                    <w:bottom w:val="single" w:sz="4" w:space="0" w:color="auto"/>
                    <w:right w:val="single" w:sz="4" w:space="0" w:color="auto"/>
                  </w:tcBorders>
                  <w:shd w:val="clear" w:color="auto" w:fill="auto"/>
                  <w:noWrap/>
                  <w:vAlign w:val="bottom"/>
                  <w:hideMark/>
                </w:tcPr>
                <w:p w14:paraId="176EDE0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6.009</w:t>
                  </w:r>
                </w:p>
              </w:tc>
              <w:tc>
                <w:tcPr>
                  <w:tcW w:w="1381" w:type="dxa"/>
                  <w:tcBorders>
                    <w:top w:val="nil"/>
                    <w:left w:val="nil"/>
                    <w:bottom w:val="single" w:sz="4" w:space="0" w:color="auto"/>
                    <w:right w:val="single" w:sz="4" w:space="0" w:color="auto"/>
                  </w:tcBorders>
                  <w:shd w:val="clear" w:color="auto" w:fill="auto"/>
                  <w:noWrap/>
                  <w:vAlign w:val="bottom"/>
                  <w:hideMark/>
                </w:tcPr>
                <w:p w14:paraId="1349372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1.285</w:t>
                  </w:r>
                </w:p>
              </w:tc>
              <w:tc>
                <w:tcPr>
                  <w:tcW w:w="1222" w:type="dxa"/>
                  <w:tcBorders>
                    <w:top w:val="nil"/>
                    <w:left w:val="nil"/>
                    <w:bottom w:val="single" w:sz="4" w:space="0" w:color="auto"/>
                    <w:right w:val="single" w:sz="4" w:space="0" w:color="auto"/>
                  </w:tcBorders>
                  <w:shd w:val="clear" w:color="auto" w:fill="auto"/>
                  <w:noWrap/>
                  <w:vAlign w:val="bottom"/>
                  <w:hideMark/>
                </w:tcPr>
                <w:p w14:paraId="7AD5568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1.527</w:t>
                  </w:r>
                </w:p>
              </w:tc>
              <w:tc>
                <w:tcPr>
                  <w:tcW w:w="1124" w:type="dxa"/>
                  <w:tcBorders>
                    <w:top w:val="nil"/>
                    <w:left w:val="nil"/>
                    <w:bottom w:val="single" w:sz="4" w:space="0" w:color="auto"/>
                    <w:right w:val="single" w:sz="4" w:space="0" w:color="auto"/>
                  </w:tcBorders>
                  <w:shd w:val="clear" w:color="auto" w:fill="auto"/>
                  <w:noWrap/>
                  <w:vAlign w:val="bottom"/>
                  <w:hideMark/>
                </w:tcPr>
                <w:p w14:paraId="6565CCA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6.200</w:t>
                  </w:r>
                </w:p>
              </w:tc>
              <w:tc>
                <w:tcPr>
                  <w:tcW w:w="1574" w:type="dxa"/>
                  <w:tcBorders>
                    <w:top w:val="nil"/>
                    <w:left w:val="nil"/>
                    <w:bottom w:val="single" w:sz="4" w:space="0" w:color="auto"/>
                    <w:right w:val="single" w:sz="4" w:space="0" w:color="auto"/>
                  </w:tcBorders>
                  <w:shd w:val="clear" w:color="auto" w:fill="auto"/>
                  <w:noWrap/>
                  <w:vAlign w:val="bottom"/>
                  <w:hideMark/>
                </w:tcPr>
                <w:p w14:paraId="0D68879F"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1.361</w:t>
                  </w:r>
                </w:p>
              </w:tc>
              <w:tc>
                <w:tcPr>
                  <w:tcW w:w="1420" w:type="dxa"/>
                  <w:tcBorders>
                    <w:top w:val="nil"/>
                    <w:left w:val="nil"/>
                    <w:bottom w:val="single" w:sz="4" w:space="0" w:color="auto"/>
                    <w:right w:val="single" w:sz="4" w:space="0" w:color="auto"/>
                  </w:tcBorders>
                  <w:shd w:val="clear" w:color="auto" w:fill="auto"/>
                  <w:noWrap/>
                  <w:vAlign w:val="bottom"/>
                  <w:hideMark/>
                </w:tcPr>
                <w:p w14:paraId="7E27A2A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48,60%</w:t>
                  </w:r>
                </w:p>
              </w:tc>
            </w:tr>
          </w:tbl>
          <w:p w14:paraId="3C9CFDE6" w14:textId="77777777" w:rsidR="001C5F76" w:rsidRPr="00485F85" w:rsidRDefault="001C5F76" w:rsidP="00DD5B0C">
            <w:pPr>
              <w:spacing w:line="360" w:lineRule="auto"/>
              <w:rPr>
                <w:rFonts w:asciiTheme="majorHAnsi" w:hAnsiTheme="majorHAnsi" w:cstheme="majorHAnsi"/>
                <w:b w:val="0"/>
                <w:u w:val="single"/>
              </w:rPr>
            </w:pPr>
          </w:p>
        </w:tc>
      </w:tr>
      <w:tr w:rsidR="001C5F76" w:rsidRPr="00485F85" w14:paraId="0CA0B045"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p w14:paraId="4277E533" w14:textId="77777777" w:rsidR="001C5F76" w:rsidRPr="00485F85" w:rsidRDefault="001C5F76" w:rsidP="00DD5B0C">
            <w:pPr>
              <w:spacing w:line="360" w:lineRule="auto"/>
              <w:rPr>
                <w:rFonts w:asciiTheme="majorHAnsi" w:hAnsiTheme="majorHAnsi" w:cstheme="majorHAnsi"/>
                <w:b w:val="0"/>
                <w:u w:val="single"/>
              </w:rPr>
            </w:pPr>
          </w:p>
        </w:tc>
      </w:tr>
      <w:tr w:rsidR="001C5F76" w:rsidRPr="00485F85" w14:paraId="039679E9"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Pr>
          <w:p w14:paraId="0B96F946" w14:textId="77777777" w:rsidR="001C5F76" w:rsidRPr="00485F85" w:rsidRDefault="001C5F76" w:rsidP="00DD5B0C">
            <w:pPr>
              <w:spacing w:line="360" w:lineRule="auto"/>
              <w:rPr>
                <w:rFonts w:asciiTheme="majorHAnsi" w:hAnsiTheme="majorHAnsi" w:cstheme="majorHAnsi"/>
                <w:b w:val="0"/>
                <w:bCs w:val="0"/>
                <w:sz w:val="20"/>
                <w:szCs w:val="20"/>
              </w:rPr>
            </w:pPr>
            <w:r w:rsidRPr="00485F85">
              <w:rPr>
                <w:rFonts w:asciiTheme="majorHAnsi" w:hAnsiTheme="majorHAnsi" w:cstheme="majorHAnsi"/>
              </w:rPr>
              <w:t>Perfil Etário</w:t>
            </w:r>
          </w:p>
        </w:tc>
        <w:tc>
          <w:tcPr>
            <w:tcW w:w="7855" w:type="dxa"/>
            <w:gridSpan w:val="8"/>
          </w:tcPr>
          <w:p w14:paraId="39E59A5E"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385FDADF"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r w:rsidRPr="00485F85">
              <w:rPr>
                <w:rFonts w:asciiTheme="majorHAnsi" w:hAnsiTheme="majorHAnsi" w:cstheme="majorHAnsi"/>
                <w:bCs/>
              </w:rPr>
              <w:t>A Universidade não oferece o perfil etário dos alunos. Os dados foram retirados do site do HESA e são referentes a Inglaterra como um todo.</w:t>
            </w:r>
            <w:r w:rsidRPr="00485F85">
              <w:rPr>
                <w:rFonts w:asciiTheme="majorHAnsi" w:hAnsiTheme="majorHAnsi" w:cstheme="majorHAnsi"/>
                <w:b/>
                <w:u w:val="single"/>
              </w:rPr>
              <w:t xml:space="preserve"> </w:t>
            </w:r>
            <w:hyperlink r:id="rId220" w:history="1">
              <w:r w:rsidRPr="00485F85">
                <w:rPr>
                  <w:rFonts w:asciiTheme="majorHAnsi" w:hAnsiTheme="majorHAnsi" w:cstheme="majorHAnsi"/>
                  <w:bCs/>
                  <w:color w:val="4875BD" w:themeColor="accent1"/>
                </w:rPr>
                <w:t>https://www.hesa.ac.uk/data-and-analysis/students/whos-in-he</w:t>
              </w:r>
            </w:hyperlink>
            <w:r w:rsidRPr="00485F85">
              <w:rPr>
                <w:rFonts w:asciiTheme="majorHAnsi" w:hAnsiTheme="majorHAnsi" w:cstheme="majorHAnsi"/>
                <w:bCs/>
              </w:rPr>
              <w:t xml:space="preserve"> </w:t>
            </w:r>
          </w:p>
          <w:p w14:paraId="505C64DE"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r>
      <w:tr w:rsidR="001C5F76" w:rsidRPr="00485F85" w14:paraId="0292C391"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tbl>
            <w:tblPr>
              <w:tblW w:w="10521" w:type="dxa"/>
              <w:tblLayout w:type="fixed"/>
              <w:tblCellMar>
                <w:left w:w="70" w:type="dxa"/>
                <w:right w:w="70" w:type="dxa"/>
              </w:tblCellMar>
              <w:tblLook w:val="04A0" w:firstRow="1" w:lastRow="0" w:firstColumn="1" w:lastColumn="0" w:noHBand="0" w:noVBand="1"/>
            </w:tblPr>
            <w:tblGrid>
              <w:gridCol w:w="2158"/>
              <w:gridCol w:w="1843"/>
              <w:gridCol w:w="1417"/>
              <w:gridCol w:w="1418"/>
              <w:gridCol w:w="1701"/>
              <w:gridCol w:w="1984"/>
            </w:tblGrid>
            <w:tr w:rsidR="001C5F76" w:rsidRPr="00485F85" w14:paraId="39BBB7B3" w14:textId="77777777" w:rsidTr="00BB72C8">
              <w:trPr>
                <w:trHeight w:val="300"/>
              </w:trPr>
              <w:tc>
                <w:tcPr>
                  <w:tcW w:w="2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8A47" w14:textId="77777777" w:rsidR="001C5F76" w:rsidRPr="00485F85" w:rsidRDefault="001C5F76" w:rsidP="00DD5B0C">
                  <w:pPr>
                    <w:tabs>
                      <w:tab w:val="clear" w:pos="1615"/>
                    </w:tabs>
                    <w:spacing w:after="0" w:line="360" w:lineRule="auto"/>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Grupo etário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F8AD32"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2015/16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119241D"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2016/17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C8B5B4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2017/18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399E9E"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2018/19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286D58F"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20/2019</w:t>
                  </w:r>
                </w:p>
              </w:tc>
            </w:tr>
            <w:tr w:rsidR="001C5F76" w:rsidRPr="00485F85" w14:paraId="1B05F6B9" w14:textId="77777777" w:rsidTr="00BB72C8">
              <w:trPr>
                <w:trHeight w:val="300"/>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14:paraId="71832577" w14:textId="77777777" w:rsidR="001C5F76" w:rsidRPr="00485F85" w:rsidRDefault="001C5F76" w:rsidP="00DD5B0C">
                  <w:pPr>
                    <w:tabs>
                      <w:tab w:val="clear" w:pos="1615"/>
                    </w:tabs>
                    <w:spacing w:after="0"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 e menos</w:t>
                  </w:r>
                </w:p>
              </w:tc>
              <w:tc>
                <w:tcPr>
                  <w:tcW w:w="1843" w:type="dxa"/>
                  <w:tcBorders>
                    <w:top w:val="nil"/>
                    <w:left w:val="nil"/>
                    <w:bottom w:val="single" w:sz="4" w:space="0" w:color="auto"/>
                    <w:right w:val="single" w:sz="4" w:space="0" w:color="auto"/>
                  </w:tcBorders>
                  <w:shd w:val="clear" w:color="auto" w:fill="auto"/>
                  <w:noWrap/>
                  <w:vAlign w:val="bottom"/>
                  <w:hideMark/>
                </w:tcPr>
                <w:p w14:paraId="4F41457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782.150</w:t>
                  </w:r>
                </w:p>
              </w:tc>
              <w:tc>
                <w:tcPr>
                  <w:tcW w:w="1417" w:type="dxa"/>
                  <w:tcBorders>
                    <w:top w:val="nil"/>
                    <w:left w:val="nil"/>
                    <w:bottom w:val="single" w:sz="4" w:space="0" w:color="auto"/>
                    <w:right w:val="single" w:sz="4" w:space="0" w:color="auto"/>
                  </w:tcBorders>
                  <w:shd w:val="clear" w:color="auto" w:fill="auto"/>
                  <w:noWrap/>
                  <w:vAlign w:val="bottom"/>
                  <w:hideMark/>
                </w:tcPr>
                <w:p w14:paraId="161283D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802.240</w:t>
                  </w:r>
                </w:p>
              </w:tc>
              <w:tc>
                <w:tcPr>
                  <w:tcW w:w="1418" w:type="dxa"/>
                  <w:tcBorders>
                    <w:top w:val="nil"/>
                    <w:left w:val="nil"/>
                    <w:bottom w:val="single" w:sz="4" w:space="0" w:color="auto"/>
                    <w:right w:val="single" w:sz="4" w:space="0" w:color="auto"/>
                  </w:tcBorders>
                  <w:shd w:val="clear" w:color="auto" w:fill="auto"/>
                  <w:noWrap/>
                  <w:vAlign w:val="bottom"/>
                  <w:hideMark/>
                </w:tcPr>
                <w:p w14:paraId="5F582C3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819.060</w:t>
                  </w:r>
                </w:p>
              </w:tc>
              <w:tc>
                <w:tcPr>
                  <w:tcW w:w="1701" w:type="dxa"/>
                  <w:tcBorders>
                    <w:top w:val="nil"/>
                    <w:left w:val="nil"/>
                    <w:bottom w:val="single" w:sz="4" w:space="0" w:color="auto"/>
                    <w:right w:val="single" w:sz="4" w:space="0" w:color="auto"/>
                  </w:tcBorders>
                  <w:shd w:val="clear" w:color="auto" w:fill="auto"/>
                  <w:noWrap/>
                  <w:vAlign w:val="bottom"/>
                  <w:hideMark/>
                </w:tcPr>
                <w:p w14:paraId="54A414E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825.800</w:t>
                  </w:r>
                </w:p>
              </w:tc>
              <w:tc>
                <w:tcPr>
                  <w:tcW w:w="1984" w:type="dxa"/>
                  <w:tcBorders>
                    <w:top w:val="nil"/>
                    <w:left w:val="nil"/>
                    <w:bottom w:val="single" w:sz="4" w:space="0" w:color="auto"/>
                    <w:right w:val="single" w:sz="4" w:space="0" w:color="auto"/>
                  </w:tcBorders>
                  <w:shd w:val="clear" w:color="auto" w:fill="auto"/>
                  <w:noWrap/>
                  <w:vAlign w:val="bottom"/>
                  <w:hideMark/>
                </w:tcPr>
                <w:p w14:paraId="35C328E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844.260</w:t>
                  </w:r>
                </w:p>
              </w:tc>
            </w:tr>
            <w:tr w:rsidR="001C5F76" w:rsidRPr="00485F85" w14:paraId="791868DE" w14:textId="77777777" w:rsidTr="00BB72C8">
              <w:trPr>
                <w:trHeight w:val="300"/>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14:paraId="4ED6DCE4" w14:textId="77777777" w:rsidR="001C5F76" w:rsidRPr="00485F85" w:rsidRDefault="001C5F76" w:rsidP="00DD5B0C">
                  <w:pPr>
                    <w:tabs>
                      <w:tab w:val="clear" w:pos="1615"/>
                    </w:tabs>
                    <w:spacing w:after="0"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21-24 anos</w:t>
                  </w:r>
                </w:p>
              </w:tc>
              <w:tc>
                <w:tcPr>
                  <w:tcW w:w="1843" w:type="dxa"/>
                  <w:tcBorders>
                    <w:top w:val="nil"/>
                    <w:left w:val="nil"/>
                    <w:bottom w:val="single" w:sz="4" w:space="0" w:color="auto"/>
                    <w:right w:val="single" w:sz="4" w:space="0" w:color="auto"/>
                  </w:tcBorders>
                  <w:shd w:val="clear" w:color="auto" w:fill="auto"/>
                  <w:noWrap/>
                  <w:vAlign w:val="bottom"/>
                  <w:hideMark/>
                </w:tcPr>
                <w:p w14:paraId="23E4EDD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511.800</w:t>
                  </w:r>
                </w:p>
              </w:tc>
              <w:tc>
                <w:tcPr>
                  <w:tcW w:w="1417" w:type="dxa"/>
                  <w:tcBorders>
                    <w:top w:val="nil"/>
                    <w:left w:val="nil"/>
                    <w:bottom w:val="single" w:sz="4" w:space="0" w:color="auto"/>
                    <w:right w:val="single" w:sz="4" w:space="0" w:color="auto"/>
                  </w:tcBorders>
                  <w:shd w:val="clear" w:color="auto" w:fill="auto"/>
                  <w:noWrap/>
                  <w:vAlign w:val="bottom"/>
                  <w:hideMark/>
                </w:tcPr>
                <w:p w14:paraId="208466B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534.280</w:t>
                  </w:r>
                </w:p>
              </w:tc>
              <w:tc>
                <w:tcPr>
                  <w:tcW w:w="1418" w:type="dxa"/>
                  <w:tcBorders>
                    <w:top w:val="nil"/>
                    <w:left w:val="nil"/>
                    <w:bottom w:val="single" w:sz="4" w:space="0" w:color="auto"/>
                    <w:right w:val="single" w:sz="4" w:space="0" w:color="auto"/>
                  </w:tcBorders>
                  <w:shd w:val="clear" w:color="auto" w:fill="auto"/>
                  <w:noWrap/>
                  <w:vAlign w:val="bottom"/>
                  <w:hideMark/>
                </w:tcPr>
                <w:p w14:paraId="12650A4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555.215</w:t>
                  </w:r>
                </w:p>
              </w:tc>
              <w:tc>
                <w:tcPr>
                  <w:tcW w:w="1701" w:type="dxa"/>
                  <w:tcBorders>
                    <w:top w:val="nil"/>
                    <w:left w:val="nil"/>
                    <w:bottom w:val="single" w:sz="4" w:space="0" w:color="auto"/>
                    <w:right w:val="single" w:sz="4" w:space="0" w:color="auto"/>
                  </w:tcBorders>
                  <w:shd w:val="clear" w:color="auto" w:fill="auto"/>
                  <w:noWrap/>
                  <w:vAlign w:val="bottom"/>
                  <w:hideMark/>
                </w:tcPr>
                <w:p w14:paraId="49489F3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574.085</w:t>
                  </w:r>
                </w:p>
              </w:tc>
              <w:tc>
                <w:tcPr>
                  <w:tcW w:w="1984" w:type="dxa"/>
                  <w:tcBorders>
                    <w:top w:val="nil"/>
                    <w:left w:val="nil"/>
                    <w:bottom w:val="single" w:sz="4" w:space="0" w:color="auto"/>
                    <w:right w:val="single" w:sz="4" w:space="0" w:color="auto"/>
                  </w:tcBorders>
                  <w:shd w:val="clear" w:color="auto" w:fill="auto"/>
                  <w:noWrap/>
                  <w:vAlign w:val="bottom"/>
                  <w:hideMark/>
                </w:tcPr>
                <w:p w14:paraId="02119F4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602.200</w:t>
                  </w:r>
                </w:p>
              </w:tc>
            </w:tr>
            <w:tr w:rsidR="001C5F76" w:rsidRPr="00485F85" w14:paraId="3CACBA71" w14:textId="77777777" w:rsidTr="00BB72C8">
              <w:trPr>
                <w:trHeight w:val="300"/>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14:paraId="387BF314" w14:textId="77777777" w:rsidR="001C5F76" w:rsidRPr="00485F85" w:rsidRDefault="001C5F76" w:rsidP="00DD5B0C">
                  <w:pPr>
                    <w:tabs>
                      <w:tab w:val="clear" w:pos="1615"/>
                    </w:tabs>
                    <w:spacing w:after="0"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25-29 anos</w:t>
                  </w:r>
                </w:p>
              </w:tc>
              <w:tc>
                <w:tcPr>
                  <w:tcW w:w="1843" w:type="dxa"/>
                  <w:tcBorders>
                    <w:top w:val="nil"/>
                    <w:left w:val="nil"/>
                    <w:bottom w:val="single" w:sz="4" w:space="0" w:color="auto"/>
                    <w:right w:val="single" w:sz="4" w:space="0" w:color="auto"/>
                  </w:tcBorders>
                  <w:shd w:val="clear" w:color="auto" w:fill="auto"/>
                  <w:noWrap/>
                  <w:vAlign w:val="bottom"/>
                  <w:hideMark/>
                </w:tcPr>
                <w:p w14:paraId="06291C5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215.180</w:t>
                  </w:r>
                </w:p>
              </w:tc>
              <w:tc>
                <w:tcPr>
                  <w:tcW w:w="1417" w:type="dxa"/>
                  <w:tcBorders>
                    <w:top w:val="nil"/>
                    <w:left w:val="nil"/>
                    <w:bottom w:val="single" w:sz="4" w:space="0" w:color="auto"/>
                    <w:right w:val="single" w:sz="4" w:space="0" w:color="auto"/>
                  </w:tcBorders>
                  <w:shd w:val="clear" w:color="auto" w:fill="auto"/>
                  <w:noWrap/>
                  <w:vAlign w:val="bottom"/>
                  <w:hideMark/>
                </w:tcPr>
                <w:p w14:paraId="7231C3F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216.580</w:t>
                  </w:r>
                </w:p>
              </w:tc>
              <w:tc>
                <w:tcPr>
                  <w:tcW w:w="1418" w:type="dxa"/>
                  <w:tcBorders>
                    <w:top w:val="nil"/>
                    <w:left w:val="nil"/>
                    <w:bottom w:val="single" w:sz="4" w:space="0" w:color="auto"/>
                    <w:right w:val="single" w:sz="4" w:space="0" w:color="auto"/>
                  </w:tcBorders>
                  <w:shd w:val="clear" w:color="auto" w:fill="auto"/>
                  <w:noWrap/>
                  <w:vAlign w:val="bottom"/>
                  <w:hideMark/>
                </w:tcPr>
                <w:p w14:paraId="7A37028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218.830</w:t>
                  </w:r>
                </w:p>
              </w:tc>
              <w:tc>
                <w:tcPr>
                  <w:tcW w:w="1701" w:type="dxa"/>
                  <w:tcBorders>
                    <w:top w:val="nil"/>
                    <w:left w:val="nil"/>
                    <w:bottom w:val="single" w:sz="4" w:space="0" w:color="auto"/>
                    <w:right w:val="single" w:sz="4" w:space="0" w:color="auto"/>
                  </w:tcBorders>
                  <w:shd w:val="clear" w:color="auto" w:fill="auto"/>
                  <w:noWrap/>
                  <w:vAlign w:val="bottom"/>
                  <w:hideMark/>
                </w:tcPr>
                <w:p w14:paraId="2B694A1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220.960</w:t>
                  </w:r>
                </w:p>
              </w:tc>
              <w:tc>
                <w:tcPr>
                  <w:tcW w:w="1984" w:type="dxa"/>
                  <w:tcBorders>
                    <w:top w:val="nil"/>
                    <w:left w:val="nil"/>
                    <w:bottom w:val="single" w:sz="4" w:space="0" w:color="auto"/>
                    <w:right w:val="single" w:sz="4" w:space="0" w:color="auto"/>
                  </w:tcBorders>
                  <w:shd w:val="clear" w:color="auto" w:fill="auto"/>
                  <w:noWrap/>
                  <w:vAlign w:val="bottom"/>
                  <w:hideMark/>
                </w:tcPr>
                <w:p w14:paraId="014B313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231.665</w:t>
                  </w:r>
                </w:p>
              </w:tc>
            </w:tr>
            <w:tr w:rsidR="001C5F76" w:rsidRPr="00485F85" w14:paraId="0D9DF2FB" w14:textId="77777777" w:rsidTr="00BB72C8">
              <w:trPr>
                <w:trHeight w:val="300"/>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14:paraId="49794D41" w14:textId="77777777" w:rsidR="001C5F76" w:rsidRPr="00485F85" w:rsidRDefault="001C5F76" w:rsidP="00DD5B0C">
                  <w:pPr>
                    <w:tabs>
                      <w:tab w:val="clear" w:pos="1615"/>
                    </w:tabs>
                    <w:spacing w:after="0"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30 anos e mais</w:t>
                  </w:r>
                </w:p>
              </w:tc>
              <w:tc>
                <w:tcPr>
                  <w:tcW w:w="1843" w:type="dxa"/>
                  <w:tcBorders>
                    <w:top w:val="nil"/>
                    <w:left w:val="nil"/>
                    <w:bottom w:val="single" w:sz="4" w:space="0" w:color="auto"/>
                    <w:right w:val="single" w:sz="4" w:space="0" w:color="auto"/>
                  </w:tcBorders>
                  <w:shd w:val="clear" w:color="auto" w:fill="auto"/>
                  <w:noWrap/>
                  <w:vAlign w:val="bottom"/>
                  <w:hideMark/>
                </w:tcPr>
                <w:p w14:paraId="4D95918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404.030</w:t>
                  </w:r>
                </w:p>
              </w:tc>
              <w:tc>
                <w:tcPr>
                  <w:tcW w:w="1417" w:type="dxa"/>
                  <w:tcBorders>
                    <w:top w:val="nil"/>
                    <w:left w:val="nil"/>
                    <w:bottom w:val="single" w:sz="4" w:space="0" w:color="auto"/>
                    <w:right w:val="single" w:sz="4" w:space="0" w:color="auto"/>
                  </w:tcBorders>
                  <w:shd w:val="clear" w:color="auto" w:fill="auto"/>
                  <w:noWrap/>
                  <w:vAlign w:val="bottom"/>
                  <w:hideMark/>
                </w:tcPr>
                <w:p w14:paraId="7DFBC20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397.795</w:t>
                  </w:r>
                </w:p>
              </w:tc>
              <w:tc>
                <w:tcPr>
                  <w:tcW w:w="1418" w:type="dxa"/>
                  <w:tcBorders>
                    <w:top w:val="nil"/>
                    <w:left w:val="nil"/>
                    <w:bottom w:val="single" w:sz="4" w:space="0" w:color="auto"/>
                    <w:right w:val="single" w:sz="4" w:space="0" w:color="auto"/>
                  </w:tcBorders>
                  <w:shd w:val="clear" w:color="auto" w:fill="auto"/>
                  <w:noWrap/>
                  <w:vAlign w:val="bottom"/>
                  <w:hideMark/>
                </w:tcPr>
                <w:p w14:paraId="3E4E666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391.215</w:t>
                  </w:r>
                </w:p>
              </w:tc>
              <w:tc>
                <w:tcPr>
                  <w:tcW w:w="1701" w:type="dxa"/>
                  <w:tcBorders>
                    <w:top w:val="nil"/>
                    <w:left w:val="nil"/>
                    <w:bottom w:val="single" w:sz="4" w:space="0" w:color="auto"/>
                    <w:right w:val="single" w:sz="4" w:space="0" w:color="auto"/>
                  </w:tcBorders>
                  <w:shd w:val="clear" w:color="auto" w:fill="auto"/>
                  <w:noWrap/>
                  <w:vAlign w:val="bottom"/>
                  <w:hideMark/>
                </w:tcPr>
                <w:p w14:paraId="60BC10C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394.680</w:t>
                  </w:r>
                </w:p>
              </w:tc>
              <w:tc>
                <w:tcPr>
                  <w:tcW w:w="1984" w:type="dxa"/>
                  <w:tcBorders>
                    <w:top w:val="nil"/>
                    <w:left w:val="nil"/>
                    <w:bottom w:val="single" w:sz="4" w:space="0" w:color="auto"/>
                    <w:right w:val="single" w:sz="4" w:space="0" w:color="auto"/>
                  </w:tcBorders>
                  <w:shd w:val="clear" w:color="auto" w:fill="auto"/>
                  <w:noWrap/>
                  <w:vAlign w:val="bottom"/>
                  <w:hideMark/>
                </w:tcPr>
                <w:p w14:paraId="29DC907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398.235</w:t>
                  </w:r>
                </w:p>
              </w:tc>
            </w:tr>
            <w:tr w:rsidR="001C5F76" w:rsidRPr="00485F85" w14:paraId="613BA063" w14:textId="77777777" w:rsidTr="00BB72C8">
              <w:trPr>
                <w:trHeight w:val="289"/>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7F7F35EF" w14:textId="77777777" w:rsidR="001C5F76" w:rsidRPr="00485F85" w:rsidRDefault="001C5F76" w:rsidP="00DD5B0C">
                  <w:pPr>
                    <w:tabs>
                      <w:tab w:val="clear" w:pos="1615"/>
                    </w:tabs>
                    <w:spacing w:after="0" w:line="360" w:lineRule="auto"/>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Idade desconhecida</w:t>
                  </w:r>
                </w:p>
              </w:tc>
              <w:tc>
                <w:tcPr>
                  <w:tcW w:w="1843" w:type="dxa"/>
                  <w:tcBorders>
                    <w:top w:val="nil"/>
                    <w:left w:val="nil"/>
                    <w:bottom w:val="single" w:sz="4" w:space="0" w:color="auto"/>
                    <w:right w:val="single" w:sz="4" w:space="0" w:color="auto"/>
                  </w:tcBorders>
                  <w:shd w:val="clear" w:color="auto" w:fill="auto"/>
                  <w:noWrap/>
                  <w:vAlign w:val="bottom"/>
                  <w:hideMark/>
                </w:tcPr>
                <w:p w14:paraId="4E451F3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180</w:t>
                  </w:r>
                </w:p>
              </w:tc>
              <w:tc>
                <w:tcPr>
                  <w:tcW w:w="1417" w:type="dxa"/>
                  <w:tcBorders>
                    <w:top w:val="nil"/>
                    <w:left w:val="nil"/>
                    <w:bottom w:val="single" w:sz="4" w:space="0" w:color="auto"/>
                    <w:right w:val="single" w:sz="4" w:space="0" w:color="auto"/>
                  </w:tcBorders>
                  <w:shd w:val="clear" w:color="auto" w:fill="auto"/>
                  <w:noWrap/>
                  <w:vAlign w:val="bottom"/>
                  <w:hideMark/>
                </w:tcPr>
                <w:p w14:paraId="4CCB518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185</w:t>
                  </w:r>
                </w:p>
              </w:tc>
              <w:tc>
                <w:tcPr>
                  <w:tcW w:w="1418" w:type="dxa"/>
                  <w:tcBorders>
                    <w:top w:val="nil"/>
                    <w:left w:val="nil"/>
                    <w:bottom w:val="single" w:sz="4" w:space="0" w:color="auto"/>
                    <w:right w:val="single" w:sz="4" w:space="0" w:color="auto"/>
                  </w:tcBorders>
                  <w:shd w:val="clear" w:color="auto" w:fill="auto"/>
                  <w:noWrap/>
                  <w:vAlign w:val="bottom"/>
                  <w:hideMark/>
                </w:tcPr>
                <w:p w14:paraId="2F038C0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190</w:t>
                  </w:r>
                </w:p>
              </w:tc>
              <w:tc>
                <w:tcPr>
                  <w:tcW w:w="1701" w:type="dxa"/>
                  <w:tcBorders>
                    <w:top w:val="nil"/>
                    <w:left w:val="nil"/>
                    <w:bottom w:val="single" w:sz="4" w:space="0" w:color="auto"/>
                    <w:right w:val="single" w:sz="4" w:space="0" w:color="auto"/>
                  </w:tcBorders>
                  <w:shd w:val="clear" w:color="auto" w:fill="auto"/>
                  <w:noWrap/>
                  <w:vAlign w:val="bottom"/>
                  <w:hideMark/>
                </w:tcPr>
                <w:p w14:paraId="361E9B5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190</w:t>
                  </w:r>
                </w:p>
              </w:tc>
              <w:tc>
                <w:tcPr>
                  <w:tcW w:w="1984" w:type="dxa"/>
                  <w:tcBorders>
                    <w:top w:val="nil"/>
                    <w:left w:val="nil"/>
                    <w:bottom w:val="single" w:sz="4" w:space="0" w:color="auto"/>
                    <w:right w:val="single" w:sz="4" w:space="0" w:color="auto"/>
                  </w:tcBorders>
                  <w:shd w:val="clear" w:color="auto" w:fill="auto"/>
                  <w:noWrap/>
                  <w:vAlign w:val="bottom"/>
                  <w:hideMark/>
                </w:tcPr>
                <w:p w14:paraId="4F39388F"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105</w:t>
                  </w:r>
                </w:p>
              </w:tc>
            </w:tr>
          </w:tbl>
          <w:p w14:paraId="4784D905" w14:textId="77777777" w:rsidR="001C5F76" w:rsidRPr="00485F85" w:rsidRDefault="001C5F76" w:rsidP="00DD5B0C">
            <w:pPr>
              <w:spacing w:line="360" w:lineRule="auto"/>
              <w:rPr>
                <w:rFonts w:asciiTheme="majorHAnsi" w:hAnsiTheme="majorHAnsi" w:cstheme="majorHAnsi"/>
                <w:b w:val="0"/>
                <w:u w:val="single"/>
              </w:rPr>
            </w:pPr>
          </w:p>
          <w:p w14:paraId="4E86739A" w14:textId="77777777" w:rsidR="001C5F76" w:rsidRPr="00485F85" w:rsidRDefault="001C5F76" w:rsidP="00DD5B0C">
            <w:pPr>
              <w:spacing w:line="360" w:lineRule="auto"/>
              <w:rPr>
                <w:rFonts w:asciiTheme="majorHAnsi" w:hAnsiTheme="majorHAnsi" w:cstheme="majorHAnsi"/>
                <w:b w:val="0"/>
                <w:u w:val="single"/>
              </w:rPr>
            </w:pPr>
          </w:p>
          <w:p w14:paraId="170DAC2C" w14:textId="77777777" w:rsidR="001C5F76" w:rsidRPr="00485F85" w:rsidRDefault="001C5F76" w:rsidP="00DD5B0C">
            <w:pPr>
              <w:spacing w:line="360" w:lineRule="auto"/>
              <w:rPr>
                <w:rFonts w:asciiTheme="majorHAnsi" w:hAnsiTheme="majorHAnsi" w:cstheme="majorHAnsi"/>
                <w:b w:val="0"/>
                <w:u w:val="single"/>
              </w:rPr>
            </w:pPr>
          </w:p>
        </w:tc>
      </w:tr>
      <w:tr w:rsidR="001C5F76" w:rsidRPr="00485F85" w14:paraId="3919F2E1"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Pr>
          <w:p w14:paraId="53655243" w14:textId="77777777" w:rsidR="001C5F76" w:rsidRPr="00485F85" w:rsidRDefault="001C5F76" w:rsidP="00DD5B0C">
            <w:pPr>
              <w:spacing w:line="360" w:lineRule="auto"/>
              <w:rPr>
                <w:rFonts w:asciiTheme="majorHAnsi" w:hAnsiTheme="majorHAnsi" w:cstheme="majorHAnsi"/>
                <w:b w:val="0"/>
                <w:bCs w:val="0"/>
                <w:sz w:val="20"/>
                <w:szCs w:val="20"/>
              </w:rPr>
            </w:pPr>
          </w:p>
        </w:tc>
        <w:tc>
          <w:tcPr>
            <w:tcW w:w="2675" w:type="dxa"/>
            <w:gridSpan w:val="3"/>
          </w:tcPr>
          <w:p w14:paraId="7111C435"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c>
          <w:tcPr>
            <w:tcW w:w="2245" w:type="dxa"/>
            <w:gridSpan w:val="2"/>
          </w:tcPr>
          <w:p w14:paraId="51A11D5D"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c>
          <w:tcPr>
            <w:tcW w:w="1568" w:type="dxa"/>
            <w:gridSpan w:val="2"/>
          </w:tcPr>
          <w:p w14:paraId="2CF05938"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c>
          <w:tcPr>
            <w:tcW w:w="1367" w:type="dxa"/>
          </w:tcPr>
          <w:p w14:paraId="1B9B8A6B" w14:textId="77777777" w:rsidR="001C5F76" w:rsidRPr="00485F85" w:rsidRDefault="001C5F76" w:rsidP="00DD5B0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u w:val="single"/>
              </w:rPr>
            </w:pPr>
          </w:p>
        </w:tc>
      </w:tr>
      <w:bookmarkEnd w:id="54"/>
      <w:tr w:rsidR="001C5F76" w:rsidRPr="00485F85" w14:paraId="6DAB8819" w14:textId="77777777" w:rsidTr="00E3523A">
        <w:tc>
          <w:tcPr>
            <w:cnfStyle w:val="001000000000" w:firstRow="0" w:lastRow="0" w:firstColumn="1" w:lastColumn="0" w:oddVBand="0" w:evenVBand="0" w:oddHBand="0" w:evenHBand="0" w:firstRowFirstColumn="0" w:firstRowLastColumn="0" w:lastRowFirstColumn="0" w:lastRowLastColumn="0"/>
            <w:tcW w:w="2034" w:type="dxa"/>
          </w:tcPr>
          <w:p w14:paraId="33876A92" w14:textId="77777777" w:rsidR="001C5F76" w:rsidRPr="00485F85" w:rsidRDefault="001C5F76" w:rsidP="00DD5B0C">
            <w:pPr>
              <w:spacing w:line="360" w:lineRule="auto"/>
              <w:rPr>
                <w:rFonts w:asciiTheme="majorHAnsi" w:hAnsiTheme="majorHAnsi" w:cstheme="majorHAnsi"/>
                <w:b w:val="0"/>
                <w:bCs w:val="0"/>
                <w:sz w:val="20"/>
                <w:szCs w:val="20"/>
              </w:rPr>
            </w:pPr>
            <w:r w:rsidRPr="00485F85">
              <w:rPr>
                <w:rFonts w:asciiTheme="majorHAnsi" w:hAnsiTheme="majorHAnsi" w:cstheme="majorHAnsi"/>
                <w:sz w:val="20"/>
                <w:szCs w:val="20"/>
              </w:rPr>
              <w:t>Tipo de Escola</w:t>
            </w:r>
          </w:p>
        </w:tc>
        <w:tc>
          <w:tcPr>
            <w:tcW w:w="7855" w:type="dxa"/>
            <w:gridSpan w:val="8"/>
          </w:tcPr>
          <w:p w14:paraId="6D102BCB"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p w14:paraId="206CF2E6"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A proporção de alunos admitidos em Oxford vindos do setor estadual do Reino Unido aumentou nos últimos quatro anos, chegando a 68,6% em 2020. Este é o valor mais alto desde que a Universidade começou a registrar estatísticas detalhadas de admissões.</w:t>
            </w:r>
          </w:p>
          <w:p w14:paraId="0EAF279E"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lastRenderedPageBreak/>
              <w:t>A proporção de estudantes do Reino Unido admitidos no setor independente diminuiu em cada um dos últimos quatro anos.</w:t>
            </w:r>
          </w:p>
          <w:p w14:paraId="708F8581"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Fonte: </w:t>
            </w:r>
            <w:hyperlink r:id="rId221" w:history="1">
              <w:r w:rsidRPr="00485F85">
                <w:rPr>
                  <w:rFonts w:asciiTheme="majorHAnsi" w:hAnsiTheme="majorHAnsi" w:cstheme="majorHAnsi"/>
                  <w:bCs/>
                  <w:color w:val="4875BD" w:themeColor="accent1"/>
                  <w:u w:val="single"/>
                </w:rPr>
                <w:t>https://www.ox.ac.uk/about/facts-and-figures/admissions-statistics/undergraduate-students/current/school-type</w:t>
              </w:r>
            </w:hyperlink>
          </w:p>
          <w:p w14:paraId="4D018D0A"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p w14:paraId="4F8C971E"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*Excluindo alunos cuja educação não pode ser classificada como estadual ou independente</w:t>
            </w:r>
          </w:p>
          <w:p w14:paraId="5F8E359C"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485F85">
              <w:rPr>
                <w:rFonts w:asciiTheme="majorHAnsi" w:hAnsiTheme="majorHAnsi" w:cstheme="majorHAnsi"/>
                <w:bCs/>
              </w:rPr>
              <w:t xml:space="preserve"> </w:t>
            </w:r>
          </w:p>
        </w:tc>
      </w:tr>
      <w:tr w:rsidR="001C5F76" w:rsidRPr="00485F85" w14:paraId="65E7107A"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tbl>
            <w:tblPr>
              <w:tblW w:w="10620" w:type="dxa"/>
              <w:tblLayout w:type="fixed"/>
              <w:tblCellMar>
                <w:left w:w="70" w:type="dxa"/>
                <w:right w:w="70" w:type="dxa"/>
              </w:tblCellMar>
              <w:tblLook w:val="04A0" w:firstRow="1" w:lastRow="0" w:firstColumn="1" w:lastColumn="0" w:noHBand="0" w:noVBand="1"/>
            </w:tblPr>
            <w:tblGrid>
              <w:gridCol w:w="1320"/>
              <w:gridCol w:w="1283"/>
              <w:gridCol w:w="1296"/>
              <w:gridCol w:w="1381"/>
              <w:gridCol w:w="1146"/>
              <w:gridCol w:w="1278"/>
              <w:gridCol w:w="1496"/>
              <w:gridCol w:w="1420"/>
            </w:tblGrid>
            <w:tr w:rsidR="001C5F76" w:rsidRPr="00485F85" w14:paraId="139009F9" w14:textId="77777777" w:rsidTr="00BB72C8">
              <w:trPr>
                <w:trHeight w:val="300"/>
              </w:trPr>
              <w:tc>
                <w:tcPr>
                  <w:tcW w:w="1320" w:type="dxa"/>
                  <w:tcBorders>
                    <w:top w:val="nil"/>
                    <w:left w:val="nil"/>
                    <w:bottom w:val="nil"/>
                    <w:right w:val="nil"/>
                  </w:tcBorders>
                  <w:shd w:val="clear" w:color="auto" w:fill="auto"/>
                  <w:noWrap/>
                  <w:vAlign w:val="bottom"/>
                  <w:hideMark/>
                </w:tcPr>
                <w:p w14:paraId="68910C88" w14:textId="77777777" w:rsidR="001C5F76" w:rsidRPr="00485F85" w:rsidRDefault="001C5F76" w:rsidP="00DD5B0C">
                  <w:pPr>
                    <w:tabs>
                      <w:tab w:val="clear" w:pos="1615"/>
                    </w:tabs>
                    <w:spacing w:after="0" w:line="360" w:lineRule="auto"/>
                    <w:rPr>
                      <w:rFonts w:asciiTheme="majorHAnsi" w:eastAsia="Times New Roman" w:hAnsiTheme="majorHAnsi" w:cstheme="majorHAnsi"/>
                      <w:sz w:val="24"/>
                      <w:szCs w:val="24"/>
                      <w:lang w:eastAsia="pt-BR"/>
                    </w:rPr>
                  </w:pPr>
                  <w:bookmarkStart w:id="55" w:name="_Hlk78735613"/>
                </w:p>
              </w:tc>
              <w:tc>
                <w:tcPr>
                  <w:tcW w:w="39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9ABB8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Estado</w:t>
                  </w:r>
                </w:p>
              </w:tc>
              <w:tc>
                <w:tcPr>
                  <w:tcW w:w="392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E185EF8"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Independente</w:t>
                  </w:r>
                </w:p>
              </w:tc>
              <w:tc>
                <w:tcPr>
                  <w:tcW w:w="1420" w:type="dxa"/>
                  <w:tcBorders>
                    <w:top w:val="nil"/>
                    <w:left w:val="nil"/>
                    <w:bottom w:val="nil"/>
                    <w:right w:val="nil"/>
                  </w:tcBorders>
                  <w:shd w:val="clear" w:color="auto" w:fill="auto"/>
                  <w:noWrap/>
                  <w:vAlign w:val="bottom"/>
                  <w:hideMark/>
                </w:tcPr>
                <w:p w14:paraId="5800036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p>
              </w:tc>
            </w:tr>
            <w:tr w:rsidR="001C5F76" w:rsidRPr="00485F85" w14:paraId="2651A5B5" w14:textId="77777777" w:rsidTr="00BB72C8">
              <w:trPr>
                <w:trHeight w:val="18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50B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Ano</w:t>
                  </w:r>
                </w:p>
              </w:tc>
              <w:tc>
                <w:tcPr>
                  <w:tcW w:w="1283" w:type="dxa"/>
                  <w:tcBorders>
                    <w:top w:val="nil"/>
                    <w:left w:val="nil"/>
                    <w:bottom w:val="single" w:sz="4" w:space="0" w:color="auto"/>
                    <w:right w:val="single" w:sz="4" w:space="0" w:color="auto"/>
                  </w:tcBorders>
                  <w:shd w:val="clear" w:color="auto" w:fill="auto"/>
                  <w:vAlign w:val="center"/>
                  <w:hideMark/>
                </w:tcPr>
                <w:p w14:paraId="53B4BD0C"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296" w:type="dxa"/>
                  <w:tcBorders>
                    <w:top w:val="nil"/>
                    <w:left w:val="nil"/>
                    <w:bottom w:val="single" w:sz="4" w:space="0" w:color="auto"/>
                    <w:right w:val="single" w:sz="4" w:space="0" w:color="auto"/>
                  </w:tcBorders>
                  <w:shd w:val="clear" w:color="auto" w:fill="auto"/>
                  <w:noWrap/>
                  <w:vAlign w:val="center"/>
                  <w:hideMark/>
                </w:tcPr>
                <w:p w14:paraId="57C5482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381" w:type="dxa"/>
                  <w:tcBorders>
                    <w:top w:val="nil"/>
                    <w:left w:val="nil"/>
                    <w:bottom w:val="single" w:sz="4" w:space="0" w:color="auto"/>
                    <w:right w:val="single" w:sz="4" w:space="0" w:color="auto"/>
                  </w:tcBorders>
                  <w:shd w:val="clear" w:color="auto" w:fill="auto"/>
                  <w:vAlign w:val="center"/>
                  <w:hideMark/>
                </w:tcPr>
                <w:p w14:paraId="466DF55B"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146" w:type="dxa"/>
                  <w:tcBorders>
                    <w:top w:val="nil"/>
                    <w:left w:val="nil"/>
                    <w:bottom w:val="single" w:sz="4" w:space="0" w:color="auto"/>
                    <w:right w:val="single" w:sz="4" w:space="0" w:color="auto"/>
                  </w:tcBorders>
                  <w:shd w:val="clear" w:color="auto" w:fill="auto"/>
                  <w:vAlign w:val="center"/>
                  <w:hideMark/>
                </w:tcPr>
                <w:p w14:paraId="036A813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Ofertas de vagas</w:t>
                  </w:r>
                </w:p>
              </w:tc>
              <w:tc>
                <w:tcPr>
                  <w:tcW w:w="1278" w:type="dxa"/>
                  <w:tcBorders>
                    <w:top w:val="nil"/>
                    <w:left w:val="nil"/>
                    <w:bottom w:val="single" w:sz="4" w:space="0" w:color="auto"/>
                    <w:right w:val="single" w:sz="4" w:space="0" w:color="auto"/>
                  </w:tcBorders>
                  <w:shd w:val="clear" w:color="auto" w:fill="auto"/>
                  <w:noWrap/>
                  <w:vAlign w:val="center"/>
                  <w:hideMark/>
                </w:tcPr>
                <w:p w14:paraId="27EB2C8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 xml:space="preserve">Aplicações </w:t>
                  </w:r>
                </w:p>
              </w:tc>
              <w:tc>
                <w:tcPr>
                  <w:tcW w:w="1496" w:type="dxa"/>
                  <w:tcBorders>
                    <w:top w:val="nil"/>
                    <w:left w:val="nil"/>
                    <w:bottom w:val="single" w:sz="4" w:space="0" w:color="auto"/>
                    <w:right w:val="single" w:sz="4" w:space="0" w:color="auto"/>
                  </w:tcBorders>
                  <w:shd w:val="clear" w:color="auto" w:fill="auto"/>
                  <w:vAlign w:val="center"/>
                  <w:hideMark/>
                </w:tcPr>
                <w:p w14:paraId="041867A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Alunos admitidos</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374D2A04" w14:textId="77777777" w:rsidR="001C5F76" w:rsidRPr="00485F85" w:rsidRDefault="001C5F76" w:rsidP="00DD5B0C">
                  <w:pPr>
                    <w:tabs>
                      <w:tab w:val="clear" w:pos="1615"/>
                    </w:tabs>
                    <w:spacing w:after="0" w:line="360" w:lineRule="auto"/>
                    <w:rPr>
                      <w:rFonts w:asciiTheme="majorHAnsi" w:eastAsia="Times New Roman" w:hAnsiTheme="majorHAnsi" w:cstheme="majorHAnsi"/>
                      <w:b/>
                      <w:bCs/>
                      <w:color w:val="000000"/>
                      <w:lang w:eastAsia="pt-BR"/>
                    </w:rPr>
                  </w:pPr>
                  <w:r w:rsidRPr="00485F85">
                    <w:rPr>
                      <w:rFonts w:asciiTheme="majorHAnsi" w:eastAsia="Times New Roman" w:hAnsiTheme="majorHAnsi" w:cstheme="majorHAnsi"/>
                      <w:b/>
                      <w:bCs/>
                      <w:color w:val="000000"/>
                      <w:lang w:eastAsia="pt-BR"/>
                    </w:rPr>
                    <w:t>Proporção estadual do total de alunos admitidos no Reino Unido *</w:t>
                  </w:r>
                </w:p>
              </w:tc>
            </w:tr>
            <w:tr w:rsidR="001C5F76" w:rsidRPr="00485F85" w14:paraId="3A8B3F6A" w14:textId="77777777" w:rsidTr="00BB72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54EEAD2"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2020</w:t>
                  </w:r>
                </w:p>
              </w:tc>
              <w:tc>
                <w:tcPr>
                  <w:tcW w:w="1283" w:type="dxa"/>
                  <w:tcBorders>
                    <w:top w:val="nil"/>
                    <w:left w:val="nil"/>
                    <w:bottom w:val="single" w:sz="4" w:space="0" w:color="auto"/>
                    <w:right w:val="single" w:sz="4" w:space="0" w:color="auto"/>
                  </w:tcBorders>
                  <w:shd w:val="clear" w:color="auto" w:fill="auto"/>
                  <w:noWrap/>
                  <w:vAlign w:val="bottom"/>
                  <w:hideMark/>
                </w:tcPr>
                <w:p w14:paraId="5F933A80"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2.021</w:t>
                  </w:r>
                </w:p>
              </w:tc>
              <w:tc>
                <w:tcPr>
                  <w:tcW w:w="1296" w:type="dxa"/>
                  <w:tcBorders>
                    <w:top w:val="nil"/>
                    <w:left w:val="nil"/>
                    <w:bottom w:val="single" w:sz="4" w:space="0" w:color="auto"/>
                    <w:right w:val="single" w:sz="4" w:space="0" w:color="auto"/>
                  </w:tcBorders>
                  <w:shd w:val="clear" w:color="auto" w:fill="auto"/>
                  <w:noWrap/>
                  <w:vAlign w:val="bottom"/>
                  <w:hideMark/>
                </w:tcPr>
                <w:p w14:paraId="2E3833E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9.411</w:t>
                  </w:r>
                </w:p>
              </w:tc>
              <w:tc>
                <w:tcPr>
                  <w:tcW w:w="1381" w:type="dxa"/>
                  <w:tcBorders>
                    <w:top w:val="nil"/>
                    <w:left w:val="nil"/>
                    <w:bottom w:val="single" w:sz="4" w:space="0" w:color="auto"/>
                    <w:right w:val="single" w:sz="4" w:space="0" w:color="auto"/>
                  </w:tcBorders>
                  <w:shd w:val="clear" w:color="auto" w:fill="auto"/>
                  <w:noWrap/>
                  <w:vAlign w:val="bottom"/>
                  <w:hideMark/>
                </w:tcPr>
                <w:p w14:paraId="3D2B812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1.937</w:t>
                  </w:r>
                </w:p>
              </w:tc>
              <w:tc>
                <w:tcPr>
                  <w:tcW w:w="1146" w:type="dxa"/>
                  <w:tcBorders>
                    <w:top w:val="nil"/>
                    <w:left w:val="nil"/>
                    <w:bottom w:val="single" w:sz="4" w:space="0" w:color="auto"/>
                    <w:right w:val="single" w:sz="4" w:space="0" w:color="auto"/>
                  </w:tcBorders>
                  <w:shd w:val="clear" w:color="auto" w:fill="auto"/>
                  <w:noWrap/>
                  <w:vAlign w:val="bottom"/>
                  <w:hideMark/>
                </w:tcPr>
                <w:p w14:paraId="490782E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902</w:t>
                  </w:r>
                </w:p>
              </w:tc>
              <w:tc>
                <w:tcPr>
                  <w:tcW w:w="1278" w:type="dxa"/>
                  <w:tcBorders>
                    <w:top w:val="nil"/>
                    <w:left w:val="nil"/>
                    <w:bottom w:val="single" w:sz="4" w:space="0" w:color="auto"/>
                    <w:right w:val="single" w:sz="4" w:space="0" w:color="auto"/>
                  </w:tcBorders>
                  <w:shd w:val="clear" w:color="auto" w:fill="auto"/>
                  <w:noWrap/>
                  <w:vAlign w:val="bottom"/>
                  <w:hideMark/>
                </w:tcPr>
                <w:p w14:paraId="40358C7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4.060</w:t>
                  </w:r>
                </w:p>
              </w:tc>
              <w:tc>
                <w:tcPr>
                  <w:tcW w:w="1496" w:type="dxa"/>
                  <w:tcBorders>
                    <w:top w:val="nil"/>
                    <w:left w:val="nil"/>
                    <w:bottom w:val="single" w:sz="4" w:space="0" w:color="auto"/>
                    <w:right w:val="single" w:sz="4" w:space="0" w:color="auto"/>
                  </w:tcBorders>
                  <w:shd w:val="clear" w:color="auto" w:fill="auto"/>
                  <w:noWrap/>
                  <w:vAlign w:val="bottom"/>
                  <w:hideMark/>
                </w:tcPr>
                <w:p w14:paraId="6159B18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886</w:t>
                  </w:r>
                </w:p>
              </w:tc>
              <w:tc>
                <w:tcPr>
                  <w:tcW w:w="1420" w:type="dxa"/>
                  <w:tcBorders>
                    <w:top w:val="nil"/>
                    <w:left w:val="nil"/>
                    <w:bottom w:val="single" w:sz="4" w:space="0" w:color="auto"/>
                    <w:right w:val="single" w:sz="4" w:space="0" w:color="auto"/>
                  </w:tcBorders>
                  <w:shd w:val="clear" w:color="auto" w:fill="auto"/>
                  <w:noWrap/>
                  <w:vAlign w:val="bottom"/>
                  <w:hideMark/>
                </w:tcPr>
                <w:p w14:paraId="48FD5AA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68,60%</w:t>
                  </w:r>
                </w:p>
              </w:tc>
            </w:tr>
            <w:tr w:rsidR="001C5F76" w:rsidRPr="00485F85" w14:paraId="339185D4" w14:textId="77777777" w:rsidTr="00BB72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0C8653"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2019</w:t>
                  </w:r>
                </w:p>
              </w:tc>
              <w:tc>
                <w:tcPr>
                  <w:tcW w:w="1283" w:type="dxa"/>
                  <w:tcBorders>
                    <w:top w:val="nil"/>
                    <w:left w:val="nil"/>
                    <w:bottom w:val="single" w:sz="4" w:space="0" w:color="auto"/>
                    <w:right w:val="single" w:sz="4" w:space="0" w:color="auto"/>
                  </w:tcBorders>
                  <w:shd w:val="clear" w:color="auto" w:fill="auto"/>
                  <w:noWrap/>
                  <w:vAlign w:val="bottom"/>
                  <w:hideMark/>
                </w:tcPr>
                <w:p w14:paraId="7A89D63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1.908</w:t>
                  </w:r>
                </w:p>
              </w:tc>
              <w:tc>
                <w:tcPr>
                  <w:tcW w:w="1296" w:type="dxa"/>
                  <w:tcBorders>
                    <w:top w:val="nil"/>
                    <w:left w:val="nil"/>
                    <w:bottom w:val="single" w:sz="4" w:space="0" w:color="auto"/>
                    <w:right w:val="single" w:sz="4" w:space="0" w:color="auto"/>
                  </w:tcBorders>
                  <w:shd w:val="clear" w:color="auto" w:fill="auto"/>
                  <w:noWrap/>
                  <w:vAlign w:val="bottom"/>
                  <w:hideMark/>
                </w:tcPr>
                <w:p w14:paraId="14EB374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8.914</w:t>
                  </w:r>
                </w:p>
              </w:tc>
              <w:tc>
                <w:tcPr>
                  <w:tcW w:w="1381" w:type="dxa"/>
                  <w:tcBorders>
                    <w:top w:val="nil"/>
                    <w:left w:val="nil"/>
                    <w:bottom w:val="single" w:sz="4" w:space="0" w:color="auto"/>
                    <w:right w:val="single" w:sz="4" w:space="0" w:color="auto"/>
                  </w:tcBorders>
                  <w:shd w:val="clear" w:color="auto" w:fill="auto"/>
                  <w:noWrap/>
                  <w:vAlign w:val="bottom"/>
                  <w:hideMark/>
                </w:tcPr>
                <w:p w14:paraId="1EB43CB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1.557</w:t>
                  </w:r>
                </w:p>
              </w:tc>
              <w:tc>
                <w:tcPr>
                  <w:tcW w:w="1146" w:type="dxa"/>
                  <w:tcBorders>
                    <w:top w:val="nil"/>
                    <w:left w:val="nil"/>
                    <w:bottom w:val="single" w:sz="4" w:space="0" w:color="auto"/>
                    <w:right w:val="single" w:sz="4" w:space="0" w:color="auto"/>
                  </w:tcBorders>
                  <w:shd w:val="clear" w:color="auto" w:fill="auto"/>
                  <w:noWrap/>
                  <w:vAlign w:val="bottom"/>
                  <w:hideMark/>
                </w:tcPr>
                <w:p w14:paraId="038917FD"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1.050</w:t>
                  </w:r>
                </w:p>
              </w:tc>
              <w:tc>
                <w:tcPr>
                  <w:tcW w:w="1278" w:type="dxa"/>
                  <w:tcBorders>
                    <w:top w:val="nil"/>
                    <w:left w:val="nil"/>
                    <w:bottom w:val="single" w:sz="4" w:space="0" w:color="auto"/>
                    <w:right w:val="single" w:sz="4" w:space="0" w:color="auto"/>
                  </w:tcBorders>
                  <w:shd w:val="clear" w:color="auto" w:fill="auto"/>
                  <w:noWrap/>
                  <w:vAlign w:val="bottom"/>
                  <w:hideMark/>
                </w:tcPr>
                <w:p w14:paraId="3D69F58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4.403</w:t>
                  </w:r>
                </w:p>
              </w:tc>
              <w:tc>
                <w:tcPr>
                  <w:tcW w:w="1496" w:type="dxa"/>
                  <w:tcBorders>
                    <w:top w:val="nil"/>
                    <w:left w:val="nil"/>
                    <w:bottom w:val="single" w:sz="4" w:space="0" w:color="auto"/>
                    <w:right w:val="single" w:sz="4" w:space="0" w:color="auto"/>
                  </w:tcBorders>
                  <w:shd w:val="clear" w:color="auto" w:fill="auto"/>
                  <w:noWrap/>
                  <w:vAlign w:val="bottom"/>
                  <w:hideMark/>
                </w:tcPr>
                <w:p w14:paraId="24FD848E"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942</w:t>
                  </w:r>
                </w:p>
              </w:tc>
              <w:tc>
                <w:tcPr>
                  <w:tcW w:w="1420" w:type="dxa"/>
                  <w:tcBorders>
                    <w:top w:val="nil"/>
                    <w:left w:val="nil"/>
                    <w:bottom w:val="single" w:sz="4" w:space="0" w:color="auto"/>
                    <w:right w:val="single" w:sz="4" w:space="0" w:color="auto"/>
                  </w:tcBorders>
                  <w:shd w:val="clear" w:color="auto" w:fill="auto"/>
                  <w:noWrap/>
                  <w:vAlign w:val="bottom"/>
                  <w:hideMark/>
                </w:tcPr>
                <w:p w14:paraId="2CD2F1C3"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62,30%</w:t>
                  </w:r>
                </w:p>
              </w:tc>
            </w:tr>
            <w:tr w:rsidR="001C5F76" w:rsidRPr="00485F85" w14:paraId="6D5A0BA2" w14:textId="77777777" w:rsidTr="00BB72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0C7F47F"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2018</w:t>
                  </w:r>
                </w:p>
              </w:tc>
              <w:tc>
                <w:tcPr>
                  <w:tcW w:w="1283" w:type="dxa"/>
                  <w:tcBorders>
                    <w:top w:val="nil"/>
                    <w:left w:val="nil"/>
                    <w:bottom w:val="single" w:sz="4" w:space="0" w:color="auto"/>
                    <w:right w:val="single" w:sz="4" w:space="0" w:color="auto"/>
                  </w:tcBorders>
                  <w:shd w:val="clear" w:color="auto" w:fill="auto"/>
                  <w:noWrap/>
                  <w:vAlign w:val="bottom"/>
                  <w:hideMark/>
                </w:tcPr>
                <w:p w14:paraId="41FBAE3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1.789</w:t>
                  </w:r>
                </w:p>
              </w:tc>
              <w:tc>
                <w:tcPr>
                  <w:tcW w:w="1296" w:type="dxa"/>
                  <w:tcBorders>
                    <w:top w:val="nil"/>
                    <w:left w:val="nil"/>
                    <w:bottom w:val="single" w:sz="4" w:space="0" w:color="auto"/>
                    <w:right w:val="single" w:sz="4" w:space="0" w:color="auto"/>
                  </w:tcBorders>
                  <w:shd w:val="clear" w:color="auto" w:fill="auto"/>
                  <w:noWrap/>
                  <w:vAlign w:val="bottom"/>
                  <w:hideMark/>
                </w:tcPr>
                <w:p w14:paraId="6F57340B"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8.207</w:t>
                  </w:r>
                </w:p>
              </w:tc>
              <w:tc>
                <w:tcPr>
                  <w:tcW w:w="1381" w:type="dxa"/>
                  <w:tcBorders>
                    <w:top w:val="nil"/>
                    <w:left w:val="nil"/>
                    <w:bottom w:val="single" w:sz="4" w:space="0" w:color="auto"/>
                    <w:right w:val="single" w:sz="4" w:space="0" w:color="auto"/>
                  </w:tcBorders>
                  <w:shd w:val="clear" w:color="auto" w:fill="auto"/>
                  <w:noWrap/>
                  <w:vAlign w:val="bottom"/>
                  <w:hideMark/>
                </w:tcPr>
                <w:p w14:paraId="7F746F72"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1.502</w:t>
                  </w:r>
                </w:p>
              </w:tc>
              <w:tc>
                <w:tcPr>
                  <w:tcW w:w="1146" w:type="dxa"/>
                  <w:tcBorders>
                    <w:top w:val="nil"/>
                    <w:left w:val="nil"/>
                    <w:bottom w:val="single" w:sz="4" w:space="0" w:color="auto"/>
                    <w:right w:val="single" w:sz="4" w:space="0" w:color="auto"/>
                  </w:tcBorders>
                  <w:shd w:val="clear" w:color="auto" w:fill="auto"/>
                  <w:noWrap/>
                  <w:vAlign w:val="bottom"/>
                  <w:hideMark/>
                </w:tcPr>
                <w:p w14:paraId="30E4668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1.069</w:t>
                  </w:r>
                </w:p>
              </w:tc>
              <w:tc>
                <w:tcPr>
                  <w:tcW w:w="1278" w:type="dxa"/>
                  <w:tcBorders>
                    <w:top w:val="nil"/>
                    <w:left w:val="nil"/>
                    <w:bottom w:val="single" w:sz="4" w:space="0" w:color="auto"/>
                    <w:right w:val="single" w:sz="4" w:space="0" w:color="auto"/>
                  </w:tcBorders>
                  <w:shd w:val="clear" w:color="auto" w:fill="auto"/>
                  <w:noWrap/>
                  <w:vAlign w:val="bottom"/>
                  <w:hideMark/>
                </w:tcPr>
                <w:p w14:paraId="453DCAC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4.265</w:t>
                  </w:r>
                </w:p>
              </w:tc>
              <w:tc>
                <w:tcPr>
                  <w:tcW w:w="1496" w:type="dxa"/>
                  <w:tcBorders>
                    <w:top w:val="nil"/>
                    <w:left w:val="nil"/>
                    <w:bottom w:val="single" w:sz="4" w:space="0" w:color="auto"/>
                    <w:right w:val="single" w:sz="4" w:space="0" w:color="auto"/>
                  </w:tcBorders>
                  <w:shd w:val="clear" w:color="auto" w:fill="auto"/>
                  <w:noWrap/>
                  <w:vAlign w:val="bottom"/>
                  <w:hideMark/>
                </w:tcPr>
                <w:p w14:paraId="6E98A1DC"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981</w:t>
                  </w:r>
                </w:p>
              </w:tc>
              <w:tc>
                <w:tcPr>
                  <w:tcW w:w="1420" w:type="dxa"/>
                  <w:tcBorders>
                    <w:top w:val="nil"/>
                    <w:left w:val="nil"/>
                    <w:bottom w:val="single" w:sz="4" w:space="0" w:color="auto"/>
                    <w:right w:val="single" w:sz="4" w:space="0" w:color="auto"/>
                  </w:tcBorders>
                  <w:shd w:val="clear" w:color="auto" w:fill="auto"/>
                  <w:noWrap/>
                  <w:vAlign w:val="bottom"/>
                  <w:hideMark/>
                </w:tcPr>
                <w:p w14:paraId="70865AE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60,50%</w:t>
                  </w:r>
                </w:p>
              </w:tc>
            </w:tr>
            <w:tr w:rsidR="001C5F76" w:rsidRPr="00485F85" w14:paraId="05A9C43C" w14:textId="77777777" w:rsidTr="00BB72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7D3D37"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2017</w:t>
                  </w:r>
                </w:p>
              </w:tc>
              <w:tc>
                <w:tcPr>
                  <w:tcW w:w="1283" w:type="dxa"/>
                  <w:tcBorders>
                    <w:top w:val="nil"/>
                    <w:left w:val="nil"/>
                    <w:bottom w:val="single" w:sz="4" w:space="0" w:color="auto"/>
                    <w:right w:val="single" w:sz="4" w:space="0" w:color="auto"/>
                  </w:tcBorders>
                  <w:shd w:val="clear" w:color="auto" w:fill="auto"/>
                  <w:noWrap/>
                  <w:vAlign w:val="bottom"/>
                  <w:hideMark/>
                </w:tcPr>
                <w:p w14:paraId="09A2281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1.683</w:t>
                  </w:r>
                </w:p>
              </w:tc>
              <w:tc>
                <w:tcPr>
                  <w:tcW w:w="1296" w:type="dxa"/>
                  <w:tcBorders>
                    <w:top w:val="nil"/>
                    <w:left w:val="nil"/>
                    <w:bottom w:val="single" w:sz="4" w:space="0" w:color="auto"/>
                    <w:right w:val="single" w:sz="4" w:space="0" w:color="auto"/>
                  </w:tcBorders>
                  <w:shd w:val="clear" w:color="auto" w:fill="auto"/>
                  <w:noWrap/>
                  <w:vAlign w:val="bottom"/>
                  <w:hideMark/>
                </w:tcPr>
                <w:p w14:paraId="2CE8F4A4"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7.765</w:t>
                  </w:r>
                </w:p>
              </w:tc>
              <w:tc>
                <w:tcPr>
                  <w:tcW w:w="1381" w:type="dxa"/>
                  <w:tcBorders>
                    <w:top w:val="nil"/>
                    <w:left w:val="nil"/>
                    <w:bottom w:val="single" w:sz="4" w:space="0" w:color="auto"/>
                    <w:right w:val="single" w:sz="4" w:space="0" w:color="auto"/>
                  </w:tcBorders>
                  <w:shd w:val="clear" w:color="auto" w:fill="auto"/>
                  <w:noWrap/>
                  <w:vAlign w:val="bottom"/>
                  <w:hideMark/>
                </w:tcPr>
                <w:p w14:paraId="7FFDFBD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1.431</w:t>
                  </w:r>
                </w:p>
              </w:tc>
              <w:tc>
                <w:tcPr>
                  <w:tcW w:w="1146" w:type="dxa"/>
                  <w:tcBorders>
                    <w:top w:val="nil"/>
                    <w:left w:val="nil"/>
                    <w:bottom w:val="single" w:sz="4" w:space="0" w:color="auto"/>
                    <w:right w:val="single" w:sz="4" w:space="0" w:color="auto"/>
                  </w:tcBorders>
                  <w:shd w:val="clear" w:color="auto" w:fill="auto"/>
                  <w:noWrap/>
                  <w:vAlign w:val="bottom"/>
                  <w:hideMark/>
                </w:tcPr>
                <w:p w14:paraId="4DB32CCA"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1.148</w:t>
                  </w:r>
                </w:p>
              </w:tc>
              <w:tc>
                <w:tcPr>
                  <w:tcW w:w="1278" w:type="dxa"/>
                  <w:tcBorders>
                    <w:top w:val="nil"/>
                    <w:left w:val="nil"/>
                    <w:bottom w:val="single" w:sz="4" w:space="0" w:color="auto"/>
                    <w:right w:val="single" w:sz="4" w:space="0" w:color="auto"/>
                  </w:tcBorders>
                  <w:shd w:val="clear" w:color="auto" w:fill="auto"/>
                  <w:noWrap/>
                  <w:vAlign w:val="bottom"/>
                  <w:hideMark/>
                </w:tcPr>
                <w:p w14:paraId="6DCA1886"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4.242</w:t>
                  </w:r>
                </w:p>
              </w:tc>
              <w:tc>
                <w:tcPr>
                  <w:tcW w:w="1496" w:type="dxa"/>
                  <w:tcBorders>
                    <w:top w:val="nil"/>
                    <w:left w:val="nil"/>
                    <w:bottom w:val="single" w:sz="4" w:space="0" w:color="auto"/>
                    <w:right w:val="single" w:sz="4" w:space="0" w:color="auto"/>
                  </w:tcBorders>
                  <w:shd w:val="clear" w:color="auto" w:fill="auto"/>
                  <w:noWrap/>
                  <w:vAlign w:val="bottom"/>
                  <w:hideMark/>
                </w:tcPr>
                <w:p w14:paraId="7D1BB008"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1.029</w:t>
                  </w:r>
                </w:p>
              </w:tc>
              <w:tc>
                <w:tcPr>
                  <w:tcW w:w="1420" w:type="dxa"/>
                  <w:tcBorders>
                    <w:top w:val="nil"/>
                    <w:left w:val="nil"/>
                    <w:bottom w:val="single" w:sz="4" w:space="0" w:color="auto"/>
                    <w:right w:val="single" w:sz="4" w:space="0" w:color="auto"/>
                  </w:tcBorders>
                  <w:shd w:val="clear" w:color="auto" w:fill="auto"/>
                  <w:noWrap/>
                  <w:vAlign w:val="bottom"/>
                  <w:hideMark/>
                </w:tcPr>
                <w:p w14:paraId="2A3D1DB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58,20%</w:t>
                  </w:r>
                </w:p>
              </w:tc>
            </w:tr>
            <w:tr w:rsidR="001C5F76" w:rsidRPr="00485F85" w14:paraId="57EE5EF0" w14:textId="77777777" w:rsidTr="00BB72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CD9E19A" w14:textId="77777777" w:rsidR="001C5F76" w:rsidRPr="00485F85" w:rsidRDefault="001C5F76" w:rsidP="00DD5B0C">
                  <w:pPr>
                    <w:tabs>
                      <w:tab w:val="clear" w:pos="1615"/>
                    </w:tabs>
                    <w:spacing w:after="0" w:line="360" w:lineRule="auto"/>
                    <w:jc w:val="center"/>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2016</w:t>
                  </w:r>
                </w:p>
              </w:tc>
              <w:tc>
                <w:tcPr>
                  <w:tcW w:w="1283" w:type="dxa"/>
                  <w:tcBorders>
                    <w:top w:val="nil"/>
                    <w:left w:val="nil"/>
                    <w:bottom w:val="single" w:sz="4" w:space="0" w:color="auto"/>
                    <w:right w:val="single" w:sz="4" w:space="0" w:color="auto"/>
                  </w:tcBorders>
                  <w:shd w:val="clear" w:color="auto" w:fill="auto"/>
                  <w:noWrap/>
                  <w:vAlign w:val="bottom"/>
                  <w:hideMark/>
                </w:tcPr>
                <w:p w14:paraId="2DB0A67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1.718</w:t>
                  </w:r>
                </w:p>
              </w:tc>
              <w:tc>
                <w:tcPr>
                  <w:tcW w:w="1296" w:type="dxa"/>
                  <w:tcBorders>
                    <w:top w:val="nil"/>
                    <w:left w:val="nil"/>
                    <w:bottom w:val="single" w:sz="4" w:space="0" w:color="auto"/>
                    <w:right w:val="single" w:sz="4" w:space="0" w:color="auto"/>
                  </w:tcBorders>
                  <w:shd w:val="clear" w:color="auto" w:fill="auto"/>
                  <w:noWrap/>
                  <w:vAlign w:val="bottom"/>
                  <w:hideMark/>
                </w:tcPr>
                <w:p w14:paraId="6CEDFA31"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7.454</w:t>
                  </w:r>
                </w:p>
              </w:tc>
              <w:tc>
                <w:tcPr>
                  <w:tcW w:w="1381" w:type="dxa"/>
                  <w:tcBorders>
                    <w:top w:val="nil"/>
                    <w:left w:val="nil"/>
                    <w:bottom w:val="single" w:sz="4" w:space="0" w:color="auto"/>
                    <w:right w:val="single" w:sz="4" w:space="0" w:color="auto"/>
                  </w:tcBorders>
                  <w:shd w:val="clear" w:color="auto" w:fill="auto"/>
                  <w:noWrap/>
                  <w:vAlign w:val="bottom"/>
                  <w:hideMark/>
                </w:tcPr>
                <w:p w14:paraId="00A40C0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1.483</w:t>
                  </w:r>
                </w:p>
              </w:tc>
              <w:tc>
                <w:tcPr>
                  <w:tcW w:w="1146" w:type="dxa"/>
                  <w:tcBorders>
                    <w:top w:val="nil"/>
                    <w:left w:val="nil"/>
                    <w:bottom w:val="single" w:sz="4" w:space="0" w:color="auto"/>
                    <w:right w:val="single" w:sz="4" w:space="0" w:color="auto"/>
                  </w:tcBorders>
                  <w:shd w:val="clear" w:color="auto" w:fill="auto"/>
                  <w:noWrap/>
                  <w:vAlign w:val="bottom"/>
                  <w:hideMark/>
                </w:tcPr>
                <w:p w14:paraId="306E6DD7"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1.188</w:t>
                  </w:r>
                </w:p>
              </w:tc>
              <w:tc>
                <w:tcPr>
                  <w:tcW w:w="1278" w:type="dxa"/>
                  <w:tcBorders>
                    <w:top w:val="nil"/>
                    <w:left w:val="nil"/>
                    <w:bottom w:val="single" w:sz="4" w:space="0" w:color="auto"/>
                    <w:right w:val="single" w:sz="4" w:space="0" w:color="auto"/>
                  </w:tcBorders>
                  <w:shd w:val="clear" w:color="auto" w:fill="auto"/>
                  <w:noWrap/>
                  <w:vAlign w:val="bottom"/>
                  <w:hideMark/>
                </w:tcPr>
                <w:p w14:paraId="1778B04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4.213</w:t>
                  </w:r>
                </w:p>
              </w:tc>
              <w:tc>
                <w:tcPr>
                  <w:tcW w:w="1496" w:type="dxa"/>
                  <w:tcBorders>
                    <w:top w:val="nil"/>
                    <w:left w:val="nil"/>
                    <w:bottom w:val="single" w:sz="4" w:space="0" w:color="auto"/>
                    <w:right w:val="single" w:sz="4" w:space="0" w:color="auto"/>
                  </w:tcBorders>
                  <w:shd w:val="clear" w:color="auto" w:fill="auto"/>
                  <w:noWrap/>
                  <w:vAlign w:val="bottom"/>
                  <w:hideMark/>
                </w:tcPr>
                <w:p w14:paraId="0C0EF9E9"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1.075</w:t>
                  </w:r>
                </w:p>
              </w:tc>
              <w:tc>
                <w:tcPr>
                  <w:tcW w:w="1420" w:type="dxa"/>
                  <w:tcBorders>
                    <w:top w:val="nil"/>
                    <w:left w:val="nil"/>
                    <w:bottom w:val="single" w:sz="4" w:space="0" w:color="auto"/>
                    <w:right w:val="single" w:sz="4" w:space="0" w:color="auto"/>
                  </w:tcBorders>
                  <w:shd w:val="clear" w:color="auto" w:fill="auto"/>
                  <w:noWrap/>
                  <w:vAlign w:val="bottom"/>
                  <w:hideMark/>
                </w:tcPr>
                <w:p w14:paraId="35960945" w14:textId="77777777" w:rsidR="001C5F76" w:rsidRPr="00485F85" w:rsidRDefault="001C5F76" w:rsidP="00DD5B0C">
                  <w:pPr>
                    <w:tabs>
                      <w:tab w:val="clear" w:pos="1615"/>
                    </w:tabs>
                    <w:spacing w:after="0" w:line="360" w:lineRule="auto"/>
                    <w:jc w:val="right"/>
                    <w:rPr>
                      <w:rFonts w:asciiTheme="majorHAnsi" w:eastAsia="Times New Roman" w:hAnsiTheme="majorHAnsi" w:cstheme="majorHAnsi"/>
                      <w:color w:val="000000"/>
                      <w:lang w:eastAsia="pt-BR"/>
                    </w:rPr>
                  </w:pPr>
                  <w:r w:rsidRPr="00485F85">
                    <w:rPr>
                      <w:rFonts w:asciiTheme="majorHAnsi" w:eastAsia="Times New Roman" w:hAnsiTheme="majorHAnsi" w:cstheme="majorHAnsi"/>
                      <w:color w:val="000000"/>
                      <w:lang w:eastAsia="pt-BR"/>
                    </w:rPr>
                    <w:t>58,00%</w:t>
                  </w:r>
                </w:p>
              </w:tc>
            </w:tr>
          </w:tbl>
          <w:p w14:paraId="6EBD0EA0" w14:textId="77777777" w:rsidR="001C5F76" w:rsidRPr="00485F85" w:rsidRDefault="001C5F76" w:rsidP="00DD5B0C">
            <w:pPr>
              <w:spacing w:line="360" w:lineRule="auto"/>
              <w:rPr>
                <w:rFonts w:asciiTheme="majorHAnsi" w:hAnsiTheme="majorHAnsi" w:cstheme="majorHAnsi"/>
                <w:b w:val="0"/>
                <w:u w:val="single"/>
              </w:rPr>
            </w:pPr>
          </w:p>
        </w:tc>
      </w:tr>
      <w:bookmarkEnd w:id="55"/>
      <w:tr w:rsidR="001C5F76" w:rsidRPr="00485F85" w14:paraId="328D378A" w14:textId="77777777" w:rsidTr="00E3523A">
        <w:tc>
          <w:tcPr>
            <w:cnfStyle w:val="001000000000" w:firstRow="0" w:lastRow="0" w:firstColumn="1" w:lastColumn="0" w:oddVBand="0" w:evenVBand="0" w:oddHBand="0" w:evenHBand="0" w:firstRowFirstColumn="0" w:firstRowLastColumn="0" w:lastRowFirstColumn="0" w:lastRowLastColumn="0"/>
            <w:tcW w:w="2034" w:type="dxa"/>
          </w:tcPr>
          <w:p w14:paraId="6C6FF800" w14:textId="77777777" w:rsidR="001C5F76" w:rsidRPr="00485F85" w:rsidRDefault="001C5F76" w:rsidP="00DD5B0C">
            <w:pPr>
              <w:spacing w:line="360" w:lineRule="auto"/>
              <w:rPr>
                <w:rFonts w:asciiTheme="majorHAnsi" w:hAnsiTheme="majorHAnsi" w:cstheme="majorHAnsi"/>
                <w:b w:val="0"/>
                <w:bCs w:val="0"/>
                <w:sz w:val="20"/>
                <w:szCs w:val="20"/>
              </w:rPr>
            </w:pPr>
          </w:p>
        </w:tc>
        <w:tc>
          <w:tcPr>
            <w:tcW w:w="7855" w:type="dxa"/>
            <w:gridSpan w:val="8"/>
          </w:tcPr>
          <w:p w14:paraId="1E8A167B" w14:textId="77777777" w:rsidR="001C5F76" w:rsidRPr="00485F85" w:rsidRDefault="001C5F76" w:rsidP="00DD5B0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1C5F76" w:rsidRPr="00485F85" w14:paraId="68C91FF3"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14:paraId="6E986E37" w14:textId="77777777" w:rsidR="001C5F76" w:rsidRPr="00485F85" w:rsidRDefault="001C5F76" w:rsidP="00DD5B0C">
            <w:pPr>
              <w:spacing w:line="360" w:lineRule="auto"/>
              <w:jc w:val="both"/>
              <w:rPr>
                <w:rFonts w:asciiTheme="majorHAnsi" w:hAnsiTheme="majorHAnsi" w:cstheme="majorHAnsi"/>
                <w:b w:val="0"/>
                <w:u w:val="single"/>
              </w:rPr>
            </w:pPr>
          </w:p>
        </w:tc>
      </w:tr>
      <w:tr w:rsidR="001C5F76" w:rsidRPr="00485F85" w14:paraId="33256A2B"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p w14:paraId="06DBA3BE" w14:textId="77777777" w:rsidR="001C5F76" w:rsidRPr="00485F85" w:rsidRDefault="001C5F76" w:rsidP="00DD5B0C">
            <w:pPr>
              <w:spacing w:line="360" w:lineRule="auto"/>
              <w:jc w:val="both"/>
              <w:rPr>
                <w:rFonts w:asciiTheme="majorHAnsi" w:hAnsiTheme="majorHAnsi" w:cstheme="majorHAnsi"/>
                <w:b w:val="0"/>
                <w:u w:val="single"/>
              </w:rPr>
            </w:pPr>
            <w:r w:rsidRPr="00485F85">
              <w:rPr>
                <w:rFonts w:asciiTheme="majorHAnsi" w:hAnsiTheme="majorHAnsi" w:cstheme="majorHAnsi"/>
              </w:rPr>
              <w:t>11.2. Políticas afirmativas</w:t>
            </w:r>
          </w:p>
        </w:tc>
      </w:tr>
      <w:tr w:rsidR="001C5F76" w:rsidRPr="00485F85" w14:paraId="426B3AC9"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14:paraId="3D66CBAA"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 </w:t>
            </w:r>
          </w:p>
          <w:p w14:paraId="2B9FFCA5"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A pesquisadora pode observar no plano estratégico (2018/2023) da Universidade a intenção em ampliar a entrada de estudantes estrangeiros e aqueles considerados minorias étnicas também.</w:t>
            </w:r>
          </w:p>
          <w:p w14:paraId="33AC0F26" w14:textId="77777777" w:rsidR="001C5F76" w:rsidRPr="00485F85" w:rsidRDefault="001C5F76" w:rsidP="00DD5B0C">
            <w:pPr>
              <w:spacing w:line="360" w:lineRule="auto"/>
              <w:jc w:val="both"/>
              <w:rPr>
                <w:rFonts w:asciiTheme="majorHAnsi" w:hAnsiTheme="majorHAnsi" w:cstheme="majorHAnsi"/>
                <w:lang w:val="en-US"/>
              </w:rPr>
            </w:pPr>
            <w:r w:rsidRPr="00485F85">
              <w:rPr>
                <w:rFonts w:asciiTheme="majorHAnsi" w:hAnsiTheme="majorHAnsi" w:cstheme="majorHAnsi"/>
              </w:rPr>
              <w:t xml:space="preserve">Segue o trecho do documento. Trata-se do aspecto “Pessoas”. </w:t>
            </w:r>
            <w:r w:rsidRPr="00485F85">
              <w:rPr>
                <w:rFonts w:asciiTheme="majorHAnsi" w:hAnsiTheme="majorHAnsi" w:cstheme="majorHAnsi"/>
                <w:lang w:val="en-US"/>
              </w:rPr>
              <w:t xml:space="preserve">Compromisso geral 13. </w:t>
            </w:r>
          </w:p>
          <w:p w14:paraId="6ACDEA09" w14:textId="77777777" w:rsidR="001C5F76" w:rsidRPr="00485F85" w:rsidRDefault="001C5F76" w:rsidP="00DD5B0C">
            <w:pPr>
              <w:spacing w:line="360" w:lineRule="auto"/>
              <w:jc w:val="both"/>
              <w:rPr>
                <w:rFonts w:asciiTheme="majorHAnsi" w:hAnsiTheme="majorHAnsi" w:cstheme="majorHAnsi"/>
                <w:lang w:val="en-US"/>
              </w:rPr>
            </w:pPr>
          </w:p>
          <w:p w14:paraId="7898552D" w14:textId="77777777" w:rsidR="001C5F76" w:rsidRPr="00485F85" w:rsidRDefault="001C5F76" w:rsidP="00DD5B0C">
            <w:pPr>
              <w:spacing w:line="360" w:lineRule="auto"/>
              <w:jc w:val="both"/>
              <w:rPr>
                <w:rFonts w:asciiTheme="majorHAnsi" w:hAnsiTheme="majorHAnsi" w:cstheme="majorHAnsi"/>
                <w:lang w:val="en-US"/>
              </w:rPr>
            </w:pPr>
            <w:r w:rsidRPr="00485F85">
              <w:rPr>
                <w:rFonts w:asciiTheme="majorHAnsi" w:hAnsiTheme="majorHAnsi" w:cstheme="majorHAnsi"/>
                <w:lang w:val="en-US"/>
              </w:rPr>
              <w:t>13. Embed a supportive, inclusive culture and increase the diversity of University staff at all levels through the</w:t>
            </w:r>
          </w:p>
          <w:p w14:paraId="07088D92" w14:textId="77777777" w:rsidR="001C5F76" w:rsidRPr="00485F85" w:rsidRDefault="001C5F76" w:rsidP="00DD5B0C">
            <w:pPr>
              <w:spacing w:line="360" w:lineRule="auto"/>
              <w:jc w:val="both"/>
              <w:rPr>
                <w:rFonts w:asciiTheme="majorHAnsi" w:hAnsiTheme="majorHAnsi" w:cstheme="majorHAnsi"/>
                <w:lang w:val="en-US"/>
              </w:rPr>
            </w:pPr>
            <w:r w:rsidRPr="00485F85">
              <w:rPr>
                <w:rFonts w:asciiTheme="majorHAnsi" w:hAnsiTheme="majorHAnsi" w:cstheme="majorHAnsi"/>
                <w:lang w:val="en-US"/>
              </w:rPr>
              <w:t>implementation of our action plans such as Athena SWAN, the Race Equality Charter, the Stonewall Workplace Equality</w:t>
            </w:r>
          </w:p>
          <w:p w14:paraId="6E2BD501"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Index and Mindful Employer.</w:t>
            </w:r>
          </w:p>
          <w:p w14:paraId="229785B2" w14:textId="77777777" w:rsidR="001C5F76" w:rsidRPr="00485F85" w:rsidRDefault="001C5F76" w:rsidP="00DD5B0C">
            <w:pPr>
              <w:spacing w:line="360" w:lineRule="auto"/>
              <w:jc w:val="both"/>
              <w:rPr>
                <w:rFonts w:asciiTheme="majorHAnsi" w:hAnsiTheme="majorHAnsi" w:cstheme="majorHAnsi"/>
              </w:rPr>
            </w:pPr>
          </w:p>
          <w:p w14:paraId="29F0BABB"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O documento pode ser acessado na íntegra pelo link: </w:t>
            </w:r>
            <w:hyperlink r:id="rId222" w:history="1">
              <w:r w:rsidRPr="00485F85">
                <w:rPr>
                  <w:rFonts w:asciiTheme="majorHAnsi" w:hAnsiTheme="majorHAnsi" w:cstheme="majorHAnsi"/>
                  <w:color w:val="4875BD" w:themeColor="accent1"/>
                  <w:u w:val="single"/>
                </w:rPr>
                <w:t>https://www.ox.ac.uk/about/organisation/strategic-plan-2018-23</w:t>
              </w:r>
            </w:hyperlink>
            <w:r w:rsidRPr="00485F85">
              <w:rPr>
                <w:rFonts w:asciiTheme="majorHAnsi" w:hAnsiTheme="majorHAnsi" w:cstheme="majorHAnsi"/>
              </w:rPr>
              <w:t xml:space="preserve"> </w:t>
            </w:r>
          </w:p>
          <w:p w14:paraId="13387333" w14:textId="77777777" w:rsidR="001C5F76" w:rsidRPr="00485F85" w:rsidRDefault="001C5F76" w:rsidP="00DD5B0C">
            <w:pPr>
              <w:spacing w:line="360" w:lineRule="auto"/>
              <w:jc w:val="both"/>
              <w:rPr>
                <w:rFonts w:asciiTheme="majorHAnsi" w:hAnsiTheme="majorHAnsi" w:cstheme="majorHAnsi"/>
              </w:rPr>
            </w:pPr>
          </w:p>
          <w:p w14:paraId="77A82824"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A universidade considera as “Equality Charters” (</w:t>
            </w:r>
            <w:hyperlink r:id="rId223" w:anchor="/" w:history="1">
              <w:r w:rsidRPr="00485F85">
                <w:rPr>
                  <w:rFonts w:asciiTheme="majorHAnsi" w:hAnsiTheme="majorHAnsi" w:cstheme="majorHAnsi"/>
                  <w:color w:val="4875BD" w:themeColor="accent1"/>
                  <w:u w:val="single"/>
                </w:rPr>
                <w:t>https://edu.admin.ox.ac.uk/home#/</w:t>
              </w:r>
            </w:hyperlink>
            <w:r w:rsidRPr="00485F85">
              <w:rPr>
                <w:rFonts w:asciiTheme="majorHAnsi" w:hAnsiTheme="majorHAnsi" w:cstheme="majorHAnsi"/>
              </w:rPr>
              <w:t xml:space="preserve">  )</w:t>
            </w:r>
          </w:p>
          <w:p w14:paraId="0918EB43"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Athena SWAN</w:t>
            </w:r>
          </w:p>
          <w:p w14:paraId="1C061853"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A Carta Athena Swan é uma estrutura usada em todo o mundo para apoiar e transformar a igualdade de gênero no ensino superior (ES) e na pesquisa. Foi estabelecido para encorajar e reconhecer o compromisso com o avanço das carreiras das mulheres em empregos em ciência, tecnologia, engenharia, matemática e medicina (STEMM), a Carta está agora sendo usada em todo o mundo para abordar a igualdade de gênero de forma mais ampla, e não apenas as barreiras para progressão que afeta as mulheres.</w:t>
            </w:r>
          </w:p>
          <w:p w14:paraId="1655A889" w14:textId="0790CD61" w:rsidR="001C5F76" w:rsidRPr="00485F85" w:rsidRDefault="001C5F76" w:rsidP="00DD5B0C">
            <w:pPr>
              <w:spacing w:line="360" w:lineRule="auto"/>
              <w:jc w:val="both"/>
              <w:rPr>
                <w:rFonts w:asciiTheme="majorHAnsi" w:hAnsiTheme="majorHAnsi" w:cstheme="majorHAnsi"/>
              </w:rPr>
            </w:pPr>
          </w:p>
          <w:p w14:paraId="6F2F4783" w14:textId="77777777" w:rsidR="001C5F76" w:rsidRPr="00485F85" w:rsidRDefault="001C5F76" w:rsidP="00DD5B0C">
            <w:pPr>
              <w:spacing w:line="360" w:lineRule="auto"/>
              <w:jc w:val="both"/>
              <w:rPr>
                <w:rFonts w:asciiTheme="majorHAnsi" w:hAnsiTheme="majorHAnsi" w:cstheme="majorHAnsi"/>
              </w:rPr>
            </w:pPr>
          </w:p>
          <w:p w14:paraId="03D77231"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Race Equality Charter</w:t>
            </w:r>
          </w:p>
          <w:p w14:paraId="7B44702E"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O documento “Race Equality Charter” (</w:t>
            </w:r>
            <w:hyperlink r:id="rId224" w:history="1">
              <w:r w:rsidRPr="00485F85">
                <w:rPr>
                  <w:rFonts w:asciiTheme="majorHAnsi" w:hAnsiTheme="majorHAnsi" w:cstheme="majorHAnsi"/>
                  <w:color w:val="4875BD" w:themeColor="accent1"/>
                  <w:u w:val="single"/>
                </w:rPr>
                <w:t>https://edu.admin.ox.ac.uk/race-equality-charter</w:t>
              </w:r>
            </w:hyperlink>
            <w:r w:rsidRPr="00485F85">
              <w:rPr>
                <w:rFonts w:asciiTheme="majorHAnsi" w:hAnsiTheme="majorHAnsi" w:cstheme="majorHAnsi"/>
              </w:rPr>
              <w:t>)  busca ser implantado gradativamente. A Universidade concorreu ao prêmio Race Equality Charter  promovido pela Advance HE trabalha para promover e apoiar a igualdade e a diversidade para funcionários e alunos em instituições de ensino superior em todas as quatro nações do Reino Unido e em faculdades na Escócia.</w:t>
            </w:r>
          </w:p>
          <w:p w14:paraId="0B907F43"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Atualmente está com a classificação Bronze. Trata-se de uma parâmetro que permite que as universidades identifiquem e reflitam criticamente sobre as barreiras institucionais enfrentadas por funcionários e alunos de minorias étnicas. A carta atua como uma avenida para a Universidade elevar o perfil da igualdade racial e manter o diálogo sobre como é a igualdade racial na prática em Oxford. </w:t>
            </w:r>
          </w:p>
          <w:p w14:paraId="416EEC34" w14:textId="77777777" w:rsidR="001C5F76" w:rsidRPr="00485F85" w:rsidRDefault="001C5F76" w:rsidP="00DD5B0C">
            <w:pPr>
              <w:spacing w:line="360" w:lineRule="auto"/>
              <w:jc w:val="both"/>
              <w:rPr>
                <w:rFonts w:asciiTheme="majorHAnsi" w:hAnsiTheme="majorHAnsi" w:cstheme="majorHAnsi"/>
              </w:rPr>
            </w:pPr>
          </w:p>
          <w:p w14:paraId="57686FF0"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Link da carta: </w:t>
            </w:r>
            <w:hyperlink r:id="rId225" w:history="1">
              <w:r w:rsidRPr="00485F85">
                <w:rPr>
                  <w:rFonts w:asciiTheme="majorHAnsi" w:hAnsiTheme="majorHAnsi" w:cstheme="majorHAnsi"/>
                  <w:color w:val="4875BD" w:themeColor="accent1"/>
                  <w:u w:val="single"/>
                </w:rPr>
                <w:t>https://edu.admin.ox.ac.uk/files/recbronzeapplication-oxforduniversitypdf</w:t>
              </w:r>
            </w:hyperlink>
            <w:r w:rsidRPr="00485F85">
              <w:rPr>
                <w:rFonts w:asciiTheme="majorHAnsi" w:hAnsiTheme="majorHAnsi" w:cstheme="majorHAnsi"/>
              </w:rPr>
              <w:t xml:space="preserve"> </w:t>
            </w:r>
          </w:p>
          <w:p w14:paraId="5C9B3D5A"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Link do plano de ação: </w:t>
            </w:r>
            <w:hyperlink r:id="rId226" w:history="1">
              <w:r w:rsidRPr="00485F85">
                <w:rPr>
                  <w:rFonts w:asciiTheme="majorHAnsi" w:hAnsiTheme="majorHAnsi" w:cstheme="majorHAnsi"/>
                  <w:color w:val="4875BD" w:themeColor="accent1"/>
                  <w:u w:val="single"/>
                </w:rPr>
                <w:t>https://edu.admin.ox.ac.uk/files/raceequalitycharteractionplanfinalpdf</w:t>
              </w:r>
            </w:hyperlink>
            <w:r w:rsidRPr="00485F85">
              <w:rPr>
                <w:rFonts w:asciiTheme="majorHAnsi" w:hAnsiTheme="majorHAnsi" w:cstheme="majorHAnsi"/>
              </w:rPr>
              <w:t xml:space="preserve"> </w:t>
            </w:r>
          </w:p>
          <w:p w14:paraId="4A8D8681" w14:textId="77777777" w:rsidR="001C5F76" w:rsidRPr="00485F85" w:rsidRDefault="001C5F76" w:rsidP="00DD5B0C">
            <w:pPr>
              <w:spacing w:line="360" w:lineRule="auto"/>
              <w:jc w:val="both"/>
              <w:rPr>
                <w:rFonts w:asciiTheme="majorHAnsi" w:hAnsiTheme="majorHAnsi" w:cstheme="majorHAnsi"/>
              </w:rPr>
            </w:pPr>
          </w:p>
          <w:p w14:paraId="326DD06A"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Stonewall Workplace Index</w:t>
            </w:r>
          </w:p>
          <w:p w14:paraId="39E14C46"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Compromisso para a inclusão de pessoas LGBTQIA+</w:t>
            </w:r>
          </w:p>
          <w:p w14:paraId="1337E423"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Link referência: </w:t>
            </w:r>
            <w:hyperlink r:id="rId227" w:history="1">
              <w:r w:rsidRPr="00485F85">
                <w:rPr>
                  <w:rFonts w:asciiTheme="majorHAnsi" w:hAnsiTheme="majorHAnsi" w:cstheme="majorHAnsi"/>
                  <w:color w:val="4875BD" w:themeColor="accent1"/>
                  <w:u w:val="single"/>
                </w:rPr>
                <w:t>https://www.stonewall.org.uk/power-inclusive-workplaces</w:t>
              </w:r>
            </w:hyperlink>
            <w:r w:rsidRPr="00485F85">
              <w:rPr>
                <w:rFonts w:asciiTheme="majorHAnsi" w:hAnsiTheme="majorHAnsi" w:cstheme="majorHAnsi"/>
              </w:rPr>
              <w:t xml:space="preserve"> </w:t>
            </w:r>
          </w:p>
          <w:p w14:paraId="6237C9DC" w14:textId="77777777" w:rsidR="001C5F76" w:rsidRPr="00485F85" w:rsidRDefault="001C5F76" w:rsidP="00DD5B0C">
            <w:pPr>
              <w:spacing w:line="360" w:lineRule="auto"/>
              <w:jc w:val="both"/>
              <w:rPr>
                <w:rFonts w:asciiTheme="majorHAnsi" w:hAnsiTheme="majorHAnsi" w:cstheme="majorHAnsi"/>
              </w:rPr>
            </w:pPr>
          </w:p>
          <w:p w14:paraId="1147F124"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Mindful Employer</w:t>
            </w:r>
          </w:p>
          <w:p w14:paraId="0FFA9AFE"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Documento que reconhece que os empregadores estão trabalhando para melhorar a saúde mental no local de trabalho, ao assinar o estatuto, a Universidade fez uma declaração pública de que a saúde mental </w:t>
            </w:r>
            <w:r w:rsidRPr="00485F85">
              <w:rPr>
                <w:rFonts w:asciiTheme="majorHAnsi" w:hAnsiTheme="majorHAnsi" w:cstheme="majorHAnsi"/>
              </w:rPr>
              <w:lastRenderedPageBreak/>
              <w:t xml:space="preserve">de sua equipe é uma prioridade dentro de sua organização. Para ajudá-la ao longo do caminho, foi contratada a Devon Partnership NHS Trust que oferece o acompanhamento para essas ações na universidade. </w:t>
            </w:r>
          </w:p>
          <w:p w14:paraId="1C18BC7F"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Link da empresa com a carta e outras referências : </w:t>
            </w:r>
            <w:hyperlink r:id="rId228" w:history="1">
              <w:r w:rsidRPr="00485F85">
                <w:rPr>
                  <w:rFonts w:asciiTheme="majorHAnsi" w:hAnsiTheme="majorHAnsi" w:cstheme="majorHAnsi"/>
                  <w:color w:val="4875BD" w:themeColor="accent1"/>
                  <w:u w:val="single"/>
                </w:rPr>
                <w:t>https://www.mindfulemployer.dpt.nhs.uk/</w:t>
              </w:r>
            </w:hyperlink>
            <w:r w:rsidRPr="00485F85">
              <w:rPr>
                <w:rFonts w:asciiTheme="majorHAnsi" w:hAnsiTheme="majorHAnsi" w:cstheme="majorHAnsi"/>
              </w:rPr>
              <w:t xml:space="preserve"> </w:t>
            </w:r>
          </w:p>
          <w:p w14:paraId="7C040CC7" w14:textId="77777777" w:rsidR="001C5F76" w:rsidRPr="00485F85" w:rsidRDefault="001C5F76" w:rsidP="00DD5B0C">
            <w:pPr>
              <w:spacing w:line="360" w:lineRule="auto"/>
              <w:jc w:val="both"/>
              <w:rPr>
                <w:rFonts w:asciiTheme="majorHAnsi" w:hAnsiTheme="majorHAnsi" w:cstheme="majorHAnsi"/>
              </w:rPr>
            </w:pPr>
          </w:p>
        </w:tc>
      </w:tr>
      <w:tr w:rsidR="001C5F76" w:rsidRPr="00485F85" w14:paraId="3340A62D" w14:textId="77777777" w:rsidTr="00E3523A">
        <w:tc>
          <w:tcPr>
            <w:cnfStyle w:val="001000000000" w:firstRow="0" w:lastRow="0" w:firstColumn="1" w:lastColumn="0" w:oddVBand="0" w:evenVBand="0" w:oddHBand="0" w:evenHBand="0" w:firstRowFirstColumn="0" w:firstRowLastColumn="0" w:lastRowFirstColumn="0" w:lastRowLastColumn="0"/>
            <w:tcW w:w="3171" w:type="dxa"/>
            <w:gridSpan w:val="2"/>
          </w:tcPr>
          <w:p w14:paraId="26BAFAAD"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lastRenderedPageBreak/>
              <w:t>Cota Racial</w:t>
            </w:r>
          </w:p>
        </w:tc>
        <w:tc>
          <w:tcPr>
            <w:tcW w:w="4718" w:type="dxa"/>
            <w:gridSpan w:val="5"/>
          </w:tcPr>
          <w:p w14:paraId="6E2F8787"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Cota perfil socioeconômico</w:t>
            </w:r>
          </w:p>
        </w:tc>
        <w:tc>
          <w:tcPr>
            <w:tcW w:w="2000" w:type="dxa"/>
            <w:gridSpan w:val="2"/>
          </w:tcPr>
          <w:p w14:paraId="306F273A"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Outras</w:t>
            </w:r>
          </w:p>
        </w:tc>
      </w:tr>
      <w:tr w:rsidR="001C5F76" w:rsidRPr="00485F85" w14:paraId="1B08E56F"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tcPr>
          <w:p w14:paraId="5233D879" w14:textId="77777777" w:rsidR="001C5F76" w:rsidRPr="00485F85" w:rsidRDefault="001C5F76" w:rsidP="00DD5B0C">
            <w:pPr>
              <w:spacing w:line="360" w:lineRule="auto"/>
              <w:jc w:val="both"/>
              <w:rPr>
                <w:rFonts w:asciiTheme="majorHAnsi" w:hAnsiTheme="majorHAnsi" w:cstheme="majorHAnsi"/>
              </w:rPr>
            </w:pPr>
          </w:p>
        </w:tc>
        <w:tc>
          <w:tcPr>
            <w:tcW w:w="4718" w:type="dxa"/>
            <w:gridSpan w:val="5"/>
          </w:tcPr>
          <w:p w14:paraId="2A0488C7" w14:textId="77777777" w:rsidR="001C5F76" w:rsidRPr="00485F85" w:rsidRDefault="001C5F76" w:rsidP="00DD5B0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00" w:type="dxa"/>
            <w:gridSpan w:val="2"/>
          </w:tcPr>
          <w:p w14:paraId="0B000693" w14:textId="77777777" w:rsidR="001C5F76" w:rsidRPr="00485F85" w:rsidRDefault="001C5F76" w:rsidP="00DD5B0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C5F76" w:rsidRPr="00485F85" w14:paraId="77F97B8F"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p w14:paraId="3F56975C" w14:textId="77777777" w:rsidR="001C5F76" w:rsidRPr="00485F85" w:rsidRDefault="001C5F76" w:rsidP="00DD5B0C">
            <w:pPr>
              <w:spacing w:line="360" w:lineRule="auto"/>
              <w:jc w:val="both"/>
              <w:rPr>
                <w:rFonts w:asciiTheme="majorHAnsi" w:hAnsiTheme="majorHAnsi" w:cstheme="majorHAnsi"/>
                <w:b w:val="0"/>
              </w:rPr>
            </w:pPr>
            <w:r w:rsidRPr="00485F85">
              <w:rPr>
                <w:rFonts w:asciiTheme="majorHAnsi" w:hAnsiTheme="majorHAnsi" w:cstheme="majorHAnsi"/>
              </w:rPr>
              <w:t>11.3. Bolsas demanda social</w:t>
            </w:r>
          </w:p>
        </w:tc>
      </w:tr>
      <w:tr w:rsidR="001C5F76" w:rsidRPr="00485F85" w14:paraId="57348359"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0" w:type="dxa"/>
            <w:gridSpan w:val="5"/>
          </w:tcPr>
          <w:p w14:paraId="390626AB"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Número de bolsas Graduação</w:t>
            </w:r>
          </w:p>
        </w:tc>
        <w:tc>
          <w:tcPr>
            <w:tcW w:w="3709" w:type="dxa"/>
            <w:gridSpan w:val="4"/>
          </w:tcPr>
          <w:p w14:paraId="3C064291" w14:textId="77777777" w:rsidR="001C5F76" w:rsidRPr="00485F85" w:rsidRDefault="001C5F76" w:rsidP="00DD5B0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Número de bolsas pós-Graduação</w:t>
            </w:r>
          </w:p>
        </w:tc>
      </w:tr>
      <w:tr w:rsidR="001C5F76" w:rsidRPr="00485F85" w14:paraId="54EC75F7" w14:textId="77777777" w:rsidTr="00E3523A">
        <w:tc>
          <w:tcPr>
            <w:cnfStyle w:val="001000000000" w:firstRow="0" w:lastRow="0" w:firstColumn="1" w:lastColumn="0" w:oddVBand="0" w:evenVBand="0" w:oddHBand="0" w:evenHBand="0" w:firstRowFirstColumn="0" w:firstRowLastColumn="0" w:lastRowFirstColumn="0" w:lastRowLastColumn="0"/>
            <w:tcW w:w="6180" w:type="dxa"/>
            <w:gridSpan w:val="5"/>
          </w:tcPr>
          <w:p w14:paraId="149FE2E6" w14:textId="77777777" w:rsidR="001C5F76" w:rsidRPr="00485F85" w:rsidRDefault="001C5F76" w:rsidP="00DD5B0C">
            <w:pPr>
              <w:spacing w:line="360" w:lineRule="auto"/>
              <w:jc w:val="both"/>
              <w:rPr>
                <w:rFonts w:asciiTheme="majorHAnsi" w:hAnsiTheme="majorHAnsi" w:cstheme="majorHAnsi"/>
                <w:b w:val="0"/>
              </w:rPr>
            </w:pPr>
            <w:r w:rsidRPr="00485F85">
              <w:rPr>
                <w:rFonts w:asciiTheme="majorHAnsi" w:hAnsiTheme="majorHAnsi" w:cstheme="majorHAnsi"/>
              </w:rPr>
              <w:t>Não se aplica</w:t>
            </w:r>
          </w:p>
        </w:tc>
        <w:tc>
          <w:tcPr>
            <w:tcW w:w="3709" w:type="dxa"/>
            <w:gridSpan w:val="4"/>
          </w:tcPr>
          <w:p w14:paraId="54D044CE"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85F85">
              <w:rPr>
                <w:rFonts w:asciiTheme="majorHAnsi" w:hAnsiTheme="majorHAnsi" w:cstheme="majorHAnsi"/>
                <w:b/>
              </w:rPr>
              <w:t>Não se aplica</w:t>
            </w:r>
          </w:p>
        </w:tc>
      </w:tr>
      <w:tr w:rsidR="001C5F76" w:rsidRPr="00485F85" w14:paraId="6F1AF4B0"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14:paraId="0E766A7D" w14:textId="77777777" w:rsidR="001C5F76" w:rsidRPr="00485F85" w:rsidRDefault="001C5F76" w:rsidP="00DD5B0C">
            <w:pPr>
              <w:spacing w:line="360" w:lineRule="auto"/>
              <w:jc w:val="both"/>
              <w:rPr>
                <w:rFonts w:asciiTheme="majorHAnsi" w:hAnsiTheme="majorHAnsi" w:cstheme="majorHAnsi"/>
                <w:b w:val="0"/>
                <w:bCs w:val="0"/>
              </w:rPr>
            </w:pPr>
            <w:r w:rsidRPr="00485F85">
              <w:rPr>
                <w:rFonts w:asciiTheme="majorHAnsi" w:hAnsiTheme="majorHAnsi" w:cstheme="majorHAnsi"/>
              </w:rPr>
              <w:t xml:space="preserve">Observações:  </w:t>
            </w:r>
          </w:p>
          <w:p w14:paraId="6FDFE425"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A variável Bolsas foi tratada de forma detalhada na Dimensão 4. Item 4.3 (4.3.1 e 4.3.2 Bolsas de Graduação e pós Graduação respectivamente.</w:t>
            </w:r>
          </w:p>
          <w:p w14:paraId="7B405C1E" w14:textId="77777777" w:rsidR="001C5F76" w:rsidRPr="00485F85" w:rsidRDefault="001C5F76" w:rsidP="00DD5B0C">
            <w:pPr>
              <w:spacing w:line="360" w:lineRule="auto"/>
              <w:jc w:val="both"/>
              <w:rPr>
                <w:rFonts w:asciiTheme="majorHAnsi" w:hAnsiTheme="majorHAnsi" w:cstheme="majorHAnsi"/>
                <w:b w:val="0"/>
              </w:rPr>
            </w:pPr>
          </w:p>
        </w:tc>
      </w:tr>
      <w:tr w:rsidR="001C5F76" w:rsidRPr="00485F85" w14:paraId="7F27283C"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p w14:paraId="782A05A3" w14:textId="77777777" w:rsidR="001C5F76" w:rsidRPr="00485F85" w:rsidRDefault="001C5F76" w:rsidP="00DD5B0C">
            <w:pPr>
              <w:spacing w:line="360" w:lineRule="auto"/>
              <w:jc w:val="both"/>
              <w:rPr>
                <w:rFonts w:asciiTheme="majorHAnsi" w:hAnsiTheme="majorHAnsi" w:cstheme="majorHAnsi"/>
                <w:color w:val="FF0000"/>
              </w:rPr>
            </w:pPr>
            <w:r w:rsidRPr="00485F85">
              <w:rPr>
                <w:rFonts w:asciiTheme="majorHAnsi" w:hAnsiTheme="majorHAnsi" w:cstheme="majorHAnsi"/>
              </w:rPr>
              <w:t xml:space="preserve">11.4. Criação de </w:t>
            </w:r>
            <w:r w:rsidRPr="00485F85">
              <w:rPr>
                <w:rFonts w:asciiTheme="majorHAnsi" w:hAnsiTheme="majorHAnsi" w:cstheme="majorHAnsi"/>
                <w:i/>
              </w:rPr>
              <w:t>spin-off</w:t>
            </w:r>
            <w:r w:rsidRPr="00485F85">
              <w:rPr>
                <w:rFonts w:asciiTheme="majorHAnsi" w:hAnsiTheme="majorHAnsi" w:cstheme="majorHAnsi"/>
              </w:rPr>
              <w:t xml:space="preserve"> acadêmicas</w:t>
            </w:r>
          </w:p>
        </w:tc>
      </w:tr>
      <w:tr w:rsidR="001C5F76" w:rsidRPr="00485F85" w14:paraId="00D15A2B"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14:paraId="1C3F86E7" w14:textId="77777777" w:rsidR="001C5F76" w:rsidRPr="00485F85" w:rsidRDefault="001C5F76" w:rsidP="00DD5B0C">
            <w:pPr>
              <w:spacing w:line="360" w:lineRule="auto"/>
              <w:jc w:val="both"/>
              <w:rPr>
                <w:rFonts w:asciiTheme="majorHAnsi" w:hAnsiTheme="majorHAnsi" w:cstheme="majorHAnsi"/>
              </w:rPr>
            </w:pPr>
          </w:p>
          <w:p w14:paraId="4C26FE32"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De acordo com PEDROSI FILHO e DE MATOS COELHO (2013) o empreendedorismo tecnológico e o processo de capitalização do conhecimento, via criação de spin-offs acadêmicos, são alternativas muito positivas para a universidade, a cidade, a região e o país. No Brasil, os autores mencionam um conflito entre a pesquisa básica (aquela que promoveria uma inovação desprendida de interesses, com vistas ao progresso); da pesquisa aplicada financiada pelas empresas. </w:t>
            </w:r>
          </w:p>
          <w:p w14:paraId="0EF29970" w14:textId="77777777" w:rsidR="001C5F76" w:rsidRPr="00485F85" w:rsidRDefault="001C5F76" w:rsidP="00DD5B0C">
            <w:pPr>
              <w:spacing w:line="360" w:lineRule="auto"/>
              <w:jc w:val="both"/>
              <w:rPr>
                <w:rFonts w:asciiTheme="majorHAnsi" w:hAnsiTheme="majorHAnsi" w:cstheme="majorHAnsi"/>
              </w:rPr>
            </w:pPr>
          </w:p>
          <w:p w14:paraId="0BF505ED"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Em OXFORD, a presença de spin-off acadêmicas (ou spinout como são chamadas na Universidade) se dá em diversas áreas do conhecimento. Ela acontece por meio da Oxford University Innovation/Oxford Sciences Innovation. Trata-se de um fundo de £ 600 milhões formado em 2015 para investir em spinouts dos laboratórios da Universidade de Oxford, Harwell e Culham. Ela investe em empresas spinout novas e existentes, trabalhando inclusive com outros investidores.</w:t>
            </w:r>
          </w:p>
          <w:p w14:paraId="51F11D54" w14:textId="77777777" w:rsidR="001C5F76" w:rsidRPr="00485F85" w:rsidRDefault="001C5F76" w:rsidP="00DD5B0C">
            <w:pPr>
              <w:spacing w:line="360" w:lineRule="auto"/>
              <w:jc w:val="both"/>
              <w:rPr>
                <w:rFonts w:asciiTheme="majorHAnsi" w:hAnsiTheme="majorHAnsi" w:cstheme="majorHAnsi"/>
              </w:rPr>
            </w:pPr>
          </w:p>
          <w:p w14:paraId="29FEFD41" w14:textId="77777777" w:rsidR="001C5F76" w:rsidRPr="00485F85" w:rsidRDefault="001C5F76" w:rsidP="00DD5B0C">
            <w:pPr>
              <w:spacing w:line="360" w:lineRule="auto"/>
              <w:jc w:val="both"/>
              <w:rPr>
                <w:rFonts w:asciiTheme="majorHAnsi" w:hAnsiTheme="majorHAnsi" w:cstheme="majorHAnsi"/>
                <w:lang w:val="en-US"/>
              </w:rPr>
            </w:pPr>
            <w:r w:rsidRPr="00485F85">
              <w:rPr>
                <w:rFonts w:asciiTheme="majorHAnsi" w:hAnsiTheme="majorHAnsi" w:cstheme="majorHAnsi"/>
                <w:lang w:val="en-US"/>
              </w:rPr>
              <w:t>Investidores: Invesco, IP Group, Lansdowne Partners, Oxford University Endowment Fund, Wellcome Trust, Woodford Investment Management, Google Ventures e Sir Charles Dunstone.</w:t>
            </w:r>
          </w:p>
          <w:p w14:paraId="36466302" w14:textId="77777777" w:rsidR="001C5F76" w:rsidRPr="00485F85" w:rsidRDefault="001C5F76" w:rsidP="00DD5B0C">
            <w:pPr>
              <w:spacing w:line="360" w:lineRule="auto"/>
              <w:jc w:val="both"/>
              <w:rPr>
                <w:rFonts w:asciiTheme="majorHAnsi" w:hAnsiTheme="majorHAnsi" w:cstheme="majorHAnsi"/>
                <w:lang w:val="en-US"/>
              </w:rPr>
            </w:pPr>
          </w:p>
          <w:p w14:paraId="455106A3"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Um exemplo interessante é o do NQIT – Network Quantum Information Technologies. (</w:t>
            </w:r>
            <w:hyperlink r:id="rId229" w:history="1">
              <w:r w:rsidRPr="00485F85">
                <w:rPr>
                  <w:rFonts w:asciiTheme="majorHAnsi" w:hAnsiTheme="majorHAnsi" w:cstheme="majorHAnsi"/>
                  <w:color w:val="4875BD" w:themeColor="accent1"/>
                  <w:u w:val="single"/>
                </w:rPr>
                <w:t>https://nqit.ox.ac.uk/content/spin-out-technologies.html</w:t>
              </w:r>
            </w:hyperlink>
            <w:r w:rsidRPr="00485F85">
              <w:rPr>
                <w:rFonts w:asciiTheme="majorHAnsi" w:hAnsiTheme="majorHAnsi" w:cstheme="majorHAnsi"/>
              </w:rPr>
              <w:t xml:space="preserve">. Eles desenvolveram o demonstrador de computador quântico Q20: 20 , e ainda fornecem tecnologias derivadas do trabalho, incluindo </w:t>
            </w:r>
            <w:r w:rsidRPr="00485F85">
              <w:rPr>
                <w:rFonts w:asciiTheme="majorHAnsi" w:hAnsiTheme="majorHAnsi" w:cstheme="majorHAnsi"/>
              </w:rPr>
              <w:lastRenderedPageBreak/>
              <w:t>tecnologias que podem ser úteis para o trabalho de outros Centros de Tecnologia Quântica. Isso inclui uma fonte de fóton único anunciada, uma interconexão fotônica de baixa perda, um gerador de número verdadeiramente aleatório e sensores quânticos baseados em magnetometria.</w:t>
            </w:r>
          </w:p>
          <w:p w14:paraId="50787CEC" w14:textId="77777777" w:rsidR="001C5F76" w:rsidRPr="00485F85" w:rsidRDefault="001C5F76" w:rsidP="00DD5B0C">
            <w:pPr>
              <w:spacing w:line="360" w:lineRule="auto"/>
              <w:jc w:val="both"/>
              <w:rPr>
                <w:rFonts w:asciiTheme="majorHAnsi" w:hAnsiTheme="majorHAnsi" w:cstheme="majorHAnsi"/>
              </w:rPr>
            </w:pPr>
          </w:p>
          <w:p w14:paraId="395D3E2E"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Documento como sugestão para saber mais informações: </w:t>
            </w:r>
            <w:hyperlink r:id="rId230" w:history="1">
              <w:r w:rsidRPr="00485F85">
                <w:rPr>
                  <w:rFonts w:asciiTheme="majorHAnsi" w:hAnsiTheme="majorHAnsi" w:cstheme="majorHAnsi"/>
                  <w:color w:val="4875BD" w:themeColor="accent1"/>
                  <w:u w:val="single"/>
                </w:rPr>
                <w:t>https://innovation.ox.ac.uk/wp-content/uploads/2014/04/Spin-out-Researcher-Booklet.pdf</w:t>
              </w:r>
            </w:hyperlink>
            <w:r w:rsidRPr="00485F85">
              <w:rPr>
                <w:rFonts w:asciiTheme="majorHAnsi" w:hAnsiTheme="majorHAnsi" w:cstheme="majorHAnsi"/>
              </w:rPr>
              <w:t xml:space="preserve"> </w:t>
            </w:r>
          </w:p>
          <w:p w14:paraId="49273963" w14:textId="77777777" w:rsidR="001C5F76" w:rsidRPr="00485F85" w:rsidRDefault="001C5F76" w:rsidP="00DD5B0C">
            <w:pPr>
              <w:spacing w:line="360" w:lineRule="auto"/>
              <w:jc w:val="both"/>
              <w:rPr>
                <w:rFonts w:asciiTheme="majorHAnsi" w:hAnsiTheme="majorHAnsi" w:cstheme="majorHAnsi"/>
              </w:rPr>
            </w:pPr>
          </w:p>
        </w:tc>
      </w:tr>
      <w:tr w:rsidR="001C5F76" w:rsidRPr="00485F85" w14:paraId="301C9270" w14:textId="77777777" w:rsidTr="00E3523A">
        <w:tc>
          <w:tcPr>
            <w:cnfStyle w:val="001000000000" w:firstRow="0" w:lastRow="0" w:firstColumn="1" w:lastColumn="0" w:oddVBand="0" w:evenVBand="0" w:oddHBand="0" w:evenHBand="0" w:firstRowFirstColumn="0" w:firstRowLastColumn="0" w:lastRowFirstColumn="0" w:lastRowLastColumn="0"/>
            <w:tcW w:w="3942" w:type="dxa"/>
            <w:gridSpan w:val="3"/>
          </w:tcPr>
          <w:p w14:paraId="7A7CD6DE"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lastRenderedPageBreak/>
              <w:t>Área de atuação</w:t>
            </w:r>
          </w:p>
        </w:tc>
        <w:tc>
          <w:tcPr>
            <w:tcW w:w="3947" w:type="dxa"/>
            <w:gridSpan w:val="4"/>
          </w:tcPr>
          <w:p w14:paraId="224C0C25"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Faturamento</w:t>
            </w:r>
          </w:p>
        </w:tc>
        <w:tc>
          <w:tcPr>
            <w:tcW w:w="2000" w:type="dxa"/>
            <w:gridSpan w:val="2"/>
          </w:tcPr>
          <w:p w14:paraId="5A7AB271" w14:textId="77777777" w:rsidR="001C5F76" w:rsidRPr="00485F85" w:rsidRDefault="001C5F76" w:rsidP="00DD5B0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85F85">
              <w:rPr>
                <w:rFonts w:asciiTheme="majorHAnsi" w:hAnsiTheme="majorHAnsi" w:cstheme="majorHAnsi"/>
              </w:rPr>
              <w:t>Empregabilidade</w:t>
            </w:r>
          </w:p>
        </w:tc>
      </w:tr>
      <w:tr w:rsidR="001C5F76" w:rsidRPr="00485F85" w14:paraId="6ECA052F"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gridSpan w:val="3"/>
          </w:tcPr>
          <w:p w14:paraId="532A900E" w14:textId="77777777" w:rsidR="001C5F76" w:rsidRPr="00485F85" w:rsidRDefault="001C5F76" w:rsidP="00DD5B0C">
            <w:pPr>
              <w:spacing w:line="360" w:lineRule="auto"/>
              <w:jc w:val="both"/>
              <w:rPr>
                <w:rFonts w:asciiTheme="majorHAnsi" w:hAnsiTheme="majorHAnsi" w:cstheme="majorHAnsi"/>
                <w:b w:val="0"/>
              </w:rPr>
            </w:pPr>
            <w:r w:rsidRPr="00485F85">
              <w:rPr>
                <w:rFonts w:asciiTheme="majorHAnsi" w:hAnsiTheme="majorHAnsi" w:cstheme="majorHAnsi"/>
              </w:rPr>
              <w:t xml:space="preserve">Diversas </w:t>
            </w:r>
          </w:p>
        </w:tc>
        <w:tc>
          <w:tcPr>
            <w:tcW w:w="3947" w:type="dxa"/>
            <w:gridSpan w:val="4"/>
          </w:tcPr>
          <w:p w14:paraId="22E539DC" w14:textId="77777777" w:rsidR="001C5F76" w:rsidRPr="00485F85" w:rsidRDefault="001C5F76" w:rsidP="00DD5B0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2000" w:type="dxa"/>
            <w:gridSpan w:val="2"/>
          </w:tcPr>
          <w:p w14:paraId="4EE97F6B" w14:textId="77777777" w:rsidR="001C5F76" w:rsidRPr="00485F85" w:rsidRDefault="001C5F76" w:rsidP="00DD5B0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1C5F76" w:rsidRPr="00485F85" w14:paraId="1F25814E" w14:textId="77777777" w:rsidTr="00E3523A">
        <w:tc>
          <w:tcPr>
            <w:cnfStyle w:val="001000000000" w:firstRow="0" w:lastRow="0" w:firstColumn="1" w:lastColumn="0" w:oddVBand="0" w:evenVBand="0" w:oddHBand="0" w:evenHBand="0" w:firstRowFirstColumn="0" w:firstRowLastColumn="0" w:lastRowFirstColumn="0" w:lastRowLastColumn="0"/>
            <w:tcW w:w="9889" w:type="dxa"/>
            <w:gridSpan w:val="9"/>
          </w:tcPr>
          <w:p w14:paraId="5735C9B1"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Observações:</w:t>
            </w:r>
          </w:p>
          <w:p w14:paraId="4587819D"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De acordo com seu site, a Universidade de Oxford contribui com cerca de £ 5,8 bilhões para a economia do Reino Unido e mantém mais de 50.000 empregos em tempo integral. Globalmente, o impacto é de £ 7,1 bilhões. </w:t>
            </w:r>
            <w:hyperlink r:id="rId231" w:history="1">
              <w:r w:rsidRPr="00485F85">
                <w:rPr>
                  <w:rFonts w:asciiTheme="majorHAnsi" w:hAnsiTheme="majorHAnsi" w:cstheme="majorHAnsi"/>
                  <w:color w:val="4875BD" w:themeColor="accent1"/>
                  <w:u w:val="single"/>
                </w:rPr>
                <w:t>https://www.ox.ac.uk/about/facts-and-figures/economic-impact</w:t>
              </w:r>
            </w:hyperlink>
            <w:r w:rsidRPr="00485F85">
              <w:rPr>
                <w:rFonts w:asciiTheme="majorHAnsi" w:hAnsiTheme="majorHAnsi" w:cstheme="majorHAnsi"/>
              </w:rPr>
              <w:t xml:space="preserve"> </w:t>
            </w:r>
          </w:p>
          <w:p w14:paraId="7A84369A"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 </w:t>
            </w:r>
          </w:p>
          <w:p w14:paraId="3D2FB898" w14:textId="77777777" w:rsidR="001C5F76" w:rsidRPr="00485F85" w:rsidRDefault="001C5F76" w:rsidP="00DD5B0C">
            <w:pPr>
              <w:spacing w:line="360" w:lineRule="auto"/>
              <w:jc w:val="both"/>
              <w:rPr>
                <w:rFonts w:asciiTheme="majorHAnsi" w:hAnsiTheme="majorHAnsi" w:cstheme="majorHAnsi"/>
              </w:rPr>
            </w:pPr>
          </w:p>
          <w:p w14:paraId="6AC9626D"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Um estudo realizado pela BiGGAR Economics - Economic Impact of the University of Oxford - mediu o impacto da Universidade a nível regional, nacional e global. Ele considera o impacto de uma série de atividades da Universidade, incluindo:</w:t>
            </w:r>
          </w:p>
          <w:p w14:paraId="4AD1ED2D" w14:textId="77777777" w:rsidR="001C5F76" w:rsidRPr="00485F85" w:rsidRDefault="001C5F76" w:rsidP="00DD5B0C">
            <w:pPr>
              <w:spacing w:line="360" w:lineRule="auto"/>
              <w:jc w:val="both"/>
              <w:rPr>
                <w:rFonts w:asciiTheme="majorHAnsi" w:hAnsiTheme="majorHAnsi" w:cstheme="majorHAnsi"/>
              </w:rPr>
            </w:pPr>
          </w:p>
          <w:p w14:paraId="7284C1AB"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gastos básicos, incluindo gastos com pessoal (contribuindo com £ 2,2 bilhões por ano em todo o país)</w:t>
            </w:r>
          </w:p>
          <w:p w14:paraId="6A06B3A8"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gastos, trabalho e voluntariado dos alunos (£ 80 milhões)</w:t>
            </w:r>
          </w:p>
          <w:p w14:paraId="1E271BA9"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comercialização de pesquisas da Universidade de Oxford (£ 320 milhões)</w:t>
            </w:r>
          </w:p>
          <w:p w14:paraId="5D5CDDE3"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parceria com empresas e indústria, incluindo nossos parques científicos (£ 439 milhões)</w:t>
            </w:r>
          </w:p>
          <w:p w14:paraId="4EB92FD8"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turismo e contribuição cultural (£ 58 milhões)</w:t>
            </w:r>
          </w:p>
          <w:p w14:paraId="316D5E44"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Oxford University Press (£ 383 milhões)</w:t>
            </w:r>
          </w:p>
          <w:p w14:paraId="4BC626A7"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ganhos adicionais de graduação (£ 432 milhões)</w:t>
            </w:r>
          </w:p>
          <w:p w14:paraId="0BC5A73E" w14:textId="77777777" w:rsidR="001C5F76" w:rsidRPr="00485F85" w:rsidRDefault="001C5F76" w:rsidP="00DD5B0C">
            <w:pPr>
              <w:numPr>
                <w:ilvl w:val="0"/>
                <w:numId w:val="28"/>
              </w:numPr>
              <w:spacing w:line="360" w:lineRule="auto"/>
              <w:contextualSpacing/>
              <w:jc w:val="both"/>
              <w:rPr>
                <w:rFonts w:asciiTheme="majorHAnsi" w:hAnsiTheme="majorHAnsi" w:cstheme="majorHAnsi"/>
              </w:rPr>
            </w:pPr>
            <w:r w:rsidRPr="00485F85">
              <w:rPr>
                <w:rFonts w:asciiTheme="majorHAnsi" w:hAnsiTheme="majorHAnsi" w:cstheme="majorHAnsi"/>
              </w:rPr>
              <w:t>contribuição para a saúde (£ 1,8 bilhão)</w:t>
            </w:r>
          </w:p>
          <w:p w14:paraId="38ADAF72" w14:textId="77777777" w:rsidR="001C5F76" w:rsidRPr="00485F85" w:rsidRDefault="001C5F76" w:rsidP="00DD5B0C">
            <w:pPr>
              <w:spacing w:line="360" w:lineRule="auto"/>
              <w:jc w:val="both"/>
              <w:rPr>
                <w:rFonts w:asciiTheme="majorHAnsi" w:hAnsiTheme="majorHAnsi" w:cstheme="majorHAnsi"/>
              </w:rPr>
            </w:pPr>
          </w:p>
          <w:p w14:paraId="7A306B8C" w14:textId="77777777" w:rsidR="001C5F76" w:rsidRPr="00485F85" w:rsidRDefault="001C5F76" w:rsidP="00DD5B0C">
            <w:pPr>
              <w:spacing w:line="360" w:lineRule="auto"/>
              <w:jc w:val="both"/>
              <w:rPr>
                <w:rFonts w:asciiTheme="majorHAnsi" w:hAnsiTheme="majorHAnsi" w:cstheme="majorHAnsi"/>
              </w:rPr>
            </w:pPr>
            <w:r w:rsidRPr="00485F85">
              <w:rPr>
                <w:rFonts w:asciiTheme="majorHAnsi" w:hAnsiTheme="majorHAnsi" w:cstheme="majorHAnsi"/>
              </w:rPr>
              <w:t xml:space="preserve">No geral, o relatório descobriu que cada £ 1 da renda da Universidade retorna £ 3,30 para a economia do Reino Unido em geral. Acesse o relatório: </w:t>
            </w:r>
            <w:hyperlink r:id="rId232" w:history="1">
              <w:r w:rsidRPr="00485F85">
                <w:rPr>
                  <w:rFonts w:asciiTheme="majorHAnsi" w:hAnsiTheme="majorHAnsi" w:cstheme="majorHAnsi"/>
                  <w:color w:val="4875BD" w:themeColor="accent1"/>
                  <w:u w:val="single"/>
                </w:rPr>
                <w:t>https://www.ox.ac.uk/sites/files/oxford/8%20Economic%20Impact%20Commercialisation.pdf</w:t>
              </w:r>
            </w:hyperlink>
            <w:r w:rsidRPr="00485F85">
              <w:rPr>
                <w:rFonts w:asciiTheme="majorHAnsi" w:hAnsiTheme="majorHAnsi" w:cstheme="majorHAnsi"/>
              </w:rPr>
              <w:t xml:space="preserve"> </w:t>
            </w:r>
          </w:p>
          <w:p w14:paraId="2E9AD079" w14:textId="77777777" w:rsidR="001C5F76" w:rsidRPr="00485F85" w:rsidRDefault="001C5F76" w:rsidP="00DD5B0C">
            <w:pPr>
              <w:spacing w:line="360" w:lineRule="auto"/>
              <w:jc w:val="both"/>
              <w:rPr>
                <w:rFonts w:asciiTheme="majorHAnsi" w:hAnsiTheme="majorHAnsi" w:cstheme="majorHAnsi"/>
              </w:rPr>
            </w:pPr>
          </w:p>
          <w:p w14:paraId="043C7A1E" w14:textId="77777777" w:rsidR="001C5F76" w:rsidRPr="00485F85" w:rsidRDefault="001C5F76" w:rsidP="00DD5B0C">
            <w:pPr>
              <w:spacing w:line="360" w:lineRule="auto"/>
              <w:jc w:val="both"/>
              <w:rPr>
                <w:rFonts w:asciiTheme="majorHAnsi" w:hAnsiTheme="majorHAnsi" w:cstheme="majorHAnsi"/>
              </w:rPr>
            </w:pPr>
          </w:p>
        </w:tc>
      </w:tr>
    </w:tbl>
    <w:p w14:paraId="553AF929" w14:textId="3542F832" w:rsidR="00DE19E1" w:rsidRDefault="00DE19E1" w:rsidP="001C5F76">
      <w:pPr>
        <w:jc w:val="both"/>
        <w:rPr>
          <w:rFonts w:asciiTheme="majorHAnsi" w:hAnsiTheme="majorHAnsi" w:cstheme="majorHAnsi"/>
          <w:b/>
          <w:u w:val="single"/>
        </w:rPr>
      </w:pPr>
    </w:p>
    <w:p w14:paraId="65385E9E" w14:textId="77777777" w:rsidR="00DE19E1" w:rsidRDefault="00DE19E1">
      <w:pPr>
        <w:tabs>
          <w:tab w:val="clear" w:pos="1615"/>
        </w:tabs>
        <w:spacing w:line="259" w:lineRule="auto"/>
        <w:rPr>
          <w:rFonts w:asciiTheme="majorHAnsi" w:hAnsiTheme="majorHAnsi" w:cstheme="majorHAnsi"/>
          <w:b/>
          <w:u w:val="single"/>
        </w:rPr>
      </w:pPr>
      <w:r>
        <w:rPr>
          <w:rFonts w:asciiTheme="majorHAnsi" w:hAnsiTheme="majorHAnsi" w:cstheme="majorHAnsi"/>
          <w:b/>
          <w:u w:val="single"/>
        </w:rPr>
        <w:br w:type="page"/>
      </w:r>
    </w:p>
    <w:tbl>
      <w:tblPr>
        <w:tblStyle w:val="TabeladeLista6Colorida-nfase3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E3523A" w:rsidRPr="00E3523A" w14:paraId="5477C797" w14:textId="77777777" w:rsidTr="00E35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shd w:val="clear" w:color="auto" w:fill="4875BD" w:themeFill="accent1"/>
          </w:tcPr>
          <w:p w14:paraId="0E61AEB3" w14:textId="77777777" w:rsidR="001C5F76" w:rsidRPr="00E3523A" w:rsidRDefault="001C5F76" w:rsidP="00DE19E1">
            <w:pPr>
              <w:spacing w:line="360" w:lineRule="auto"/>
              <w:jc w:val="both"/>
              <w:rPr>
                <w:rFonts w:asciiTheme="majorHAnsi" w:hAnsiTheme="majorHAnsi" w:cstheme="majorHAnsi"/>
                <w:b w:val="0"/>
                <w:color w:val="FFFFFF" w:themeColor="background1"/>
              </w:rPr>
            </w:pPr>
            <w:r w:rsidRPr="00E3523A">
              <w:rPr>
                <w:rFonts w:asciiTheme="majorHAnsi" w:hAnsiTheme="majorHAnsi" w:cstheme="majorHAnsi"/>
                <w:color w:val="FFFFFF" w:themeColor="background1"/>
              </w:rPr>
              <w:lastRenderedPageBreak/>
              <w:t>Dimensão 12. Autoconhecimento e Usos na Gestão</w:t>
            </w:r>
          </w:p>
        </w:tc>
      </w:tr>
      <w:tr w:rsidR="001C5F76" w:rsidRPr="00485F85" w14:paraId="77F702F9"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230DF66"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12.1.Portal da transparência  </w:t>
            </w:r>
          </w:p>
        </w:tc>
      </w:tr>
      <w:tr w:rsidR="001C5F76" w:rsidRPr="00485F85" w14:paraId="4A472E78"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5A3A1021"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O site da Universidade funciona como um grande portal da Transparência, disponibilizando informações e documentos.</w:t>
            </w:r>
          </w:p>
          <w:p w14:paraId="00899DA1"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Além disso, a universidade possui documentos divulgados anualmente com informações para a comunidade acadêmica do entorno a saber:</w:t>
            </w:r>
          </w:p>
          <w:p w14:paraId="3A70E296"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xml:space="preserve">- Relatórios de Revisão Anuais, disponíveis desde 2007, </w:t>
            </w:r>
            <w:hyperlink r:id="rId233" w:history="1">
              <w:r w:rsidRPr="00485F85">
                <w:rPr>
                  <w:rFonts w:asciiTheme="majorHAnsi" w:hAnsiTheme="majorHAnsi" w:cstheme="majorHAnsi"/>
                  <w:color w:val="4875BD" w:themeColor="accent1"/>
                  <w:u w:val="single"/>
                </w:rPr>
                <w:t>https://www.ox.ac.uk/about/organisation/annual-reviews</w:t>
              </w:r>
            </w:hyperlink>
            <w:r w:rsidRPr="00485F85">
              <w:rPr>
                <w:rFonts w:asciiTheme="majorHAnsi" w:hAnsiTheme="majorHAnsi" w:cstheme="majorHAnsi"/>
              </w:rPr>
              <w:t xml:space="preserve"> </w:t>
            </w:r>
          </w:p>
          <w:p w14:paraId="17B157B5" w14:textId="77777777" w:rsidR="001C5F76" w:rsidRPr="00485F85" w:rsidRDefault="001C5F76" w:rsidP="00DE19E1">
            <w:pPr>
              <w:spacing w:line="360" w:lineRule="auto"/>
              <w:rPr>
                <w:rFonts w:asciiTheme="majorHAnsi" w:hAnsiTheme="majorHAnsi" w:cstheme="majorHAnsi"/>
              </w:rPr>
            </w:pPr>
          </w:p>
          <w:p w14:paraId="097E7713"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xml:space="preserve">- Relatório Especial sobre a Pandemia - </w:t>
            </w:r>
            <w:hyperlink r:id="rId234" w:history="1">
              <w:r w:rsidRPr="00485F85">
                <w:rPr>
                  <w:rFonts w:asciiTheme="majorHAnsi" w:hAnsiTheme="majorHAnsi" w:cstheme="majorHAnsi"/>
                  <w:color w:val="4875BD" w:themeColor="accent1"/>
                  <w:u w:val="single"/>
                </w:rPr>
                <w:t>https://www.research.ox.ac.uk/2020pandemicreview</w:t>
              </w:r>
            </w:hyperlink>
            <w:r w:rsidRPr="00485F85">
              <w:rPr>
                <w:rFonts w:asciiTheme="majorHAnsi" w:hAnsiTheme="majorHAnsi" w:cstheme="majorHAnsi"/>
              </w:rPr>
              <w:t xml:space="preserve"> </w:t>
            </w:r>
          </w:p>
          <w:p w14:paraId="53AACFD8" w14:textId="77777777" w:rsidR="001C5F76" w:rsidRPr="00485F85" w:rsidRDefault="001C5F76" w:rsidP="00DE19E1">
            <w:pPr>
              <w:spacing w:line="360" w:lineRule="auto"/>
              <w:rPr>
                <w:rFonts w:asciiTheme="majorHAnsi" w:hAnsiTheme="majorHAnsi" w:cstheme="majorHAnsi"/>
              </w:rPr>
            </w:pPr>
          </w:p>
          <w:p w14:paraId="5AF4774C"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xml:space="preserve">- Transparência sobre sua governança - </w:t>
            </w:r>
            <w:hyperlink r:id="rId235" w:history="1">
              <w:r w:rsidRPr="00485F85">
                <w:rPr>
                  <w:rFonts w:asciiTheme="majorHAnsi" w:hAnsiTheme="majorHAnsi" w:cstheme="majorHAnsi"/>
                  <w:color w:val="4875BD" w:themeColor="accent1"/>
                  <w:u w:val="single"/>
                </w:rPr>
                <w:t>https://governance.admin.ox.ac.uk/</w:t>
              </w:r>
            </w:hyperlink>
            <w:r w:rsidRPr="00485F85">
              <w:rPr>
                <w:rFonts w:asciiTheme="majorHAnsi" w:hAnsiTheme="majorHAnsi" w:cstheme="majorHAnsi"/>
              </w:rPr>
              <w:t xml:space="preserve"> </w:t>
            </w:r>
          </w:p>
          <w:p w14:paraId="6F9172AD" w14:textId="77777777" w:rsidR="001C5F76" w:rsidRPr="00485F85" w:rsidRDefault="001C5F76" w:rsidP="00DE19E1">
            <w:pPr>
              <w:spacing w:line="360" w:lineRule="auto"/>
              <w:rPr>
                <w:rFonts w:asciiTheme="majorHAnsi" w:hAnsiTheme="majorHAnsi" w:cstheme="majorHAnsi"/>
              </w:rPr>
            </w:pPr>
          </w:p>
          <w:p w14:paraId="39E94F68"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xml:space="preserve">- Relatórios Financeiros, </w:t>
            </w:r>
            <w:hyperlink r:id="rId236" w:history="1">
              <w:r w:rsidRPr="00485F85">
                <w:rPr>
                  <w:rFonts w:asciiTheme="majorHAnsi" w:hAnsiTheme="majorHAnsi" w:cstheme="majorHAnsi"/>
                  <w:color w:val="4875BD" w:themeColor="accent1"/>
                  <w:u w:val="single"/>
                </w:rPr>
                <w:t>https://www.ox.ac.uk/about/organisation/finance-and-funding</w:t>
              </w:r>
            </w:hyperlink>
            <w:r w:rsidRPr="00485F85">
              <w:rPr>
                <w:rFonts w:asciiTheme="majorHAnsi" w:hAnsiTheme="majorHAnsi" w:cstheme="majorHAnsi"/>
              </w:rPr>
              <w:t xml:space="preserve"> , demonstrativos dos Colleges </w:t>
            </w:r>
            <w:hyperlink r:id="rId237" w:history="1">
              <w:r w:rsidRPr="00485F85">
                <w:rPr>
                  <w:rFonts w:asciiTheme="majorHAnsi" w:hAnsiTheme="majorHAnsi" w:cstheme="majorHAnsi"/>
                  <w:color w:val="4875BD" w:themeColor="accent1"/>
                  <w:u w:val="single"/>
                </w:rPr>
                <w:t>https://www.ox.ac.uk/about/organisation/finance-and-funding/financial-statements-oxford-colleges-2019-20</w:t>
              </w:r>
            </w:hyperlink>
            <w:r w:rsidRPr="00485F85">
              <w:rPr>
                <w:rFonts w:asciiTheme="majorHAnsi" w:hAnsiTheme="majorHAnsi" w:cstheme="majorHAnsi"/>
              </w:rPr>
              <w:t xml:space="preserve"> </w:t>
            </w:r>
          </w:p>
          <w:p w14:paraId="46982CA9"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xml:space="preserve"> Outros demonstrativos financeiros - </w:t>
            </w:r>
            <w:hyperlink r:id="rId238" w:history="1">
              <w:r w:rsidRPr="00485F85">
                <w:rPr>
                  <w:rFonts w:asciiTheme="majorHAnsi" w:hAnsiTheme="majorHAnsi" w:cstheme="majorHAnsi"/>
                  <w:color w:val="4875BD" w:themeColor="accent1"/>
                  <w:u w:val="single"/>
                </w:rPr>
                <w:t>https://www.ox.ac.uk/about/organisation/finance-and-funding/archive-of-financial-statements</w:t>
              </w:r>
            </w:hyperlink>
            <w:r w:rsidRPr="00485F85">
              <w:rPr>
                <w:rFonts w:asciiTheme="majorHAnsi" w:hAnsiTheme="majorHAnsi" w:cstheme="majorHAnsi"/>
              </w:rPr>
              <w:t xml:space="preserve"> </w:t>
            </w:r>
          </w:p>
          <w:p w14:paraId="56F62E1A" w14:textId="77777777" w:rsidR="001C5F76" w:rsidRPr="00485F85" w:rsidRDefault="001C5F76" w:rsidP="00DE19E1">
            <w:pPr>
              <w:spacing w:line="360" w:lineRule="auto"/>
              <w:rPr>
                <w:rFonts w:asciiTheme="majorHAnsi" w:hAnsiTheme="majorHAnsi" w:cstheme="majorHAnsi"/>
              </w:rPr>
            </w:pPr>
          </w:p>
          <w:p w14:paraId="3D538C10" w14:textId="77777777" w:rsidR="001C5F76" w:rsidRPr="00485F85" w:rsidRDefault="001C5F76" w:rsidP="00DE19E1">
            <w:pPr>
              <w:spacing w:line="360" w:lineRule="auto"/>
              <w:rPr>
                <w:rFonts w:asciiTheme="majorHAnsi" w:hAnsiTheme="majorHAnsi" w:cstheme="majorHAnsi"/>
              </w:rPr>
            </w:pPr>
            <w:r w:rsidRPr="00485F85">
              <w:rPr>
                <w:rFonts w:asciiTheme="majorHAnsi" w:hAnsiTheme="majorHAnsi" w:cstheme="majorHAnsi"/>
              </w:rPr>
              <w:t>- Relatórios estatísticos -</w:t>
            </w:r>
            <w:hyperlink r:id="rId239" w:history="1">
              <w:r w:rsidRPr="00485F85">
                <w:rPr>
                  <w:rFonts w:asciiTheme="majorHAnsi" w:hAnsiTheme="majorHAnsi" w:cstheme="majorHAnsi"/>
                  <w:color w:val="4875BD" w:themeColor="accent1"/>
                  <w:u w:val="single"/>
                </w:rPr>
                <w:t>https://public.tableau.com/views/UniversityofOxford-StudentStatistics/DomicileNationalityDetail?:embed=y&amp;:display_count=yes&amp;:showVizHome=no</w:t>
              </w:r>
            </w:hyperlink>
            <w:r w:rsidRPr="00485F85">
              <w:rPr>
                <w:rFonts w:asciiTheme="majorHAnsi" w:hAnsiTheme="majorHAnsi" w:cstheme="majorHAnsi"/>
              </w:rPr>
              <w:t xml:space="preserve"> </w:t>
            </w:r>
          </w:p>
          <w:p w14:paraId="49311BE0" w14:textId="77777777" w:rsidR="001C5F76" w:rsidRPr="00485F85" w:rsidRDefault="001C5F76" w:rsidP="00DE19E1">
            <w:pPr>
              <w:spacing w:line="360" w:lineRule="auto"/>
              <w:rPr>
                <w:rFonts w:asciiTheme="majorHAnsi" w:hAnsiTheme="majorHAnsi" w:cstheme="majorHAnsi"/>
              </w:rPr>
            </w:pPr>
          </w:p>
          <w:p w14:paraId="7C0746F3" w14:textId="77777777" w:rsidR="001C5F76" w:rsidRPr="00485F85" w:rsidRDefault="001C5F76" w:rsidP="00DE19E1">
            <w:pPr>
              <w:spacing w:line="360" w:lineRule="auto"/>
              <w:rPr>
                <w:rFonts w:asciiTheme="majorHAnsi" w:hAnsiTheme="majorHAnsi" w:cstheme="majorHAnsi"/>
                <w:color w:val="4C66DD" w:themeColor="text2" w:themeTint="80"/>
              </w:rPr>
            </w:pPr>
            <w:r w:rsidRPr="00485F85">
              <w:rPr>
                <w:rFonts w:asciiTheme="majorHAnsi" w:hAnsiTheme="majorHAnsi" w:cstheme="majorHAnsi"/>
              </w:rPr>
              <w:t xml:space="preserve">- Gazetas de publicações oficiais, Oxford University Gazette Diário de registro de Oxford desde 1870 - </w:t>
            </w:r>
            <w:hyperlink r:id="rId240" w:history="1">
              <w:r w:rsidRPr="00485F85">
                <w:rPr>
                  <w:rFonts w:asciiTheme="majorHAnsi" w:hAnsiTheme="majorHAnsi" w:cstheme="majorHAnsi"/>
                  <w:color w:val="4C66DD" w:themeColor="text2" w:themeTint="80"/>
                  <w:u w:val="single"/>
                </w:rPr>
                <w:t>https://gazette.web.ox.ac.uk/register-of-congregation-2020/21</w:t>
              </w:r>
            </w:hyperlink>
            <w:r w:rsidRPr="00485F85">
              <w:rPr>
                <w:rFonts w:asciiTheme="majorHAnsi" w:hAnsiTheme="majorHAnsi" w:cstheme="majorHAnsi"/>
                <w:color w:val="4C66DD" w:themeColor="text2" w:themeTint="80"/>
              </w:rPr>
              <w:t xml:space="preserve"> </w:t>
            </w:r>
          </w:p>
          <w:p w14:paraId="3E39CBAB" w14:textId="77777777" w:rsidR="001C5F76" w:rsidRPr="00485F85" w:rsidRDefault="001C5F76" w:rsidP="00DE19E1">
            <w:pPr>
              <w:spacing w:line="360" w:lineRule="auto"/>
              <w:rPr>
                <w:rFonts w:asciiTheme="majorHAnsi" w:hAnsiTheme="majorHAnsi" w:cstheme="majorHAnsi"/>
              </w:rPr>
            </w:pPr>
          </w:p>
        </w:tc>
      </w:tr>
      <w:tr w:rsidR="001C5F76" w:rsidRPr="00485F85" w14:paraId="3BD5FB54"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7CE9925"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3F0A8697"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1B17AC0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12.2. Escritório de gestão de indicadores de desempenho acadêmico</w:t>
            </w:r>
          </w:p>
          <w:p w14:paraId="762F01DF" w14:textId="77777777" w:rsidR="001C5F76" w:rsidRPr="00485F85" w:rsidRDefault="001C5F76" w:rsidP="00DE19E1">
            <w:pPr>
              <w:spacing w:line="360" w:lineRule="auto"/>
              <w:jc w:val="both"/>
              <w:rPr>
                <w:rFonts w:asciiTheme="majorHAnsi" w:hAnsiTheme="majorHAnsi" w:cstheme="majorHAnsi"/>
              </w:rPr>
            </w:pPr>
          </w:p>
          <w:p w14:paraId="0467C1D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Para o seu monitoramento acadêmico, Oxford utiliza-se:</w:t>
            </w:r>
          </w:p>
          <w:p w14:paraId="1B8462CC"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Indicadores de desempenho HESA</w:t>
            </w:r>
          </w:p>
          <w:p w14:paraId="40CEF21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cada ano, a Higher Education Statistics Agency (HESA) publica um conjunto de indicadores de desempenho para todas as instituições de ensino superior do Reino Unido. Geralmente cobrem áreas como ampliação do acesso e participação, retenção de alunos e taxas de sucesso, estatísticas de emprego e desempenho em pesquisa. Os indicadores são baseados em dados de alunos, funcionários e </w:t>
            </w:r>
            <w:r w:rsidRPr="00485F85">
              <w:rPr>
                <w:rFonts w:asciiTheme="majorHAnsi" w:hAnsiTheme="majorHAnsi" w:cstheme="majorHAnsi"/>
              </w:rPr>
              <w:lastRenderedPageBreak/>
              <w:t>finanças que todas as instituições de ensino superior devem fazer ao HESA todos os anos.</w:t>
            </w:r>
          </w:p>
          <w:p w14:paraId="5E2A4F38" w14:textId="77777777" w:rsidR="001C5F76" w:rsidRPr="00485F85" w:rsidRDefault="001C5F76" w:rsidP="00DE19E1">
            <w:pPr>
              <w:spacing w:line="360" w:lineRule="auto"/>
              <w:jc w:val="both"/>
              <w:rPr>
                <w:rFonts w:asciiTheme="majorHAnsi" w:hAnsiTheme="majorHAnsi" w:cstheme="majorHAnsi"/>
              </w:rPr>
            </w:pPr>
          </w:p>
          <w:p w14:paraId="182E02A5"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Tabelas da Liga</w:t>
            </w:r>
          </w:p>
          <w:p w14:paraId="38282B9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Uma série de tabelas de classificação nacionais e internacionais são publicadas por várias organizações, incluindo jornais. Isso gera atenção significativa da mídia e desempenha um papel na escolha do aluno.</w:t>
            </w:r>
          </w:p>
          <w:p w14:paraId="781DFE4C" w14:textId="77777777" w:rsidR="001C5F76" w:rsidRPr="00485F85" w:rsidRDefault="001C5F76" w:rsidP="00DE19E1">
            <w:pPr>
              <w:spacing w:line="360" w:lineRule="auto"/>
              <w:jc w:val="both"/>
              <w:rPr>
                <w:rFonts w:asciiTheme="majorHAnsi" w:hAnsiTheme="majorHAnsi" w:cstheme="majorHAnsi"/>
              </w:rPr>
            </w:pPr>
          </w:p>
          <w:p w14:paraId="31B1A8C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Fonte: </w:t>
            </w:r>
            <w:hyperlink r:id="rId241" w:history="1">
              <w:r w:rsidRPr="00485F85">
                <w:rPr>
                  <w:rFonts w:asciiTheme="majorHAnsi" w:hAnsiTheme="majorHAnsi" w:cstheme="majorHAnsi"/>
                  <w:color w:val="4875BD" w:themeColor="accent1"/>
                  <w:u w:val="single"/>
                </w:rPr>
                <w:t>https://governance.admin.ox.ac.uk/performance-indicators</w:t>
              </w:r>
            </w:hyperlink>
            <w:r w:rsidRPr="00485F85">
              <w:rPr>
                <w:rFonts w:asciiTheme="majorHAnsi" w:hAnsiTheme="majorHAnsi" w:cstheme="majorHAnsi"/>
              </w:rPr>
              <w:t xml:space="preserve"> </w:t>
            </w:r>
          </w:p>
          <w:p w14:paraId="07A42420"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76332A8B"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1DA13B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12.2.1 Métricas acadêmicas e financeiras</w:t>
            </w:r>
          </w:p>
        </w:tc>
      </w:tr>
      <w:tr w:rsidR="001C5F76" w:rsidRPr="00485F85" w14:paraId="1952B6FD"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23F4193F" w14:textId="77777777" w:rsidR="001C5F76" w:rsidRPr="00485F85" w:rsidRDefault="001C5F76" w:rsidP="00DE19E1">
            <w:pPr>
              <w:spacing w:line="360" w:lineRule="auto"/>
              <w:jc w:val="both"/>
              <w:rPr>
                <w:rFonts w:asciiTheme="majorHAnsi" w:hAnsiTheme="majorHAnsi" w:cstheme="majorHAnsi"/>
              </w:rPr>
            </w:pPr>
          </w:p>
          <w:p w14:paraId="66795E6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 alocação de Recursos da Universidade é pensada por meio de cinco estratégias diferentes a saber:</w:t>
            </w:r>
          </w:p>
          <w:p w14:paraId="59267692" w14:textId="77777777" w:rsidR="001C5F76" w:rsidRPr="00485F85" w:rsidRDefault="001C5F76" w:rsidP="00DE19E1">
            <w:pPr>
              <w:spacing w:line="360" w:lineRule="auto"/>
              <w:jc w:val="both"/>
              <w:rPr>
                <w:rFonts w:asciiTheme="majorHAnsi" w:hAnsiTheme="majorHAnsi" w:cstheme="majorHAnsi"/>
              </w:rPr>
            </w:pPr>
          </w:p>
          <w:p w14:paraId="339F95E2"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Método de Alocação Conjunta de Recursos (JRAM)- O método usado para determinar como dividir o financiamento recebido centralmente para ensino e pesquisa entre a Universidade e as Faculdades.</w:t>
            </w:r>
          </w:p>
          <w:p w14:paraId="0C45C696" w14:textId="77777777" w:rsidR="001C5F76" w:rsidRPr="00485F85" w:rsidRDefault="001C5F76" w:rsidP="00DE19E1">
            <w:pPr>
              <w:spacing w:line="360" w:lineRule="auto"/>
              <w:jc w:val="both"/>
              <w:rPr>
                <w:rFonts w:asciiTheme="majorHAnsi" w:hAnsiTheme="majorHAnsi" w:cstheme="majorHAnsi"/>
              </w:rPr>
            </w:pPr>
          </w:p>
          <w:p w14:paraId="6BE026E8"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Conselho Consultivo de Alocação Conjunta de Recursos (JRAAB)- O corpo especializado relacionado com o Modelo Conjunto de Alocação de Recursos.</w:t>
            </w:r>
          </w:p>
          <w:p w14:paraId="114177E3" w14:textId="77777777" w:rsidR="001C5F76" w:rsidRPr="00485F85" w:rsidRDefault="001C5F76" w:rsidP="00DE19E1">
            <w:pPr>
              <w:spacing w:line="360" w:lineRule="auto"/>
              <w:jc w:val="both"/>
              <w:rPr>
                <w:rFonts w:asciiTheme="majorHAnsi" w:hAnsiTheme="majorHAnsi" w:cstheme="majorHAnsi"/>
              </w:rPr>
            </w:pPr>
          </w:p>
          <w:p w14:paraId="17A0FEA2"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Fórmula de Financiamento Colegiado (CFF) - Os meios pelos quais a Conferência de Faculdades concordou em distribuir recursos entre as várias faculdades.</w:t>
            </w:r>
          </w:p>
          <w:p w14:paraId="1655450D" w14:textId="77777777" w:rsidR="001C5F76" w:rsidRPr="00485F85" w:rsidRDefault="001C5F76" w:rsidP="00DE19E1">
            <w:pPr>
              <w:spacing w:line="360" w:lineRule="auto"/>
              <w:jc w:val="both"/>
              <w:rPr>
                <w:rFonts w:asciiTheme="majorHAnsi" w:hAnsiTheme="majorHAnsi" w:cstheme="majorHAnsi"/>
              </w:rPr>
            </w:pPr>
          </w:p>
          <w:p w14:paraId="6046C00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Taxa de infraestrutura- Mecanismo pelo qual os departamentos acadêmicos financiam os serviços prestados de forma centralizada, também conhecido como modelo 123.</w:t>
            </w:r>
          </w:p>
          <w:p w14:paraId="154221F1" w14:textId="77777777" w:rsidR="001C5F76" w:rsidRPr="00485F85" w:rsidRDefault="001C5F76" w:rsidP="00DE19E1">
            <w:pPr>
              <w:spacing w:line="360" w:lineRule="auto"/>
              <w:jc w:val="both"/>
              <w:rPr>
                <w:rFonts w:asciiTheme="majorHAnsi" w:hAnsiTheme="majorHAnsi" w:cstheme="majorHAnsi"/>
              </w:rPr>
            </w:pPr>
          </w:p>
          <w:p w14:paraId="251CDA0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Mecanismo de carregamento integrado (ICM) - Os meios de agilizar e esclarecer as taxas que estão sendo pagas pelas faculdades à Universidade.</w:t>
            </w:r>
          </w:p>
          <w:p w14:paraId="5EE49F8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Fontes:  </w:t>
            </w:r>
            <w:hyperlink r:id="rId242" w:anchor="/" w:history="1">
              <w:r w:rsidRPr="00485F85">
                <w:rPr>
                  <w:rFonts w:asciiTheme="majorHAnsi" w:hAnsiTheme="majorHAnsi" w:cstheme="majorHAnsi"/>
                  <w:color w:val="4875BD" w:themeColor="accent1"/>
                  <w:u w:val="single"/>
                </w:rPr>
                <w:t>https://governance.admin.ox.ac.uk/resource-allocation#/</w:t>
              </w:r>
            </w:hyperlink>
            <w:r w:rsidRPr="00485F85">
              <w:rPr>
                <w:rFonts w:asciiTheme="majorHAnsi" w:hAnsiTheme="majorHAnsi" w:cstheme="majorHAnsi"/>
              </w:rPr>
              <w:t xml:space="preserve"> </w:t>
            </w:r>
          </w:p>
          <w:p w14:paraId="03C8A9E1" w14:textId="77777777" w:rsidR="001C5F76" w:rsidRPr="00485F85" w:rsidRDefault="001C5F76" w:rsidP="00DE19E1">
            <w:pPr>
              <w:spacing w:line="360" w:lineRule="auto"/>
              <w:jc w:val="both"/>
              <w:rPr>
                <w:rFonts w:asciiTheme="majorHAnsi" w:hAnsiTheme="majorHAnsi" w:cstheme="majorHAnsi"/>
              </w:rPr>
            </w:pPr>
          </w:p>
          <w:p w14:paraId="4429DA2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Para organizar a alocação de recursos a Universidade de Oxford possui Comitê de Planejamento e Alocação de Recursos (PRAC) (Planning and Resource Allocation Committee (PRAC).  O Comitê de Planejamento e Alocação de Recursos (PRAC) é um comitê principal do Conselho responsável pela definição do orçamento de serviços e divisão, e pela alocação de dinheiro para outras funções importantes da Universidade. O Comitê também supervisiona o planejamento do número de alunos, definição de taxas, iniciativas de valor para o dinheiro e outras atividades que afetam a receita e as </w:t>
            </w:r>
            <w:r w:rsidRPr="00485F85">
              <w:rPr>
                <w:rFonts w:asciiTheme="majorHAnsi" w:hAnsiTheme="majorHAnsi" w:cstheme="majorHAnsi"/>
              </w:rPr>
              <w:lastRenderedPageBreak/>
              <w:t>despesas. O PRAC define o orçamento para despesas de capital de TI e aprova as despesas do Plano de Capital Menor. O Comitê é responsável pela elaboração e supervisão dos planos estratégicos qüinqüenais da Universidade.</w:t>
            </w:r>
          </w:p>
          <w:p w14:paraId="14A3EE74" w14:textId="77777777" w:rsidR="001C5F76" w:rsidRPr="00485F85" w:rsidRDefault="001C5F76" w:rsidP="00DE19E1">
            <w:pPr>
              <w:spacing w:line="360" w:lineRule="auto"/>
              <w:jc w:val="both"/>
              <w:rPr>
                <w:rFonts w:asciiTheme="majorHAnsi" w:hAnsiTheme="majorHAnsi" w:cstheme="majorHAnsi"/>
              </w:rPr>
            </w:pPr>
          </w:p>
          <w:p w14:paraId="6FFFA683" w14:textId="77777777" w:rsidR="001C5F76" w:rsidRPr="00485F85" w:rsidRDefault="001C5F76" w:rsidP="00DE19E1">
            <w:pPr>
              <w:spacing w:line="360" w:lineRule="auto"/>
              <w:jc w:val="both"/>
              <w:rPr>
                <w:rFonts w:asciiTheme="majorHAnsi" w:hAnsiTheme="majorHAnsi" w:cstheme="majorHAnsi"/>
                <w:b w:val="0"/>
                <w:bCs w:val="0"/>
                <w:lang w:val="en-US"/>
              </w:rPr>
            </w:pPr>
            <w:r w:rsidRPr="00485F85">
              <w:rPr>
                <w:rFonts w:asciiTheme="majorHAnsi" w:hAnsiTheme="majorHAnsi" w:cstheme="majorHAnsi"/>
                <w:lang w:val="en-US"/>
              </w:rPr>
              <w:t>Subcomitês do Planning and Resource Allocation Committee (PRAC)</w:t>
            </w:r>
          </w:p>
          <w:p w14:paraId="3DA3EFA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 Subcomitê de Edificações e Patrimônios (BESC)</w:t>
            </w:r>
          </w:p>
          <w:p w14:paraId="552D50C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 Subcomitê de Orçamento (BSC)</w:t>
            </w:r>
          </w:p>
          <w:p w14:paraId="467FBE5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3. Capital Steering Group (CSG)</w:t>
            </w:r>
          </w:p>
          <w:p w14:paraId="2DB64C0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4. Subcomitê de Sustentabilidade Ambiental (ESSC)</w:t>
            </w:r>
          </w:p>
          <w:p w14:paraId="459061E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5. Subcomitê de Gestão de Propriedade (PMSC)</w:t>
            </w:r>
          </w:p>
          <w:p w14:paraId="4F08597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6. Subcomitês do PRAC e Comitê de Pesquisa</w:t>
            </w:r>
          </w:p>
          <w:p w14:paraId="0E5E25AC" w14:textId="77777777" w:rsidR="001C5F76" w:rsidRPr="00485F85" w:rsidRDefault="001C5F76" w:rsidP="00DE19E1">
            <w:pPr>
              <w:spacing w:line="360" w:lineRule="auto"/>
              <w:jc w:val="both"/>
              <w:rPr>
                <w:rFonts w:asciiTheme="majorHAnsi" w:hAnsiTheme="majorHAnsi" w:cstheme="majorHAnsi"/>
              </w:rPr>
            </w:pPr>
          </w:p>
          <w:p w14:paraId="4CD7E45E"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Grupo de trabalho do PRAC</w:t>
            </w:r>
          </w:p>
          <w:p w14:paraId="1160BC6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 Capital Steering Group (CSG)</w:t>
            </w:r>
          </w:p>
          <w:p w14:paraId="47293FA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 Grupo de garantia de dados (DAG)</w:t>
            </w:r>
          </w:p>
          <w:p w14:paraId="147B7090" w14:textId="77777777" w:rsidR="001C5F76" w:rsidRPr="00485F85" w:rsidRDefault="001C5F76" w:rsidP="00DE19E1">
            <w:pPr>
              <w:spacing w:line="360" w:lineRule="auto"/>
              <w:jc w:val="both"/>
              <w:rPr>
                <w:rFonts w:asciiTheme="majorHAnsi" w:hAnsiTheme="majorHAnsi" w:cstheme="majorHAnsi"/>
              </w:rPr>
            </w:pPr>
          </w:p>
          <w:p w14:paraId="5E9A1310"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Órgãos conjuntos</w:t>
            </w:r>
          </w:p>
          <w:p w14:paraId="57DA22FB"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 Junta Consultiva Conjunta de Alocação de Recursos - Uma Junta Consultiva Conjunta (reportando via PRAC) e a Conferência de Faculdades</w:t>
            </w:r>
          </w:p>
          <w:p w14:paraId="667CCCA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 Taxas Conjuntas e Grupo Consultivo de Apoio ao Aluno</w:t>
            </w:r>
          </w:p>
          <w:p w14:paraId="5CC4EC5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3. Subcomitê Conjunto de Planejamento de Número de Alunos - Um corpo conjunto do Conselho (relatórios via PRAC e Comitê de Educação) e Conferência de Faculdades</w:t>
            </w:r>
          </w:p>
          <w:p w14:paraId="09AC1AEE" w14:textId="77777777" w:rsidR="001C5F76" w:rsidRPr="00485F85" w:rsidRDefault="001C5F76" w:rsidP="00DE19E1">
            <w:pPr>
              <w:spacing w:line="360" w:lineRule="auto"/>
              <w:jc w:val="both"/>
              <w:rPr>
                <w:rFonts w:asciiTheme="majorHAnsi" w:hAnsiTheme="majorHAnsi" w:cstheme="majorHAnsi"/>
              </w:rPr>
            </w:pPr>
          </w:p>
          <w:p w14:paraId="2A91D4F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Fonte: </w:t>
            </w:r>
            <w:hyperlink r:id="rId243" w:history="1">
              <w:r w:rsidRPr="00485F85">
                <w:rPr>
                  <w:rFonts w:asciiTheme="majorHAnsi" w:hAnsiTheme="majorHAnsi" w:cstheme="majorHAnsi"/>
                  <w:color w:val="4875BD" w:themeColor="accent1"/>
                  <w:u w:val="single"/>
                </w:rPr>
                <w:t>https://governance.admin.ox.ac.uk/planning-and-resource-allocation-committee</w:t>
              </w:r>
            </w:hyperlink>
            <w:r w:rsidRPr="00485F85">
              <w:rPr>
                <w:rFonts w:asciiTheme="majorHAnsi" w:hAnsiTheme="majorHAnsi" w:cstheme="majorHAnsi"/>
              </w:rPr>
              <w:t xml:space="preserve"> </w:t>
            </w:r>
          </w:p>
          <w:p w14:paraId="37A39332"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3E20FF5C"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542C8E0"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4D5A02C9"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12F138E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12.3. Objetivos estratégicos no PDI</w:t>
            </w:r>
          </w:p>
          <w:p w14:paraId="4B21A108" w14:textId="77777777" w:rsidR="001C5F76" w:rsidRPr="00485F85" w:rsidRDefault="001C5F76" w:rsidP="00DE19E1">
            <w:pPr>
              <w:spacing w:line="360" w:lineRule="auto"/>
              <w:jc w:val="both"/>
              <w:rPr>
                <w:rFonts w:asciiTheme="majorHAnsi" w:hAnsiTheme="majorHAnsi" w:cstheme="majorHAnsi"/>
              </w:rPr>
            </w:pPr>
          </w:p>
          <w:p w14:paraId="642B8DF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Os últimos objetivos estratégicos podem ser divididos em 5 grandes temas (Educação, Pesquisa, Pessoas, Engajamento e Parceria e Recursos) e estão citados abaixo:</w:t>
            </w:r>
          </w:p>
          <w:p w14:paraId="75F12ED0" w14:textId="77777777" w:rsidR="001C5F76" w:rsidRPr="00485F85" w:rsidRDefault="001C5F76" w:rsidP="00DE19E1">
            <w:pPr>
              <w:spacing w:line="360" w:lineRule="auto"/>
              <w:jc w:val="both"/>
              <w:rPr>
                <w:rFonts w:asciiTheme="majorHAnsi" w:hAnsiTheme="majorHAnsi" w:cstheme="majorHAnsi"/>
              </w:rPr>
            </w:pPr>
          </w:p>
          <w:p w14:paraId="409DE0B7"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PRIORIDADES DE EDUCAÇÃO</w:t>
            </w:r>
          </w:p>
          <w:p w14:paraId="03C2AFC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 Defina metas ambiciosas até abril de 2019 para aumentar substancialmente até 2023 o número de vagas de graduação oferecidas a alunos de grupos que atualmente estão sub-representados em Oxford.</w:t>
            </w:r>
          </w:p>
          <w:p w14:paraId="5EDD992A" w14:textId="77777777" w:rsidR="001C5F76" w:rsidRPr="00485F85" w:rsidRDefault="001C5F76" w:rsidP="00DE19E1">
            <w:pPr>
              <w:spacing w:line="360" w:lineRule="auto"/>
              <w:jc w:val="both"/>
              <w:rPr>
                <w:rFonts w:asciiTheme="majorHAnsi" w:hAnsiTheme="majorHAnsi" w:cstheme="majorHAnsi"/>
              </w:rPr>
            </w:pPr>
          </w:p>
          <w:p w14:paraId="7649CB7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 Pretende criar até 2023 mais 300 bolsas de pós-graduação.</w:t>
            </w:r>
          </w:p>
          <w:p w14:paraId="081004C1" w14:textId="77777777" w:rsidR="001C5F76" w:rsidRPr="00485F85" w:rsidRDefault="001C5F76" w:rsidP="00DE19E1">
            <w:pPr>
              <w:spacing w:line="360" w:lineRule="auto"/>
              <w:jc w:val="both"/>
              <w:rPr>
                <w:rFonts w:asciiTheme="majorHAnsi" w:hAnsiTheme="majorHAnsi" w:cstheme="majorHAnsi"/>
              </w:rPr>
            </w:pPr>
          </w:p>
          <w:p w14:paraId="6993164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3. Definir metas ambiciosas até abril de 2019 para reduzir até 2023 as lacunas de alcance por gênero, origem étnica e background socioeconômico.</w:t>
            </w:r>
          </w:p>
          <w:p w14:paraId="4ACAD4DF" w14:textId="77777777" w:rsidR="001C5F76" w:rsidRPr="00485F85" w:rsidRDefault="001C5F76" w:rsidP="00DE19E1">
            <w:pPr>
              <w:spacing w:line="360" w:lineRule="auto"/>
              <w:jc w:val="both"/>
              <w:rPr>
                <w:rFonts w:asciiTheme="majorHAnsi" w:hAnsiTheme="majorHAnsi" w:cstheme="majorHAnsi"/>
              </w:rPr>
            </w:pPr>
          </w:p>
          <w:p w14:paraId="62554D7F"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4. Objetivo de aumentar até 2023 o consumo de alunos de graduação em até 200 por ano, com foco em áreas de assuntos estrategicamente importantes, incluindo ciência da computação, engenharia, ciências biomédicas e diplomas conjuntos em economia.</w:t>
            </w:r>
          </w:p>
          <w:p w14:paraId="7D8ADCD8" w14:textId="77777777" w:rsidR="001C5F76" w:rsidRPr="00485F85" w:rsidRDefault="001C5F76" w:rsidP="00DE19E1">
            <w:pPr>
              <w:spacing w:line="360" w:lineRule="auto"/>
              <w:jc w:val="both"/>
              <w:rPr>
                <w:rFonts w:asciiTheme="majorHAnsi" w:hAnsiTheme="majorHAnsi" w:cstheme="majorHAnsi"/>
              </w:rPr>
            </w:pPr>
          </w:p>
          <w:p w14:paraId="53475742"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5. Visar aumentar até 2023 a ingestão de alunos de pós-graduação em até 450 por ano e a ingestão de alunos de pós-graduação em pesquisa em até 400 por ano, mantendo a qualidade.</w:t>
            </w:r>
          </w:p>
          <w:p w14:paraId="72EB6480" w14:textId="77777777" w:rsidR="001C5F76" w:rsidRPr="00485F85" w:rsidRDefault="001C5F76" w:rsidP="00DE19E1">
            <w:pPr>
              <w:spacing w:line="360" w:lineRule="auto"/>
              <w:jc w:val="both"/>
              <w:rPr>
                <w:rFonts w:asciiTheme="majorHAnsi" w:hAnsiTheme="majorHAnsi" w:cstheme="majorHAnsi"/>
              </w:rPr>
            </w:pPr>
          </w:p>
          <w:p w14:paraId="4B7B876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6. Pretende oferecer até 2023 um adicional de 2.000 estágios financiados para estudantes em todos os níveis.</w:t>
            </w:r>
          </w:p>
          <w:p w14:paraId="5D071D10" w14:textId="77777777" w:rsidR="001C5F76" w:rsidRPr="00485F85" w:rsidRDefault="001C5F76" w:rsidP="00DE19E1">
            <w:pPr>
              <w:spacing w:line="360" w:lineRule="auto"/>
              <w:jc w:val="both"/>
              <w:rPr>
                <w:rFonts w:asciiTheme="majorHAnsi" w:hAnsiTheme="majorHAnsi" w:cstheme="majorHAnsi"/>
              </w:rPr>
            </w:pPr>
          </w:p>
          <w:p w14:paraId="74F2DF0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7. Até 2023, em parceria com o setor privado, ter iniciado a construção de 1.000 salas de pós-graduação adicionais, incluindo o estabelecimento de pelo menos uma nova faculdade de pós-graduação.</w:t>
            </w:r>
          </w:p>
          <w:p w14:paraId="2463F9AC" w14:textId="77777777" w:rsidR="001C5F76" w:rsidRPr="00485F85" w:rsidRDefault="001C5F76" w:rsidP="00DE19E1">
            <w:pPr>
              <w:spacing w:line="360" w:lineRule="auto"/>
              <w:jc w:val="both"/>
              <w:rPr>
                <w:rFonts w:asciiTheme="majorHAnsi" w:hAnsiTheme="majorHAnsi" w:cstheme="majorHAnsi"/>
              </w:rPr>
            </w:pPr>
          </w:p>
          <w:p w14:paraId="2A6E1061"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PRIORIDADES DE PESQUISA</w:t>
            </w:r>
          </w:p>
          <w:p w14:paraId="5B772B5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8. Aumentar as oportunidades e o apoio para pesquisadores em início de carreira.</w:t>
            </w:r>
          </w:p>
          <w:p w14:paraId="05C74543" w14:textId="77777777" w:rsidR="001C5F76" w:rsidRPr="00485F85" w:rsidRDefault="001C5F76" w:rsidP="00DE19E1">
            <w:pPr>
              <w:spacing w:line="360" w:lineRule="auto"/>
              <w:jc w:val="both"/>
              <w:rPr>
                <w:rFonts w:asciiTheme="majorHAnsi" w:hAnsiTheme="majorHAnsi" w:cstheme="majorHAnsi"/>
              </w:rPr>
            </w:pPr>
          </w:p>
          <w:p w14:paraId="48B8D0D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9. Investir substancialmente no ambiente de pesquisa, tanto humano quanto físico (incluindo patrimônio, bibliotecas, coleções, equipamentos e TI) até 2023.</w:t>
            </w:r>
          </w:p>
          <w:p w14:paraId="7530961A" w14:textId="77777777" w:rsidR="001C5F76" w:rsidRPr="00485F85" w:rsidRDefault="001C5F76" w:rsidP="00DE19E1">
            <w:pPr>
              <w:spacing w:line="360" w:lineRule="auto"/>
              <w:jc w:val="both"/>
              <w:rPr>
                <w:rFonts w:asciiTheme="majorHAnsi" w:hAnsiTheme="majorHAnsi" w:cstheme="majorHAnsi"/>
              </w:rPr>
            </w:pPr>
          </w:p>
          <w:p w14:paraId="63FB670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10. Aumentar a escala e o escopo de nosso fundo central de pesquisa para aumentar nossa capacidade de estimular e financiar as principais iniciativas de pesquisa.</w:t>
            </w:r>
          </w:p>
          <w:p w14:paraId="3EAC0328" w14:textId="77777777" w:rsidR="001C5F76" w:rsidRPr="00485F85" w:rsidRDefault="001C5F76" w:rsidP="00DE19E1">
            <w:pPr>
              <w:spacing w:line="360" w:lineRule="auto"/>
              <w:jc w:val="both"/>
              <w:rPr>
                <w:rFonts w:asciiTheme="majorHAnsi" w:hAnsiTheme="majorHAnsi" w:cstheme="majorHAnsi"/>
              </w:rPr>
            </w:pPr>
          </w:p>
          <w:p w14:paraId="6801F54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11. Envolva-se com empresas, ONGs e outros para aumentar o volume e o valor da pesquisa financiada pelo setor não público de forma sustentável.</w:t>
            </w:r>
          </w:p>
          <w:p w14:paraId="2E2BF6F8" w14:textId="77777777" w:rsidR="001C5F76" w:rsidRPr="00485F85" w:rsidRDefault="001C5F76" w:rsidP="00DE19E1">
            <w:pPr>
              <w:spacing w:line="360" w:lineRule="auto"/>
              <w:jc w:val="both"/>
              <w:rPr>
                <w:rFonts w:asciiTheme="majorHAnsi" w:hAnsiTheme="majorHAnsi" w:cstheme="majorHAnsi"/>
              </w:rPr>
            </w:pPr>
          </w:p>
          <w:p w14:paraId="67AE4ED3"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 Continuar a ampliar e investir em nossas atividades de inovação e promover o ambiente empreendedor para funcionários e alunos.</w:t>
            </w:r>
          </w:p>
          <w:p w14:paraId="2512E07A" w14:textId="77777777" w:rsidR="001C5F76" w:rsidRPr="00485F85" w:rsidRDefault="001C5F76" w:rsidP="00DE19E1">
            <w:pPr>
              <w:spacing w:line="360" w:lineRule="auto"/>
              <w:jc w:val="both"/>
              <w:rPr>
                <w:rFonts w:asciiTheme="majorHAnsi" w:hAnsiTheme="majorHAnsi" w:cstheme="majorHAnsi"/>
              </w:rPr>
            </w:pPr>
          </w:p>
          <w:p w14:paraId="603A6A68"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lastRenderedPageBreak/>
              <w:t>PRIORIDADES DAS PESSOAS</w:t>
            </w:r>
          </w:p>
          <w:p w14:paraId="3C10F99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13. Incorporar uma cultura de apoio e inclusão e aumentar a diversidade do pessoal da Universidade em todos os níveis por meio da implementação de nossos planos de ação, como o Athena SWAN, o Race Equality Charter, o Stonewall Workplace Equality Index e o Mindful Employer.</w:t>
            </w:r>
          </w:p>
          <w:p w14:paraId="7242E4B9" w14:textId="77777777" w:rsidR="001C5F76" w:rsidRPr="00485F85" w:rsidRDefault="001C5F76" w:rsidP="00DE19E1">
            <w:pPr>
              <w:spacing w:line="360" w:lineRule="auto"/>
              <w:jc w:val="both"/>
              <w:rPr>
                <w:rFonts w:asciiTheme="majorHAnsi" w:hAnsiTheme="majorHAnsi" w:cstheme="majorHAnsi"/>
              </w:rPr>
            </w:pPr>
          </w:p>
          <w:p w14:paraId="0B4D7E2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14. Garantir que Oxford continue sendo um lugar atraente para se trabalhar, levando em consideração o ambiente de trabalho, moradia, creche, vistos, pensões e salário.</w:t>
            </w:r>
          </w:p>
          <w:p w14:paraId="36EC6146" w14:textId="77777777" w:rsidR="001C5F76" w:rsidRPr="00485F85" w:rsidRDefault="001C5F76" w:rsidP="00DE19E1">
            <w:pPr>
              <w:spacing w:line="360" w:lineRule="auto"/>
              <w:jc w:val="both"/>
              <w:rPr>
                <w:rFonts w:asciiTheme="majorHAnsi" w:hAnsiTheme="majorHAnsi" w:cstheme="majorHAnsi"/>
              </w:rPr>
            </w:pPr>
          </w:p>
          <w:p w14:paraId="255C977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15. Crie um ambiente de política e prática que apóie o bem-estar, onde a responsabilidade pelo bem-estar seja compartilhada e pertencente a todos.</w:t>
            </w:r>
          </w:p>
          <w:p w14:paraId="6C2C872D" w14:textId="77777777" w:rsidR="001C5F76" w:rsidRPr="00485F85" w:rsidRDefault="001C5F76" w:rsidP="00DE19E1">
            <w:pPr>
              <w:spacing w:line="360" w:lineRule="auto"/>
              <w:jc w:val="both"/>
              <w:rPr>
                <w:rFonts w:asciiTheme="majorHAnsi" w:hAnsiTheme="majorHAnsi" w:cstheme="majorHAnsi"/>
              </w:rPr>
            </w:pPr>
          </w:p>
          <w:p w14:paraId="034AB15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16. Implementar medidas criativas e consistentes para ajudar nossa equipe a equilibrar as demandas conflitantes sobre seu tempo, tanto em suas funções quanto entre suas vidas profissionais e domésticas, incluindo o desenvolvimento de nossa prestação de cuidados infantis e políticas de trabalho flexíveis, e permitindo que a equipe acadêmica varie seus funções ao longo da carreira.</w:t>
            </w:r>
          </w:p>
          <w:p w14:paraId="638281AA" w14:textId="77777777" w:rsidR="001C5F76" w:rsidRPr="00485F85" w:rsidRDefault="001C5F76" w:rsidP="00DE19E1">
            <w:pPr>
              <w:spacing w:line="360" w:lineRule="auto"/>
              <w:jc w:val="both"/>
              <w:rPr>
                <w:rFonts w:asciiTheme="majorHAnsi" w:hAnsiTheme="majorHAnsi" w:cstheme="majorHAnsi"/>
              </w:rPr>
            </w:pPr>
          </w:p>
          <w:p w14:paraId="20B54AE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17. Desenvolver um meio eqüitativo e transparente de alocar novas casas a preços acessíveis para funcionários de universidades e faculdades (ver prioridade 28).</w:t>
            </w:r>
          </w:p>
          <w:p w14:paraId="660738DD" w14:textId="77777777" w:rsidR="001C5F76" w:rsidRPr="00485F85" w:rsidRDefault="001C5F76" w:rsidP="00DE19E1">
            <w:pPr>
              <w:spacing w:line="360" w:lineRule="auto"/>
              <w:jc w:val="both"/>
              <w:rPr>
                <w:rFonts w:asciiTheme="majorHAnsi" w:hAnsiTheme="majorHAnsi" w:cstheme="majorHAnsi"/>
              </w:rPr>
            </w:pPr>
          </w:p>
          <w:p w14:paraId="3E1D51E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18. Revise e melhore nossos arranjos atuais para apoiar o desenvolvimento pessoal e de carreira de todos os funcionários.</w:t>
            </w:r>
          </w:p>
          <w:p w14:paraId="05DCAA32" w14:textId="77777777" w:rsidR="001C5F76" w:rsidRPr="00485F85" w:rsidRDefault="001C5F76" w:rsidP="00DE19E1">
            <w:pPr>
              <w:spacing w:line="360" w:lineRule="auto"/>
              <w:jc w:val="both"/>
              <w:rPr>
                <w:rFonts w:asciiTheme="majorHAnsi" w:hAnsiTheme="majorHAnsi" w:cstheme="majorHAnsi"/>
              </w:rPr>
            </w:pPr>
          </w:p>
          <w:p w14:paraId="7D7A035F"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PRIORIDADES DE ENGAJAMENTO E PARCERIA</w:t>
            </w:r>
          </w:p>
          <w:p w14:paraId="4CE0511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19. Expansão dos distritos de inovação em Oxford e arredores, incluindo Begbroke Science Park e Osney Mead.</w:t>
            </w:r>
          </w:p>
          <w:p w14:paraId="5493C9AE" w14:textId="77777777" w:rsidR="001C5F76" w:rsidRPr="00485F85" w:rsidRDefault="001C5F76" w:rsidP="00DE19E1">
            <w:pPr>
              <w:spacing w:line="360" w:lineRule="auto"/>
              <w:jc w:val="both"/>
              <w:rPr>
                <w:rFonts w:asciiTheme="majorHAnsi" w:hAnsiTheme="majorHAnsi" w:cstheme="majorHAnsi"/>
              </w:rPr>
            </w:pPr>
          </w:p>
          <w:p w14:paraId="44ACE862"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20. Investimento contínuo em ferramentas e infraestrutura digital para ser líder em bolsas abertas e apoiar o acesso aberto a coleções e saídas de dados de pesquisa.</w:t>
            </w:r>
          </w:p>
          <w:p w14:paraId="385BDF14" w14:textId="77777777" w:rsidR="001C5F76" w:rsidRPr="00485F85" w:rsidRDefault="001C5F76" w:rsidP="00DE19E1">
            <w:pPr>
              <w:spacing w:line="360" w:lineRule="auto"/>
              <w:jc w:val="both"/>
              <w:rPr>
                <w:rFonts w:asciiTheme="majorHAnsi" w:hAnsiTheme="majorHAnsi" w:cstheme="majorHAnsi"/>
              </w:rPr>
            </w:pPr>
          </w:p>
          <w:p w14:paraId="3789D63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21. Continuar a melhorar a amplitude e a profundidade do engajamento público por meio de eventos e programas realizados por meio de vários mecanismos, incluindo as divisões acadêmicas e os Jardins, Bibliotecas e Museus (GLAM).</w:t>
            </w:r>
          </w:p>
          <w:p w14:paraId="3DEAB3B3" w14:textId="77777777" w:rsidR="001C5F76" w:rsidRPr="00485F85" w:rsidRDefault="001C5F76" w:rsidP="00DE19E1">
            <w:pPr>
              <w:spacing w:line="360" w:lineRule="auto"/>
              <w:jc w:val="both"/>
              <w:rPr>
                <w:rFonts w:asciiTheme="majorHAnsi" w:hAnsiTheme="majorHAnsi" w:cstheme="majorHAnsi"/>
              </w:rPr>
            </w:pPr>
          </w:p>
          <w:p w14:paraId="6FFC9FB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22. Expanda as colaborações de pesquisa internacionais estratégicas.</w:t>
            </w:r>
          </w:p>
          <w:p w14:paraId="4987E01C" w14:textId="77777777" w:rsidR="001C5F76" w:rsidRPr="00485F85" w:rsidRDefault="001C5F76" w:rsidP="00DE19E1">
            <w:pPr>
              <w:spacing w:line="360" w:lineRule="auto"/>
              <w:jc w:val="both"/>
              <w:rPr>
                <w:rFonts w:asciiTheme="majorHAnsi" w:hAnsiTheme="majorHAnsi" w:cstheme="majorHAnsi"/>
              </w:rPr>
            </w:pPr>
          </w:p>
          <w:p w14:paraId="7CAD67A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23. Apoiar e expandir as oportunidades de mobilidade internacional para estudantes de graduação e pós-graduação, incluindo estágios de período não letivo e oportunidades no curso para estudar, realizar pesquisas ou obter experiência de trabalho no exterior.</w:t>
            </w:r>
          </w:p>
          <w:p w14:paraId="236EC844" w14:textId="77777777" w:rsidR="001C5F76" w:rsidRPr="00485F85" w:rsidRDefault="001C5F76" w:rsidP="00DE19E1">
            <w:pPr>
              <w:spacing w:line="360" w:lineRule="auto"/>
              <w:jc w:val="both"/>
              <w:rPr>
                <w:rFonts w:asciiTheme="majorHAnsi" w:hAnsiTheme="majorHAnsi" w:cstheme="majorHAnsi"/>
              </w:rPr>
            </w:pPr>
          </w:p>
          <w:p w14:paraId="6C059492"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24. Informar, capacitar e mobilizar ex-alunos para se tornarem mais informados e envolvidos no apoio à Universidade em geral.</w:t>
            </w:r>
          </w:p>
          <w:p w14:paraId="2D2183E6" w14:textId="77777777" w:rsidR="001C5F76" w:rsidRPr="00485F85" w:rsidRDefault="001C5F76" w:rsidP="00DE19E1">
            <w:pPr>
              <w:spacing w:line="360" w:lineRule="auto"/>
              <w:jc w:val="both"/>
              <w:rPr>
                <w:rFonts w:asciiTheme="majorHAnsi" w:hAnsiTheme="majorHAnsi" w:cstheme="majorHAnsi"/>
              </w:rPr>
            </w:pPr>
          </w:p>
          <w:p w14:paraId="79CDE6E4" w14:textId="77777777" w:rsidR="001C5F76" w:rsidRPr="00485F85" w:rsidRDefault="001C5F76" w:rsidP="00DE19E1">
            <w:pPr>
              <w:spacing w:line="360" w:lineRule="auto"/>
              <w:jc w:val="both"/>
              <w:rPr>
                <w:rFonts w:asciiTheme="majorHAnsi" w:hAnsiTheme="majorHAnsi" w:cstheme="majorHAnsi"/>
              </w:rPr>
            </w:pPr>
          </w:p>
          <w:p w14:paraId="6B1FBEF3"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PRIORIDADES DE RECURSOS</w:t>
            </w:r>
          </w:p>
          <w:p w14:paraId="3BED4F83"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25. Diversificar as fontes de renda e investimento, inclusive por meio de parcerias com o setor privado, atividades comerciais, filantropia e a variedade de fontes de financiamento para pesquisa.</w:t>
            </w:r>
          </w:p>
          <w:p w14:paraId="1A102956" w14:textId="77777777" w:rsidR="001C5F76" w:rsidRPr="00485F85" w:rsidRDefault="001C5F76" w:rsidP="00DE19E1">
            <w:pPr>
              <w:spacing w:line="360" w:lineRule="auto"/>
              <w:jc w:val="both"/>
              <w:rPr>
                <w:rFonts w:asciiTheme="majorHAnsi" w:hAnsiTheme="majorHAnsi" w:cstheme="majorHAnsi"/>
              </w:rPr>
            </w:pPr>
          </w:p>
          <w:p w14:paraId="790E8C6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26. Por meio do programa Focus, forneça melhorias de serviço e processo para permitir o crescimento contínuo em pesquisa e educação sem um crescimento equivalente nos custos de serviço.</w:t>
            </w:r>
          </w:p>
          <w:p w14:paraId="3E2E16AD" w14:textId="77777777" w:rsidR="001C5F76" w:rsidRPr="00485F85" w:rsidRDefault="001C5F76" w:rsidP="00DE19E1">
            <w:pPr>
              <w:spacing w:line="360" w:lineRule="auto"/>
              <w:jc w:val="both"/>
              <w:rPr>
                <w:rFonts w:asciiTheme="majorHAnsi" w:hAnsiTheme="majorHAnsi" w:cstheme="majorHAnsi"/>
              </w:rPr>
            </w:pPr>
          </w:p>
          <w:p w14:paraId="0928C60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27. Oferecer um programa de investimento de capital em propriedade e TI de pelo menos £ 500 milhões até 2023.</w:t>
            </w:r>
          </w:p>
          <w:p w14:paraId="7C422347" w14:textId="77777777" w:rsidR="001C5F76" w:rsidRPr="00485F85" w:rsidRDefault="001C5F76" w:rsidP="00DE19E1">
            <w:pPr>
              <w:spacing w:line="360" w:lineRule="auto"/>
              <w:jc w:val="both"/>
              <w:rPr>
                <w:rFonts w:asciiTheme="majorHAnsi" w:hAnsiTheme="majorHAnsi" w:cstheme="majorHAnsi"/>
              </w:rPr>
            </w:pPr>
          </w:p>
          <w:p w14:paraId="10505D1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28. Até 2023, em parceria com o setor privado, ter iniciado a construção de pelo menos 1.000 novas moradias subsidiadas para funcionários de universidades e faculdades.</w:t>
            </w:r>
          </w:p>
          <w:p w14:paraId="761036C2" w14:textId="77777777" w:rsidR="001C5F76" w:rsidRPr="00485F85" w:rsidRDefault="001C5F76" w:rsidP="00DE19E1">
            <w:pPr>
              <w:spacing w:line="360" w:lineRule="auto"/>
              <w:jc w:val="both"/>
              <w:rPr>
                <w:rFonts w:asciiTheme="majorHAnsi" w:hAnsiTheme="majorHAnsi" w:cstheme="majorHAnsi"/>
              </w:rPr>
            </w:pPr>
          </w:p>
          <w:p w14:paraId="6711B6E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29. Conceber e implementar uma estratégia de desenvolvimento, com recursos adequados, que corresponda à escala e ambição dos objectivos estratégicos da Universidade.</w:t>
            </w:r>
          </w:p>
          <w:p w14:paraId="2DA26A4D" w14:textId="77777777" w:rsidR="001C5F76" w:rsidRPr="00485F85" w:rsidRDefault="001C5F76" w:rsidP="00DE19E1">
            <w:pPr>
              <w:spacing w:line="360" w:lineRule="auto"/>
              <w:jc w:val="both"/>
              <w:rPr>
                <w:rFonts w:asciiTheme="majorHAnsi" w:hAnsiTheme="majorHAnsi" w:cstheme="majorHAnsi"/>
              </w:rPr>
            </w:pPr>
          </w:p>
          <w:p w14:paraId="4AD4D02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Link: </w:t>
            </w:r>
            <w:hyperlink r:id="rId244" w:history="1">
              <w:r w:rsidRPr="00485F85">
                <w:rPr>
                  <w:rFonts w:asciiTheme="majorHAnsi" w:hAnsiTheme="majorHAnsi" w:cstheme="majorHAnsi"/>
                  <w:color w:val="4875BD" w:themeColor="accent1"/>
                  <w:u w:val="single"/>
                </w:rPr>
                <w:t>https://www.ox.ac.uk/about/organisation/strategic-plan-2018-23</w:t>
              </w:r>
            </w:hyperlink>
            <w:r w:rsidRPr="00485F85">
              <w:rPr>
                <w:rFonts w:asciiTheme="majorHAnsi" w:hAnsiTheme="majorHAnsi" w:cstheme="majorHAnsi"/>
              </w:rPr>
              <w:t xml:space="preserve"> </w:t>
            </w:r>
          </w:p>
          <w:p w14:paraId="6142739C"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07077BE0"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129AE1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12.4. Existência de um plano de melhoria com ações concretas para o cumprimento efetivo das etapas planejadas no PDI ou documento equivalente.</w:t>
            </w:r>
          </w:p>
        </w:tc>
      </w:tr>
      <w:tr w:rsidR="001C5F76" w:rsidRPr="00485F85" w14:paraId="519C3D95"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4527EE9B"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 documento do Plano Estratégico é o que norteia a instituição e pode ser encontrado no link abaixo:</w:t>
            </w:r>
          </w:p>
          <w:p w14:paraId="27F98CEC" w14:textId="77777777" w:rsidR="001C5F76" w:rsidRPr="00485F85" w:rsidRDefault="00A515B3" w:rsidP="00DE19E1">
            <w:pPr>
              <w:spacing w:line="360" w:lineRule="auto"/>
              <w:jc w:val="both"/>
              <w:rPr>
                <w:rFonts w:asciiTheme="majorHAnsi" w:hAnsiTheme="majorHAnsi" w:cstheme="majorHAnsi"/>
              </w:rPr>
            </w:pPr>
            <w:hyperlink r:id="rId245" w:history="1">
              <w:r w:rsidR="001C5F76" w:rsidRPr="00485F85">
                <w:rPr>
                  <w:rFonts w:asciiTheme="majorHAnsi" w:hAnsiTheme="majorHAnsi" w:cstheme="majorHAnsi"/>
                  <w:color w:val="4875BD" w:themeColor="accent1"/>
                  <w:u w:val="single"/>
                </w:rPr>
                <w:t>https://www.ox.ac.uk/sites/files/oxford/field/field_document/Strategic%20Plan%202018-23.pdf</w:t>
              </w:r>
            </w:hyperlink>
            <w:r w:rsidR="001C5F76" w:rsidRPr="00485F85">
              <w:rPr>
                <w:rFonts w:asciiTheme="majorHAnsi" w:hAnsiTheme="majorHAnsi" w:cstheme="majorHAnsi"/>
              </w:rPr>
              <w:t xml:space="preserve"> </w:t>
            </w:r>
          </w:p>
          <w:p w14:paraId="2BA000B1" w14:textId="77777777" w:rsidR="001C5F76" w:rsidRPr="00485F85" w:rsidRDefault="001C5F76" w:rsidP="00DE19E1">
            <w:pPr>
              <w:spacing w:line="360" w:lineRule="auto"/>
              <w:jc w:val="both"/>
              <w:rPr>
                <w:rFonts w:asciiTheme="majorHAnsi" w:hAnsiTheme="majorHAnsi" w:cstheme="majorHAnsi"/>
              </w:rPr>
            </w:pPr>
          </w:p>
          <w:p w14:paraId="344760A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O documento “Access and Participation Plan” também é estratégico e inclui detalhes das metas de acesso atuais, outras medidas de acesso, sucesso e progressão, e suporte financeiro e outros no curso </w:t>
            </w:r>
            <w:r w:rsidRPr="00485F85">
              <w:rPr>
                <w:rFonts w:asciiTheme="majorHAnsi" w:hAnsiTheme="majorHAnsi" w:cstheme="majorHAnsi"/>
              </w:rPr>
              <w:lastRenderedPageBreak/>
              <w:t>disponíveis para os alunos.</w:t>
            </w:r>
          </w:p>
          <w:p w14:paraId="315435D9" w14:textId="77777777" w:rsidR="001C5F76" w:rsidRPr="00485F85" w:rsidRDefault="001C5F76" w:rsidP="00DE19E1">
            <w:pPr>
              <w:spacing w:line="360" w:lineRule="auto"/>
              <w:jc w:val="both"/>
              <w:rPr>
                <w:rFonts w:asciiTheme="majorHAnsi" w:hAnsiTheme="majorHAnsi" w:cstheme="majorHAnsi"/>
              </w:rPr>
            </w:pPr>
          </w:p>
          <w:p w14:paraId="06A2826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 plano precisa ser aprovado pelo Office for Students de acordo com a Lei do Ensino Superior e Pesquisa de 2017. A partir de 2020, os Access and Participation Plan serão revisados ​​a cada três a cinco anos, e as universidades são obrigadas a fornecer informações ao regulador sobre o progresso em relação às metas . Em agosto de 2019, a University of Oxford foi notificada de que seu Plano de Acesso e Participação para 2020-21 havia sido aprovado pelo Office for Students por um período de cinco anos.</w:t>
            </w:r>
          </w:p>
          <w:p w14:paraId="23706DBA" w14:textId="77777777" w:rsidR="001C5F76" w:rsidRPr="00485F85" w:rsidRDefault="001C5F76" w:rsidP="00DE19E1">
            <w:pPr>
              <w:spacing w:line="360" w:lineRule="auto"/>
              <w:jc w:val="both"/>
              <w:rPr>
                <w:rFonts w:asciiTheme="majorHAnsi" w:hAnsiTheme="majorHAnsi" w:cstheme="majorHAnsi"/>
              </w:rPr>
            </w:pPr>
          </w:p>
          <w:p w14:paraId="2B2E2BA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Link para acessar o material: </w:t>
            </w:r>
            <w:hyperlink r:id="rId246" w:history="1">
              <w:r w:rsidRPr="00485F85">
                <w:rPr>
                  <w:rFonts w:asciiTheme="majorHAnsi" w:hAnsiTheme="majorHAnsi" w:cstheme="majorHAnsi"/>
                  <w:color w:val="4875BD" w:themeColor="accent1"/>
                  <w:u w:val="single"/>
                </w:rPr>
                <w:t>https://academic.admin.ox.ac.uk/app</w:t>
              </w:r>
            </w:hyperlink>
            <w:r w:rsidRPr="00485F85">
              <w:rPr>
                <w:rFonts w:asciiTheme="majorHAnsi" w:hAnsiTheme="majorHAnsi" w:cstheme="majorHAnsi"/>
              </w:rPr>
              <w:t xml:space="preserve"> </w:t>
            </w:r>
          </w:p>
          <w:p w14:paraId="7B1AE3A5"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1F05FDA6"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71F354B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12.5. Modernização de processos (organizacionais e de pessoas)</w:t>
            </w:r>
          </w:p>
        </w:tc>
      </w:tr>
      <w:tr w:rsidR="001C5F76" w:rsidRPr="00485F85" w14:paraId="683AF05E"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43E084DF" w14:textId="77777777" w:rsidR="001C5F76" w:rsidRPr="00485F85" w:rsidRDefault="001C5F76" w:rsidP="00DE19E1">
            <w:pPr>
              <w:spacing w:line="360" w:lineRule="auto"/>
              <w:jc w:val="both"/>
              <w:rPr>
                <w:rFonts w:asciiTheme="majorHAnsi" w:hAnsiTheme="majorHAnsi" w:cstheme="majorHAnsi"/>
              </w:rPr>
            </w:pPr>
          </w:p>
          <w:p w14:paraId="1756485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Todos os processos estão aninhados na estrutura de Governança e Planejamento da Universidade.</w:t>
            </w:r>
          </w:p>
          <w:p w14:paraId="6422DA1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página pode ser encontrada na íntegra pelo link: </w:t>
            </w:r>
            <w:hyperlink r:id="rId247" w:anchor="/" w:history="1">
              <w:r w:rsidRPr="00485F85">
                <w:rPr>
                  <w:rFonts w:asciiTheme="majorHAnsi" w:hAnsiTheme="majorHAnsi" w:cstheme="majorHAnsi"/>
                  <w:color w:val="4875BD" w:themeColor="accent1"/>
                  <w:u w:val="single"/>
                </w:rPr>
                <w:t>https://governance.admin.ox.ac.uk/governance#/</w:t>
              </w:r>
            </w:hyperlink>
            <w:r w:rsidRPr="00485F85">
              <w:rPr>
                <w:rFonts w:asciiTheme="majorHAnsi" w:hAnsiTheme="majorHAnsi" w:cstheme="majorHAnsi"/>
              </w:rPr>
              <w:t xml:space="preserve"> </w:t>
            </w:r>
          </w:p>
          <w:p w14:paraId="2815C168" w14:textId="77777777" w:rsidR="001C5F76" w:rsidRPr="00485F85" w:rsidRDefault="001C5F76" w:rsidP="00DE19E1">
            <w:pPr>
              <w:spacing w:line="360" w:lineRule="auto"/>
              <w:jc w:val="both"/>
              <w:rPr>
                <w:rFonts w:asciiTheme="majorHAnsi" w:hAnsiTheme="majorHAnsi" w:cstheme="majorHAnsi"/>
              </w:rPr>
            </w:pPr>
          </w:p>
          <w:p w14:paraId="65A981D4" w14:textId="59B110DC"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Percebeu-se que o RH da Universidade é muito atuante e a modernização de processos de pessoas são concentradas nesse departamento.  </w:t>
            </w:r>
            <w:hyperlink r:id="rId248" w:anchor="/" w:history="1">
              <w:r w:rsidRPr="00485F85">
                <w:rPr>
                  <w:rFonts w:asciiTheme="majorHAnsi" w:hAnsiTheme="majorHAnsi" w:cstheme="majorHAnsi"/>
                  <w:color w:val="4875BD" w:themeColor="accent1"/>
                  <w:u w:val="single"/>
                </w:rPr>
                <w:t>https://hr.admin.ox.ac.uk/#/</w:t>
              </w:r>
            </w:hyperlink>
            <w:r w:rsidRPr="00485F85">
              <w:rPr>
                <w:rFonts w:asciiTheme="majorHAnsi" w:hAnsiTheme="majorHAnsi" w:cstheme="majorHAnsi"/>
              </w:rPr>
              <w:t xml:space="preserve"> </w:t>
            </w:r>
          </w:p>
          <w:p w14:paraId="78E0BD55" w14:textId="60CC57EB" w:rsidR="007F7253" w:rsidRPr="00485F85" w:rsidRDefault="007F7253" w:rsidP="00DE19E1">
            <w:pPr>
              <w:spacing w:line="360" w:lineRule="auto"/>
              <w:jc w:val="both"/>
              <w:rPr>
                <w:rFonts w:asciiTheme="majorHAnsi" w:hAnsiTheme="majorHAnsi" w:cstheme="majorHAnsi"/>
              </w:rPr>
            </w:pPr>
          </w:p>
          <w:p w14:paraId="2A1DB8EB" w14:textId="77777777" w:rsidR="007F7253" w:rsidRPr="00485F85" w:rsidRDefault="007F7253" w:rsidP="00DE19E1">
            <w:pPr>
              <w:spacing w:line="360" w:lineRule="auto"/>
              <w:jc w:val="both"/>
              <w:rPr>
                <w:rFonts w:asciiTheme="majorHAnsi" w:hAnsiTheme="majorHAnsi" w:cstheme="majorHAnsi"/>
              </w:rPr>
            </w:pPr>
            <w:r w:rsidRPr="00485F85">
              <w:rPr>
                <w:rFonts w:asciiTheme="majorHAnsi" w:hAnsiTheme="majorHAnsi" w:cstheme="majorHAnsi"/>
              </w:rPr>
              <w:t>- Na página de Compliance é possível observar diversas frentes de preocupação da instituição que vão desde a governança de dados, privacidade até tratamento de informações até suborno e fraudes.</w:t>
            </w:r>
          </w:p>
          <w:p w14:paraId="1A55BDE5" w14:textId="514BDDF8" w:rsidR="007F7253" w:rsidRPr="00485F85" w:rsidRDefault="00A515B3" w:rsidP="00DE19E1">
            <w:pPr>
              <w:spacing w:line="360" w:lineRule="auto"/>
              <w:jc w:val="both"/>
              <w:rPr>
                <w:rFonts w:asciiTheme="majorHAnsi" w:hAnsiTheme="majorHAnsi" w:cstheme="majorHAnsi"/>
              </w:rPr>
            </w:pPr>
            <w:hyperlink r:id="rId249" w:anchor="/" w:history="1">
              <w:r w:rsidR="007F7253" w:rsidRPr="00485F85">
                <w:rPr>
                  <w:rStyle w:val="Hyperlink"/>
                  <w:rFonts w:asciiTheme="majorHAnsi" w:hAnsiTheme="majorHAnsi" w:cstheme="majorHAnsi"/>
                </w:rPr>
                <w:t>https://compliance.admin.ox.ac.uk/#/</w:t>
              </w:r>
            </w:hyperlink>
          </w:p>
          <w:p w14:paraId="32E6940F" w14:textId="77777777" w:rsidR="001C5F76" w:rsidRPr="00485F85" w:rsidRDefault="001C5F76" w:rsidP="00DE19E1">
            <w:pPr>
              <w:spacing w:line="360" w:lineRule="auto"/>
              <w:jc w:val="both"/>
              <w:rPr>
                <w:rFonts w:asciiTheme="majorHAnsi" w:hAnsiTheme="majorHAnsi" w:cstheme="majorHAnsi"/>
              </w:rPr>
            </w:pPr>
          </w:p>
          <w:p w14:paraId="52CAC87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O modelo independente de gestão dos collges, departamentos, divisões acadêmicas entre outros, com uma interdependência com a Universidade Central, chama a atenção ao mesmo tempo que alinha as informações por meio de comitês e representantes que planejam as interseções, permite que as decisões sejam tomas de forma mais rápida e dentro da realidade de cada espaço. </w:t>
            </w:r>
          </w:p>
          <w:p w14:paraId="48791582"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6291DD88"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82445AD"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6F8C1B9B"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10EC8286"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12.6. Anuários de Pesquisa e Extensão</w:t>
            </w:r>
          </w:p>
          <w:p w14:paraId="5C581988"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Anuários foram encontrados em alguns departamentos/faculdades. A Universidade de Oxford não possui um documento que agrega todas as iniciativas de pesquisa e extensão. A não ser as principais que são citadas em seu Anuário geral. (</w:t>
            </w:r>
            <w:hyperlink r:id="rId250" w:history="1">
              <w:r w:rsidRPr="00485F85">
                <w:rPr>
                  <w:rFonts w:asciiTheme="majorHAnsi" w:hAnsiTheme="majorHAnsi" w:cstheme="majorHAnsi"/>
                  <w:color w:val="4875BD" w:themeColor="accent1"/>
                  <w:u w:val="single"/>
                </w:rPr>
                <w:t>https://www.ox.ac.uk/about/organisation/annual-reviews</w:t>
              </w:r>
            </w:hyperlink>
            <w:r w:rsidRPr="00485F85">
              <w:rPr>
                <w:rFonts w:asciiTheme="majorHAnsi" w:hAnsiTheme="majorHAnsi" w:cstheme="majorHAnsi"/>
              </w:rPr>
              <w:t xml:space="preserve"> ) </w:t>
            </w:r>
          </w:p>
          <w:p w14:paraId="3AD861DB" w14:textId="77777777" w:rsidR="001C5F76" w:rsidRPr="00485F85" w:rsidRDefault="001C5F76" w:rsidP="00DE19E1">
            <w:pPr>
              <w:spacing w:line="360" w:lineRule="auto"/>
              <w:jc w:val="both"/>
              <w:rPr>
                <w:rFonts w:asciiTheme="majorHAnsi" w:hAnsiTheme="majorHAnsi" w:cstheme="majorHAnsi"/>
              </w:rPr>
            </w:pPr>
          </w:p>
          <w:p w14:paraId="1A2ED42B"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Ciber Security Oxford é um exemplo de uma das redes de pesquisa da Universidade de Oxford que </w:t>
            </w:r>
            <w:r w:rsidRPr="00485F85">
              <w:rPr>
                <w:rFonts w:asciiTheme="majorHAnsi" w:hAnsiTheme="majorHAnsi" w:cstheme="majorHAnsi"/>
              </w:rPr>
              <w:lastRenderedPageBreak/>
              <w:t>publicam anuários de pesquisa. Trata-se de uma comunidade de pesquisadores e especialistas que trabalham em segurança cibernética na Universidade de Oxford.</w:t>
            </w:r>
          </w:p>
          <w:p w14:paraId="118E45A6" w14:textId="77777777" w:rsidR="001C5F76" w:rsidRPr="00485F85" w:rsidRDefault="001C5F76" w:rsidP="00DE19E1">
            <w:pPr>
              <w:spacing w:line="360" w:lineRule="auto"/>
              <w:jc w:val="both"/>
              <w:rPr>
                <w:rFonts w:asciiTheme="majorHAnsi" w:hAnsiTheme="majorHAnsi" w:cstheme="majorHAnsi"/>
              </w:rPr>
            </w:pPr>
          </w:p>
          <w:p w14:paraId="1A12A47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Os membros da rede abrangem a Universidade, com fortes colaborações em:</w:t>
            </w:r>
          </w:p>
          <w:p w14:paraId="583CDED8"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O Departamento de Ciência da Computação (incluindo pesquisadores do  tema Segurança , o Programa de Engenharia de Software e o Centro de Doutorado em Segurança Cibernética )</w:t>
            </w:r>
          </w:p>
          <w:p w14:paraId="323DEE58"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O Departamento de Ciências da Engenharia (incluindo pesquisadores em Engenharia da Informação , Aprendizado de Máquina e o Centro de Treinamento para Doutorado em Máquinas e Sistemas Autônomos Inteligentes )</w:t>
            </w:r>
          </w:p>
          <w:p w14:paraId="0CED72B3"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O Departamento de Política e Relações Internacionais (incluindo o Centro de Tecnologia e Assuntos Globais , o Programa de Estudos Cibernéticos e a Mudança do Caráter do Centro de Guerra )</w:t>
            </w:r>
          </w:p>
          <w:p w14:paraId="0C55F082"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A Faculdade de Direito</w:t>
            </w:r>
          </w:p>
          <w:p w14:paraId="57F85689"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The Mathematical Institute</w:t>
            </w:r>
          </w:p>
          <w:p w14:paraId="6D1C9F28"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The Oxford e-Research Centre</w:t>
            </w:r>
          </w:p>
          <w:p w14:paraId="7E12B61E"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The Oxford Internet Institute</w:t>
            </w:r>
          </w:p>
          <w:p w14:paraId="2EE18F04" w14:textId="77777777" w:rsidR="001C5F76" w:rsidRPr="00485F85" w:rsidRDefault="001C5F76" w:rsidP="00DE19E1">
            <w:pPr>
              <w:numPr>
                <w:ilvl w:val="0"/>
                <w:numId w:val="27"/>
              </w:numPr>
              <w:spacing w:line="360" w:lineRule="auto"/>
              <w:contextualSpacing/>
              <w:jc w:val="both"/>
              <w:rPr>
                <w:rFonts w:asciiTheme="majorHAnsi" w:hAnsiTheme="majorHAnsi" w:cstheme="majorHAnsi"/>
                <w:lang w:val="en-US"/>
              </w:rPr>
            </w:pPr>
            <w:r w:rsidRPr="00485F85">
              <w:rPr>
                <w:rFonts w:asciiTheme="majorHAnsi" w:hAnsiTheme="majorHAnsi" w:cstheme="majorHAnsi"/>
                <w:lang w:val="en-US"/>
              </w:rPr>
              <w:t>The Oxford Martin School (incluindo o Global Cyber ​​Security Capacity Center )</w:t>
            </w:r>
          </w:p>
          <w:p w14:paraId="1E385882"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The Saïd Business School</w:t>
            </w:r>
          </w:p>
          <w:p w14:paraId="72A834B6" w14:textId="77777777" w:rsidR="001C5F76" w:rsidRPr="00485F85" w:rsidRDefault="001C5F76" w:rsidP="00DE19E1">
            <w:pPr>
              <w:numPr>
                <w:ilvl w:val="0"/>
                <w:numId w:val="27"/>
              </w:numPr>
              <w:spacing w:line="360" w:lineRule="auto"/>
              <w:contextualSpacing/>
              <w:jc w:val="both"/>
              <w:rPr>
                <w:rFonts w:asciiTheme="majorHAnsi" w:hAnsiTheme="majorHAnsi" w:cstheme="majorHAnsi"/>
              </w:rPr>
            </w:pPr>
            <w:r w:rsidRPr="00485F85">
              <w:rPr>
                <w:rFonts w:asciiTheme="majorHAnsi" w:hAnsiTheme="majorHAnsi" w:cstheme="majorHAnsi"/>
              </w:rPr>
              <w:t>A equipe de segurança da informação da University of Oxford</w:t>
            </w:r>
          </w:p>
          <w:p w14:paraId="39FB20E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p>
          <w:p w14:paraId="72292DD4"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 rede também possui links com:</w:t>
            </w:r>
          </w:p>
          <w:p w14:paraId="30D012E8"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The Big Data Institute</w:t>
            </w:r>
          </w:p>
          <w:p w14:paraId="39720F8B"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A Escola Blavatnik de Governo</w:t>
            </w:r>
          </w:p>
          <w:p w14:paraId="67CB295A"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A Unidade de Serviços de Ensaios Clínicos</w:t>
            </w:r>
          </w:p>
          <w:p w14:paraId="77FE4413"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Economia</w:t>
            </w:r>
          </w:p>
          <w:p w14:paraId="708679B2"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Psicologia Experimental</w:t>
            </w:r>
          </w:p>
          <w:p w14:paraId="71F797F9"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Física</w:t>
            </w:r>
          </w:p>
          <w:p w14:paraId="428E2477"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Sociologia</w:t>
            </w:r>
          </w:p>
          <w:p w14:paraId="6219D08E"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Estatística</w:t>
            </w:r>
          </w:p>
          <w:p w14:paraId="1362C3EF"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Extra-Legal Governance Institute</w:t>
            </w:r>
          </w:p>
          <w:p w14:paraId="4F037453"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A Faculdade de História</w:t>
            </w:r>
          </w:p>
          <w:p w14:paraId="52927F73"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Instituto de Engenharia Biomédica</w:t>
            </w:r>
          </w:p>
          <w:p w14:paraId="59303CD0"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O Departamento de Ciências Cirúrgicas de Nuffield</w:t>
            </w:r>
          </w:p>
          <w:p w14:paraId="2A99CFD4"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The Oxford Intelligence Group</w:t>
            </w:r>
          </w:p>
          <w:p w14:paraId="69C6D0CE"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lastRenderedPageBreak/>
              <w:t>The Oxford Robotics Institute</w:t>
            </w:r>
          </w:p>
          <w:p w14:paraId="0B45520B" w14:textId="77777777" w:rsidR="001C5F76" w:rsidRPr="00485F85" w:rsidRDefault="001C5F76" w:rsidP="00DE19E1">
            <w:pPr>
              <w:numPr>
                <w:ilvl w:val="0"/>
                <w:numId w:val="26"/>
              </w:numPr>
              <w:spacing w:line="360" w:lineRule="auto"/>
              <w:contextualSpacing/>
              <w:jc w:val="both"/>
              <w:rPr>
                <w:rFonts w:asciiTheme="majorHAnsi" w:hAnsiTheme="majorHAnsi" w:cstheme="majorHAnsi"/>
              </w:rPr>
            </w:pPr>
            <w:r w:rsidRPr="00485F85">
              <w:rPr>
                <w:rFonts w:asciiTheme="majorHAnsi" w:hAnsiTheme="majorHAnsi" w:cstheme="majorHAnsi"/>
              </w:rPr>
              <w:t>A Escola de Geografia e Meio Ambiente</w:t>
            </w:r>
          </w:p>
          <w:p w14:paraId="7D69365A" w14:textId="77777777" w:rsidR="001C5F76" w:rsidRPr="00485F85" w:rsidRDefault="001C5F76" w:rsidP="00DE19E1">
            <w:pPr>
              <w:spacing w:line="360" w:lineRule="auto"/>
              <w:jc w:val="both"/>
              <w:rPr>
                <w:rFonts w:asciiTheme="majorHAnsi" w:hAnsiTheme="majorHAnsi" w:cstheme="majorHAnsi"/>
              </w:rPr>
            </w:pPr>
          </w:p>
          <w:p w14:paraId="48570A0A"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Exemplos de Anuários e Pesquisa de 2017, 2018, 2019</w:t>
            </w:r>
          </w:p>
          <w:p w14:paraId="4E28F879" w14:textId="77777777" w:rsidR="001C5F76" w:rsidRPr="00485F85" w:rsidRDefault="00A515B3" w:rsidP="00DE19E1">
            <w:pPr>
              <w:spacing w:line="360" w:lineRule="auto"/>
              <w:jc w:val="both"/>
              <w:rPr>
                <w:rFonts w:asciiTheme="majorHAnsi" w:hAnsiTheme="majorHAnsi" w:cstheme="majorHAnsi"/>
              </w:rPr>
            </w:pPr>
            <w:hyperlink r:id="rId251" w:history="1">
              <w:r w:rsidR="001C5F76" w:rsidRPr="00485F85">
                <w:rPr>
                  <w:rFonts w:asciiTheme="majorHAnsi" w:hAnsiTheme="majorHAnsi" w:cstheme="majorHAnsi"/>
                  <w:color w:val="4875BD" w:themeColor="accent1"/>
                  <w:u w:val="single"/>
                </w:rPr>
                <w:t>https://www.cybersecurity.ox.ac.uk/site-resources/uploads/2020/02/2019-yearbook_web.pdf</w:t>
              </w:r>
            </w:hyperlink>
            <w:r w:rsidR="001C5F76" w:rsidRPr="00485F85">
              <w:rPr>
                <w:rFonts w:asciiTheme="majorHAnsi" w:hAnsiTheme="majorHAnsi" w:cstheme="majorHAnsi"/>
              </w:rPr>
              <w:t xml:space="preserve"> </w:t>
            </w:r>
          </w:p>
          <w:p w14:paraId="14D127CE" w14:textId="77777777" w:rsidR="001C5F76" w:rsidRPr="00485F85" w:rsidRDefault="00A515B3" w:rsidP="00DE19E1">
            <w:pPr>
              <w:spacing w:line="360" w:lineRule="auto"/>
              <w:jc w:val="both"/>
              <w:rPr>
                <w:rFonts w:asciiTheme="majorHAnsi" w:hAnsiTheme="majorHAnsi" w:cstheme="majorHAnsi"/>
              </w:rPr>
            </w:pPr>
            <w:hyperlink r:id="rId252" w:history="1">
              <w:r w:rsidR="001C5F76" w:rsidRPr="00485F85">
                <w:rPr>
                  <w:rFonts w:asciiTheme="majorHAnsi" w:hAnsiTheme="majorHAnsi" w:cstheme="majorHAnsi"/>
                  <w:color w:val="4875BD" w:themeColor="accent1"/>
                  <w:u w:val="single"/>
                </w:rPr>
                <w:t>https://www.cybersecurity.ox.ac.uk/site-resources/uploads/2019/03/2018_CDT_yearbook_web.pdf</w:t>
              </w:r>
            </w:hyperlink>
            <w:r w:rsidR="001C5F76" w:rsidRPr="00485F85">
              <w:rPr>
                <w:rFonts w:asciiTheme="majorHAnsi" w:hAnsiTheme="majorHAnsi" w:cstheme="majorHAnsi"/>
              </w:rPr>
              <w:t xml:space="preserve"> </w:t>
            </w:r>
          </w:p>
          <w:p w14:paraId="36F0C841" w14:textId="77777777" w:rsidR="001C5F76" w:rsidRPr="00485F85" w:rsidRDefault="00A515B3" w:rsidP="00DE19E1">
            <w:pPr>
              <w:spacing w:line="360" w:lineRule="auto"/>
              <w:jc w:val="both"/>
              <w:rPr>
                <w:rFonts w:asciiTheme="majorHAnsi" w:hAnsiTheme="majorHAnsi" w:cstheme="majorHAnsi"/>
              </w:rPr>
            </w:pPr>
            <w:hyperlink r:id="rId253" w:history="1">
              <w:r w:rsidR="001C5F76" w:rsidRPr="00485F85">
                <w:rPr>
                  <w:rFonts w:asciiTheme="majorHAnsi" w:hAnsiTheme="majorHAnsi" w:cstheme="majorHAnsi"/>
                  <w:color w:val="4875BD" w:themeColor="accent1"/>
                  <w:u w:val="single"/>
                </w:rPr>
                <w:t>https://www.cybersecurity.ox.ac.uk/site-resources/uploads/2017/12/2017-yearbook_web.pdf</w:t>
              </w:r>
            </w:hyperlink>
            <w:r w:rsidR="001C5F76" w:rsidRPr="00485F85">
              <w:rPr>
                <w:rFonts w:asciiTheme="majorHAnsi" w:hAnsiTheme="majorHAnsi" w:cstheme="majorHAnsi"/>
              </w:rPr>
              <w:t xml:space="preserve"> </w:t>
            </w:r>
          </w:p>
          <w:p w14:paraId="4E3F24DA" w14:textId="77777777" w:rsidR="001C5F76" w:rsidRPr="00485F85" w:rsidRDefault="001C5F76" w:rsidP="00DE19E1">
            <w:pPr>
              <w:spacing w:line="360" w:lineRule="auto"/>
              <w:jc w:val="both"/>
              <w:rPr>
                <w:rFonts w:asciiTheme="majorHAnsi" w:hAnsiTheme="majorHAnsi" w:cstheme="majorHAnsi"/>
              </w:rPr>
            </w:pPr>
          </w:p>
          <w:p w14:paraId="6775A4B9" w14:textId="77777777" w:rsidR="001C5F76" w:rsidRPr="00485F85" w:rsidRDefault="001C5F76" w:rsidP="00DE19E1">
            <w:pPr>
              <w:spacing w:line="360" w:lineRule="auto"/>
              <w:jc w:val="both"/>
              <w:rPr>
                <w:rFonts w:asciiTheme="majorHAnsi" w:hAnsiTheme="majorHAnsi" w:cstheme="majorHAnsi"/>
              </w:rPr>
            </w:pPr>
          </w:p>
          <w:p w14:paraId="273D2BC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Escola Blavatnik de Governo desenvolve  pesquisas independentes academicamente, rigorosas e relevantes para políticas públicas. Trabalham com governos e profissionais para identificar questões urgentes e desenvolver soluções práticas. Por meio de programas acadêmicos, cursos e workshops, a escola traz  as pesquisas mais recentes direto para a sala de aula e, por meio de atividades de divulgação, fornecendo  caminhos para soluções de políticas inteligentes para governos e tomadores de decisão no mundo dos negócios e da sociedade civil. Lá também foi encontrado outro exemplo de anuário de pesquisa  publicado em 2018: </w:t>
            </w:r>
          </w:p>
          <w:p w14:paraId="70C4E0E2" w14:textId="77777777" w:rsidR="001C5F76" w:rsidRPr="00485F85" w:rsidRDefault="00A515B3" w:rsidP="00DE19E1">
            <w:pPr>
              <w:spacing w:line="360" w:lineRule="auto"/>
              <w:jc w:val="both"/>
              <w:rPr>
                <w:rFonts w:asciiTheme="majorHAnsi" w:hAnsiTheme="majorHAnsi" w:cstheme="majorHAnsi"/>
              </w:rPr>
            </w:pPr>
            <w:hyperlink r:id="rId254" w:history="1">
              <w:r w:rsidR="001C5F76" w:rsidRPr="00485F85">
                <w:rPr>
                  <w:rFonts w:asciiTheme="majorHAnsi" w:hAnsiTheme="majorHAnsi" w:cstheme="majorHAnsi"/>
                  <w:color w:val="4875BD" w:themeColor="accent1"/>
                  <w:u w:val="single"/>
                </w:rPr>
                <w:t>https://www.bsg.ox.ac.uk/research/research-and-policy-updates/tom-hale-contributes-un-yearbook-global-climate-action-2018</w:t>
              </w:r>
            </w:hyperlink>
            <w:r w:rsidR="001C5F76" w:rsidRPr="00485F85">
              <w:rPr>
                <w:rFonts w:asciiTheme="majorHAnsi" w:hAnsiTheme="majorHAnsi" w:cstheme="majorHAnsi"/>
              </w:rPr>
              <w:t xml:space="preserve"> </w:t>
            </w:r>
          </w:p>
          <w:p w14:paraId="4BF42068"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00F86260"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D0C03BD"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2E0AA2A4"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53E2A1F7" w14:textId="77777777" w:rsidR="001C5F76" w:rsidRPr="00485F85" w:rsidRDefault="001C5F76" w:rsidP="00DE19E1">
            <w:pPr>
              <w:spacing w:line="360" w:lineRule="auto"/>
              <w:jc w:val="both"/>
              <w:rPr>
                <w:rFonts w:asciiTheme="majorHAnsi" w:hAnsiTheme="majorHAnsi" w:cstheme="majorHAnsi"/>
              </w:rPr>
            </w:pPr>
          </w:p>
          <w:p w14:paraId="386C5733" w14:textId="77777777" w:rsidR="001C5F76" w:rsidRPr="00485F85" w:rsidRDefault="001C5F76" w:rsidP="00DE19E1">
            <w:pPr>
              <w:spacing w:line="360" w:lineRule="auto"/>
              <w:jc w:val="both"/>
              <w:rPr>
                <w:rFonts w:asciiTheme="majorHAnsi" w:hAnsiTheme="majorHAnsi" w:cstheme="majorHAnsi"/>
              </w:rPr>
            </w:pPr>
          </w:p>
          <w:p w14:paraId="2F5A15FF"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62D1114F"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90E4099"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12.7. Autoavaliação</w:t>
            </w:r>
          </w:p>
        </w:tc>
      </w:tr>
      <w:tr w:rsidR="001C5F76" w:rsidRPr="00485F85" w14:paraId="1ABBB102"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0991FAD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12.7.1 Registros documentais mostrando o desenvolvimento do processo de autoavaliação permanente (Relatórios e estudos utilizados para avaliação e gerenciamento)</w:t>
            </w:r>
          </w:p>
          <w:p w14:paraId="4050B63D" w14:textId="77777777" w:rsidR="001C5F76" w:rsidRPr="00485F85" w:rsidRDefault="001C5F76" w:rsidP="00DE19E1">
            <w:pPr>
              <w:spacing w:line="360" w:lineRule="auto"/>
              <w:jc w:val="both"/>
              <w:rPr>
                <w:rFonts w:asciiTheme="majorHAnsi" w:hAnsiTheme="majorHAnsi" w:cstheme="majorHAnsi"/>
              </w:rPr>
            </w:pPr>
          </w:p>
          <w:p w14:paraId="736C1B7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O último relatório de autoavaliação, de 2020, pode ser encontrado no link: </w:t>
            </w:r>
            <w:hyperlink r:id="rId255" w:history="1">
              <w:r w:rsidRPr="00485F85">
                <w:rPr>
                  <w:rFonts w:asciiTheme="majorHAnsi" w:hAnsiTheme="majorHAnsi" w:cstheme="majorHAnsi"/>
                  <w:color w:val="4875BD" w:themeColor="accent1"/>
                  <w:u w:val="single"/>
                </w:rPr>
                <w:t>https://hr.admin.ox.ac.uk/files/jan2020hrexcellence8yearreviewandactionplanpdf</w:t>
              </w:r>
            </w:hyperlink>
            <w:r w:rsidRPr="00485F85">
              <w:rPr>
                <w:rFonts w:asciiTheme="majorHAnsi" w:hAnsiTheme="majorHAnsi" w:cstheme="majorHAnsi"/>
              </w:rPr>
              <w:t xml:space="preserve"> </w:t>
            </w:r>
          </w:p>
          <w:p w14:paraId="1566DE94" w14:textId="77777777" w:rsidR="001C5F76" w:rsidRPr="00485F85" w:rsidRDefault="001C5F76" w:rsidP="00DE19E1">
            <w:pPr>
              <w:spacing w:line="360" w:lineRule="auto"/>
              <w:jc w:val="both"/>
              <w:rPr>
                <w:rFonts w:asciiTheme="majorHAnsi" w:hAnsiTheme="majorHAnsi" w:cstheme="majorHAnsi"/>
              </w:rPr>
            </w:pPr>
          </w:p>
          <w:p w14:paraId="2675A3B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A coleta de dados da autoavaliação é feita anualmente desde 2012. Excepcionalmente no ano de 2021 o RH lançou um comunicado no site informando que a auditoria não seria realizada mas que o documento de coleta de dados se mostrou útil para alguns departamentos e que por isso ele seria disponibilizado para os departamentos que o quisessem.  Link </w:t>
            </w:r>
            <w:hyperlink r:id="rId256" w:anchor="/" w:history="1">
              <w:r w:rsidRPr="00485F85">
                <w:rPr>
                  <w:rFonts w:asciiTheme="majorHAnsi" w:hAnsiTheme="majorHAnsi" w:cstheme="majorHAnsi"/>
                  <w:color w:val="4875BD" w:themeColor="accent1"/>
                  <w:u w:val="single"/>
                </w:rPr>
                <w:t>https://hr.admin.ox.ac.uk/article/self-assessment-</w:t>
              </w:r>
              <w:r w:rsidRPr="00485F85">
                <w:rPr>
                  <w:rFonts w:asciiTheme="majorHAnsi" w:hAnsiTheme="majorHAnsi" w:cstheme="majorHAnsi"/>
                  <w:color w:val="4875BD" w:themeColor="accent1"/>
                  <w:u w:val="single"/>
                </w:rPr>
                <w:lastRenderedPageBreak/>
                <w:t>checklist#/</w:t>
              </w:r>
            </w:hyperlink>
            <w:r w:rsidRPr="00485F85">
              <w:rPr>
                <w:rFonts w:asciiTheme="majorHAnsi" w:hAnsiTheme="majorHAnsi" w:cstheme="majorHAnsi"/>
              </w:rPr>
              <w:t xml:space="preserve"> </w:t>
            </w:r>
          </w:p>
          <w:p w14:paraId="0A16760E"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62F99C50"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D825CD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12.7.2 Sistemas utilizados para o monitoramento e avaliação de docentes e discentes.</w:t>
            </w:r>
          </w:p>
          <w:p w14:paraId="7D315A88" w14:textId="77777777" w:rsidR="001C5F76" w:rsidRPr="00485F85" w:rsidRDefault="001C5F76" w:rsidP="00DE19E1">
            <w:pPr>
              <w:spacing w:line="360" w:lineRule="auto"/>
              <w:jc w:val="both"/>
              <w:rPr>
                <w:rFonts w:asciiTheme="majorHAnsi" w:hAnsiTheme="majorHAnsi" w:cstheme="majorHAnsi"/>
              </w:rPr>
            </w:pPr>
          </w:p>
          <w:p w14:paraId="696B01D9"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DOCENTES</w:t>
            </w:r>
          </w:p>
          <w:p w14:paraId="4932D82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 coleta é realizada por meio de questionários enviados aos departamentos.</w:t>
            </w:r>
          </w:p>
          <w:p w14:paraId="3E9AD603"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Modelo do documento de coleta de 2017</w:t>
            </w:r>
          </w:p>
          <w:p w14:paraId="5511115F" w14:textId="77777777" w:rsidR="001C5F76" w:rsidRPr="00485F85" w:rsidRDefault="00A515B3" w:rsidP="00DE19E1">
            <w:pPr>
              <w:spacing w:line="360" w:lineRule="auto"/>
              <w:jc w:val="both"/>
              <w:rPr>
                <w:rFonts w:asciiTheme="majorHAnsi" w:hAnsiTheme="majorHAnsi" w:cstheme="majorHAnsi"/>
              </w:rPr>
            </w:pPr>
            <w:hyperlink r:id="rId257" w:history="1">
              <w:r w:rsidR="001C5F76" w:rsidRPr="00485F85">
                <w:rPr>
                  <w:rFonts w:asciiTheme="majorHAnsi" w:hAnsiTheme="majorHAnsi" w:cstheme="majorHAnsi"/>
                  <w:color w:val="4875BD" w:themeColor="accent1"/>
                  <w:u w:val="single"/>
                </w:rPr>
                <w:t>https://hr.admin.ox.ac.uk/files/sectiontwo-selfassessmentevaluationanddatacollectionexercise2017pdf</w:t>
              </w:r>
            </w:hyperlink>
            <w:r w:rsidR="001C5F76" w:rsidRPr="00485F85">
              <w:rPr>
                <w:rFonts w:asciiTheme="majorHAnsi" w:hAnsiTheme="majorHAnsi" w:cstheme="majorHAnsi"/>
              </w:rPr>
              <w:t xml:space="preserve"> </w:t>
            </w:r>
          </w:p>
          <w:p w14:paraId="0AD45304" w14:textId="77777777" w:rsidR="001C5F76" w:rsidRPr="00485F85" w:rsidRDefault="001C5F76" w:rsidP="00DE19E1">
            <w:pPr>
              <w:spacing w:line="360" w:lineRule="auto"/>
              <w:jc w:val="both"/>
              <w:rPr>
                <w:rFonts w:asciiTheme="majorHAnsi" w:hAnsiTheme="majorHAnsi" w:cstheme="majorHAnsi"/>
              </w:rPr>
            </w:pPr>
          </w:p>
          <w:p w14:paraId="0E816A57"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DISCENTES</w:t>
            </w:r>
          </w:p>
          <w:p w14:paraId="15D953B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Possuem um sistema no qual alunos de pós-graduação, supervisores, orientadores de faculdade e diretores de curso / DGSs possam revisar o progresso acadêmico dos alunos.</w:t>
            </w:r>
          </w:p>
          <w:p w14:paraId="4D6C56BC" w14:textId="77777777" w:rsidR="001C5F76" w:rsidRPr="00485F85" w:rsidRDefault="00A515B3" w:rsidP="00DE19E1">
            <w:pPr>
              <w:spacing w:line="360" w:lineRule="auto"/>
              <w:jc w:val="both"/>
              <w:rPr>
                <w:rFonts w:asciiTheme="majorHAnsi" w:hAnsiTheme="majorHAnsi" w:cstheme="majorHAnsi"/>
              </w:rPr>
            </w:pPr>
            <w:hyperlink r:id="rId258" w:anchor="tab-963476" w:history="1">
              <w:r w:rsidR="001C5F76" w:rsidRPr="00485F85">
                <w:rPr>
                  <w:rFonts w:asciiTheme="majorHAnsi" w:hAnsiTheme="majorHAnsi" w:cstheme="majorHAnsi"/>
                  <w:color w:val="4875BD" w:themeColor="accent1"/>
                  <w:u w:val="single"/>
                </w:rPr>
                <w:t>https://academic.admin.ox.ac.uk/graduate-supervision-reporting-gsr#tab-963476</w:t>
              </w:r>
            </w:hyperlink>
            <w:r w:rsidR="001C5F76" w:rsidRPr="00485F85">
              <w:rPr>
                <w:rFonts w:asciiTheme="majorHAnsi" w:hAnsiTheme="majorHAnsi" w:cstheme="majorHAnsi"/>
              </w:rPr>
              <w:t xml:space="preserve"> </w:t>
            </w:r>
          </w:p>
          <w:p w14:paraId="5048554B" w14:textId="77777777" w:rsidR="001C5F76" w:rsidRPr="00485F85" w:rsidRDefault="001C5F76" w:rsidP="00DE19E1">
            <w:pPr>
              <w:spacing w:line="360" w:lineRule="auto"/>
              <w:jc w:val="both"/>
              <w:rPr>
                <w:rFonts w:asciiTheme="majorHAnsi" w:hAnsiTheme="majorHAnsi" w:cstheme="majorHAnsi"/>
              </w:rPr>
            </w:pPr>
          </w:p>
          <w:p w14:paraId="01FD06C6"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3C030F48"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1CEEA6B9"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12.7.3. Documentos que aprovam a composição da instância autoavaliação (CPA).  </w:t>
            </w:r>
          </w:p>
          <w:p w14:paraId="0A7EC2C7"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Não se aplica</w:t>
            </w:r>
          </w:p>
        </w:tc>
      </w:tr>
      <w:tr w:rsidR="001C5F76" w:rsidRPr="00485F85" w14:paraId="60186821"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5C6DFF7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12.7.4. Publicização dos Relatórios de Autoavaliação (observar periodicidade).</w:t>
            </w:r>
          </w:p>
          <w:p w14:paraId="02EE6EEC"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A periodicidade dos relatórios é de um ano. Abaixo, seguem os links dos documentos que puderam ser encontrados na busca realizada pela pesquisadora no período de 2014 a 2020 no site. A coleta de dados foi realizada no dia 7 de agosto.</w:t>
            </w:r>
          </w:p>
          <w:p w14:paraId="1021FC6C" w14:textId="77777777" w:rsidR="001C5F76" w:rsidRPr="00485F85" w:rsidRDefault="001C5F76" w:rsidP="00DE19E1">
            <w:pPr>
              <w:spacing w:line="360" w:lineRule="auto"/>
              <w:jc w:val="both"/>
              <w:rPr>
                <w:rFonts w:asciiTheme="majorHAnsi" w:hAnsiTheme="majorHAnsi" w:cstheme="majorHAnsi"/>
                <w:b w:val="0"/>
                <w:bCs w:val="0"/>
                <w:u w:val="single"/>
              </w:rPr>
            </w:pPr>
            <w:r w:rsidRPr="00485F85">
              <w:rPr>
                <w:rFonts w:asciiTheme="majorHAnsi" w:hAnsiTheme="majorHAnsi" w:cstheme="majorHAnsi"/>
                <w:u w:val="single"/>
              </w:rPr>
              <w:t>2014</w:t>
            </w:r>
          </w:p>
          <w:p w14:paraId="02DD86EB" w14:textId="77777777" w:rsidR="001C5F76" w:rsidRPr="00485F85" w:rsidRDefault="00A515B3" w:rsidP="00DE19E1">
            <w:pPr>
              <w:spacing w:line="360" w:lineRule="auto"/>
              <w:jc w:val="both"/>
              <w:rPr>
                <w:rFonts w:asciiTheme="majorHAnsi" w:hAnsiTheme="majorHAnsi" w:cstheme="majorHAnsi"/>
              </w:rPr>
            </w:pPr>
            <w:hyperlink r:id="rId259" w:history="1">
              <w:r w:rsidR="001C5F76" w:rsidRPr="00485F85">
                <w:rPr>
                  <w:rFonts w:asciiTheme="majorHAnsi" w:hAnsiTheme="majorHAnsi" w:cstheme="majorHAnsi"/>
                  <w:color w:val="4875BD" w:themeColor="accent1"/>
                  <w:u w:val="single"/>
                </w:rPr>
                <w:t>https://hr.admin.ox.ac.uk/files/oxfordhrexcellenceself-assessmentjan14pdf</w:t>
              </w:r>
            </w:hyperlink>
            <w:r w:rsidR="001C5F76" w:rsidRPr="00485F85">
              <w:rPr>
                <w:rFonts w:asciiTheme="majorHAnsi" w:hAnsiTheme="majorHAnsi" w:cstheme="majorHAnsi"/>
              </w:rPr>
              <w:t xml:space="preserve"> </w:t>
            </w:r>
          </w:p>
          <w:p w14:paraId="078D9B06" w14:textId="77777777" w:rsidR="001C5F76" w:rsidRPr="00485F85" w:rsidRDefault="001C5F76" w:rsidP="00DE19E1">
            <w:pPr>
              <w:spacing w:line="360" w:lineRule="auto"/>
              <w:jc w:val="both"/>
              <w:rPr>
                <w:rFonts w:asciiTheme="majorHAnsi" w:hAnsiTheme="majorHAnsi" w:cstheme="majorHAnsi"/>
              </w:rPr>
            </w:pPr>
          </w:p>
          <w:p w14:paraId="5E80EAC1"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2018</w:t>
            </w:r>
          </w:p>
          <w:p w14:paraId="12BADA14" w14:textId="77777777" w:rsidR="001C5F76" w:rsidRPr="00485F85" w:rsidRDefault="00A515B3" w:rsidP="00DE19E1">
            <w:pPr>
              <w:spacing w:line="360" w:lineRule="auto"/>
              <w:jc w:val="both"/>
              <w:rPr>
                <w:rFonts w:asciiTheme="majorHAnsi" w:hAnsiTheme="majorHAnsi" w:cstheme="majorHAnsi"/>
              </w:rPr>
            </w:pPr>
            <w:hyperlink r:id="rId260" w:history="1">
              <w:r w:rsidR="001C5F76" w:rsidRPr="00485F85">
                <w:rPr>
                  <w:rFonts w:asciiTheme="majorHAnsi" w:hAnsiTheme="majorHAnsi" w:cstheme="majorHAnsi"/>
                  <w:color w:val="4875BD" w:themeColor="accent1"/>
                  <w:u w:val="single"/>
                </w:rPr>
                <w:t>https://hr.admin.ox.ac.uk/files/hrexcellencesixyearreportjan2018pdf</w:t>
              </w:r>
            </w:hyperlink>
            <w:r w:rsidR="001C5F76" w:rsidRPr="00485F85">
              <w:rPr>
                <w:rFonts w:asciiTheme="majorHAnsi" w:hAnsiTheme="majorHAnsi" w:cstheme="majorHAnsi"/>
              </w:rPr>
              <w:t xml:space="preserve"> </w:t>
            </w:r>
          </w:p>
          <w:p w14:paraId="254CF201" w14:textId="77777777" w:rsidR="001C5F76" w:rsidRPr="00485F85" w:rsidRDefault="001C5F76" w:rsidP="00DE19E1">
            <w:pPr>
              <w:spacing w:line="360" w:lineRule="auto"/>
              <w:jc w:val="both"/>
              <w:rPr>
                <w:rFonts w:asciiTheme="majorHAnsi" w:hAnsiTheme="majorHAnsi" w:cstheme="majorHAnsi"/>
              </w:rPr>
            </w:pPr>
          </w:p>
          <w:p w14:paraId="13ECE7CF" w14:textId="77777777" w:rsidR="001C5F76" w:rsidRPr="00485F85" w:rsidRDefault="001C5F76" w:rsidP="00DE19E1">
            <w:pPr>
              <w:spacing w:line="360" w:lineRule="auto"/>
              <w:jc w:val="both"/>
              <w:rPr>
                <w:rFonts w:asciiTheme="majorHAnsi" w:hAnsiTheme="majorHAnsi" w:cstheme="majorHAnsi"/>
                <w:b w:val="0"/>
                <w:bCs w:val="0"/>
              </w:rPr>
            </w:pPr>
            <w:r w:rsidRPr="00485F85">
              <w:rPr>
                <w:rFonts w:asciiTheme="majorHAnsi" w:hAnsiTheme="majorHAnsi" w:cstheme="majorHAnsi"/>
              </w:rPr>
              <w:t>2020</w:t>
            </w:r>
          </w:p>
          <w:p w14:paraId="0285A2B4" w14:textId="77777777" w:rsidR="001C5F76" w:rsidRPr="00485F85" w:rsidRDefault="00A515B3" w:rsidP="00DE19E1">
            <w:pPr>
              <w:spacing w:line="360" w:lineRule="auto"/>
              <w:jc w:val="both"/>
              <w:rPr>
                <w:rFonts w:asciiTheme="majorHAnsi" w:hAnsiTheme="majorHAnsi" w:cstheme="majorHAnsi"/>
              </w:rPr>
            </w:pPr>
            <w:hyperlink r:id="rId261" w:history="1">
              <w:r w:rsidR="001C5F76" w:rsidRPr="00485F85">
                <w:rPr>
                  <w:rFonts w:asciiTheme="majorHAnsi" w:hAnsiTheme="majorHAnsi" w:cstheme="majorHAnsi"/>
                  <w:color w:val="4875BD" w:themeColor="accent1"/>
                  <w:u w:val="single"/>
                </w:rPr>
                <w:t>https://hr.admin.ox.ac.uk/files/jan2020hrexcellence8yearreviewandactionplanpdf</w:t>
              </w:r>
            </w:hyperlink>
            <w:r w:rsidR="001C5F76" w:rsidRPr="00485F85">
              <w:rPr>
                <w:rFonts w:asciiTheme="majorHAnsi" w:hAnsiTheme="majorHAnsi" w:cstheme="majorHAnsi"/>
              </w:rPr>
              <w:t xml:space="preserve"> </w:t>
            </w:r>
          </w:p>
          <w:p w14:paraId="5BBF9733"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25B11270"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235F9A59" w14:textId="77777777" w:rsidR="001C5F76" w:rsidRPr="00485F85" w:rsidRDefault="001C5F76" w:rsidP="00DE19E1">
            <w:pPr>
              <w:spacing w:line="360" w:lineRule="auto"/>
              <w:jc w:val="both"/>
              <w:rPr>
                <w:rFonts w:asciiTheme="majorHAnsi" w:hAnsiTheme="majorHAnsi" w:cstheme="majorHAnsi"/>
                <w:b w:val="0"/>
              </w:rPr>
            </w:pPr>
            <w:r w:rsidRPr="00485F85">
              <w:rPr>
                <w:rFonts w:asciiTheme="majorHAnsi" w:hAnsiTheme="majorHAnsi" w:cstheme="majorHAnsi"/>
              </w:rPr>
              <w:t>12.8. Comunicação Interna e Externa</w:t>
            </w:r>
          </w:p>
        </w:tc>
      </w:tr>
      <w:tr w:rsidR="001C5F76" w:rsidRPr="00485F85" w14:paraId="19340062"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51D1ED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12.8.1 Existência de sistemas de informação e comunicação conhecidos e acessível a toda a comunidade universitária e ao público em geral.</w:t>
            </w:r>
          </w:p>
        </w:tc>
      </w:tr>
      <w:tr w:rsidR="001C5F76" w:rsidRPr="00485F85" w14:paraId="186E1F0F"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7AFF7BE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Site Institucional (geral da Universidade)</w:t>
            </w:r>
          </w:p>
          <w:p w14:paraId="36403D22"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Sites Institucionais por Colleges, Departamentos, Faculdades entre outros..</w:t>
            </w:r>
          </w:p>
          <w:p w14:paraId="59760576"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De uma forma geral as informações disponíveis para a comunidade externa aparecem no site. Aquelas restritas ao público interno da instituição aparecem com um cadeado e só é possível ter acesso a elas caso se faça login no sistema.</w:t>
            </w:r>
          </w:p>
          <w:p w14:paraId="1FBC5DFB" w14:textId="77777777" w:rsidR="001C5F76" w:rsidRPr="00485F85" w:rsidRDefault="001C5F76" w:rsidP="00DE19E1">
            <w:pPr>
              <w:spacing w:line="360" w:lineRule="auto"/>
              <w:jc w:val="both"/>
              <w:rPr>
                <w:rFonts w:asciiTheme="majorHAnsi" w:hAnsiTheme="majorHAnsi" w:cstheme="majorHAnsi"/>
              </w:rPr>
            </w:pPr>
          </w:p>
        </w:tc>
      </w:tr>
      <w:tr w:rsidR="001C5F76" w:rsidRPr="00485F85" w14:paraId="50143506" w14:textId="77777777" w:rsidTr="00E3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53AA30C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lastRenderedPageBreak/>
              <w:t>12.8.2 Mecanismos de comunicação institucional com acesso restrito (intranet, webmail etc.).</w:t>
            </w:r>
          </w:p>
          <w:p w14:paraId="431D3FB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Sistema de Login no site Institucional (em alguns lugares do site há um cadeado que só fica acessível quando o aluno, docente ou funcionário está logado).</w:t>
            </w:r>
          </w:p>
          <w:p w14:paraId="54215280"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O site possui um menu lateral com serviços específicos como </w:t>
            </w:r>
          </w:p>
          <w:p w14:paraId="1D66D33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autoatendimento do aluno</w:t>
            </w:r>
          </w:p>
          <w:p w14:paraId="0CC2A3BB"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guia para uso do autoatendimento</w:t>
            </w:r>
          </w:p>
          <w:p w14:paraId="220FE4DF"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guia de inscrição do aluno</w:t>
            </w:r>
          </w:p>
          <w:p w14:paraId="56CC11BB"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plataforma de weblearn - </w:t>
            </w:r>
            <w:hyperlink r:id="rId262" w:history="1">
              <w:r w:rsidRPr="00485F85">
                <w:rPr>
                  <w:rFonts w:asciiTheme="majorHAnsi" w:hAnsiTheme="majorHAnsi" w:cstheme="majorHAnsi"/>
                  <w:color w:val="4875BD" w:themeColor="accent1"/>
                  <w:u w:val="single"/>
                </w:rPr>
                <w:t>https://weblearn.ox.ac.uk/portal</w:t>
              </w:r>
            </w:hyperlink>
            <w:r w:rsidRPr="00485F85">
              <w:rPr>
                <w:rFonts w:asciiTheme="majorHAnsi" w:hAnsiTheme="majorHAnsi" w:cstheme="majorHAnsi"/>
              </w:rPr>
              <w:t xml:space="preserve"> </w:t>
            </w:r>
          </w:p>
          <w:p w14:paraId="6DD12127"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email – (para acesso de contas em geral a universidade oferece uma página da TI para tirar as dúvidas </w:t>
            </w:r>
            <w:hyperlink r:id="rId263" w:history="1">
              <w:r w:rsidRPr="00485F85">
                <w:rPr>
                  <w:rFonts w:asciiTheme="majorHAnsi" w:hAnsiTheme="majorHAnsi" w:cstheme="majorHAnsi"/>
                  <w:color w:val="4875BD" w:themeColor="accent1"/>
                  <w:u w:val="single"/>
                </w:rPr>
                <w:t>https://help.it.ox.ac.uk/email-calendar-collection</w:t>
              </w:r>
            </w:hyperlink>
            <w:r w:rsidRPr="00485F85">
              <w:rPr>
                <w:rFonts w:asciiTheme="majorHAnsi" w:hAnsiTheme="majorHAnsi" w:cstheme="majorHAnsi"/>
              </w:rPr>
              <w:t xml:space="preserve"> </w:t>
            </w:r>
          </w:p>
          <w:p w14:paraId="0AF1B66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sistemas em geral disponibilizados pelos alunos com páginas de treinamento e como conseguir acesso </w:t>
            </w:r>
            <w:hyperlink r:id="rId264" w:history="1">
              <w:r w:rsidRPr="00485F85">
                <w:rPr>
                  <w:rFonts w:asciiTheme="majorHAnsi" w:hAnsiTheme="majorHAnsi" w:cstheme="majorHAnsi"/>
                  <w:color w:val="4875BD" w:themeColor="accent1"/>
                  <w:u w:val="single"/>
                </w:rPr>
                <w:t>https://academic.admin.ox.ac.uk/student-systems</w:t>
              </w:r>
            </w:hyperlink>
            <w:r w:rsidRPr="00485F85">
              <w:rPr>
                <w:rFonts w:asciiTheme="majorHAnsi" w:hAnsiTheme="majorHAnsi" w:cstheme="majorHAnsi"/>
              </w:rPr>
              <w:t xml:space="preserve"> </w:t>
            </w:r>
          </w:p>
          <w:p w14:paraId="75F044BE"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Canvas - </w:t>
            </w:r>
            <w:hyperlink r:id="rId265" w:history="1">
              <w:r w:rsidRPr="00485F85">
                <w:rPr>
                  <w:rFonts w:asciiTheme="majorHAnsi" w:hAnsiTheme="majorHAnsi" w:cstheme="majorHAnsi"/>
                  <w:color w:val="4875BD" w:themeColor="accent1"/>
                  <w:u w:val="single"/>
                </w:rPr>
                <w:t>https://login.canvas.ox.ac.uk/</w:t>
              </w:r>
            </w:hyperlink>
            <w:r w:rsidRPr="00485F85">
              <w:rPr>
                <w:rFonts w:asciiTheme="majorHAnsi" w:hAnsiTheme="majorHAnsi" w:cstheme="majorHAnsi"/>
              </w:rPr>
              <w:t xml:space="preserve"> </w:t>
            </w:r>
          </w:p>
          <w:p w14:paraId="1D8A225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serviços de bibliotecas</w:t>
            </w:r>
          </w:p>
          <w:p w14:paraId="57550EA5"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acesso aos relatórios de acompanhamento dos supervisores e autoavaliação do aluno</w:t>
            </w:r>
          </w:p>
          <w:p w14:paraId="751FA701"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serviço de carreiras (oferta de estágios, empregos entre outros) </w:t>
            </w:r>
            <w:hyperlink r:id="rId266" w:anchor="/" w:history="1">
              <w:r w:rsidRPr="00485F85">
                <w:rPr>
                  <w:rFonts w:asciiTheme="majorHAnsi" w:hAnsiTheme="majorHAnsi" w:cstheme="majorHAnsi"/>
                  <w:color w:val="4875BD" w:themeColor="accent1"/>
                  <w:u w:val="single"/>
                </w:rPr>
                <w:t>https://www.careers.ox.ac.uk/#/</w:t>
              </w:r>
            </w:hyperlink>
            <w:r w:rsidRPr="00485F85">
              <w:rPr>
                <w:rFonts w:asciiTheme="majorHAnsi" w:hAnsiTheme="majorHAnsi" w:cstheme="majorHAnsi"/>
              </w:rPr>
              <w:t xml:space="preserve"> </w:t>
            </w:r>
          </w:p>
          <w:p w14:paraId="5A56D41D" w14:textId="77777777" w:rsidR="001C5F76" w:rsidRPr="00485F85" w:rsidRDefault="001C5F76" w:rsidP="00DE19E1">
            <w:pPr>
              <w:spacing w:line="360" w:lineRule="auto"/>
              <w:jc w:val="both"/>
              <w:rPr>
                <w:rFonts w:asciiTheme="majorHAnsi" w:hAnsiTheme="majorHAnsi" w:cstheme="majorHAnsi"/>
              </w:rPr>
            </w:pPr>
            <w:r w:rsidRPr="00485F85">
              <w:rPr>
                <w:rFonts w:asciiTheme="majorHAnsi" w:hAnsiTheme="majorHAnsi" w:cstheme="majorHAnsi"/>
              </w:rPr>
              <w:t xml:space="preserve">- loja online para aquisição de produtos e serviços/cursos ou fazer doações  </w:t>
            </w:r>
            <w:hyperlink r:id="rId267" w:history="1">
              <w:r w:rsidRPr="00485F85">
                <w:rPr>
                  <w:rFonts w:asciiTheme="majorHAnsi" w:hAnsiTheme="majorHAnsi" w:cstheme="majorHAnsi"/>
                  <w:color w:val="4875BD" w:themeColor="accent1"/>
                  <w:u w:val="single"/>
                </w:rPr>
                <w:t>https://www.oxforduniversitystores.co.uk/</w:t>
              </w:r>
            </w:hyperlink>
            <w:r w:rsidRPr="00485F85">
              <w:rPr>
                <w:rFonts w:asciiTheme="majorHAnsi" w:hAnsiTheme="majorHAnsi" w:cstheme="majorHAnsi"/>
              </w:rPr>
              <w:t xml:space="preserve"> </w:t>
            </w:r>
          </w:p>
        </w:tc>
      </w:tr>
      <w:tr w:rsidR="001C5F76" w:rsidRPr="00485F85" w14:paraId="5284AC37" w14:textId="77777777" w:rsidTr="00E3523A">
        <w:tc>
          <w:tcPr>
            <w:cnfStyle w:val="001000000000" w:firstRow="0" w:lastRow="0" w:firstColumn="1" w:lastColumn="0" w:oddVBand="0" w:evenVBand="0" w:oddHBand="0" w:evenHBand="0" w:firstRowFirstColumn="0" w:firstRowLastColumn="0" w:lastRowFirstColumn="0" w:lastRowLastColumn="0"/>
            <w:tcW w:w="9747" w:type="dxa"/>
          </w:tcPr>
          <w:p w14:paraId="324314E0" w14:textId="77777777" w:rsidR="001C5F76" w:rsidRPr="00485F85" w:rsidRDefault="001C5F76" w:rsidP="00DE19E1">
            <w:pPr>
              <w:spacing w:line="360" w:lineRule="auto"/>
              <w:jc w:val="both"/>
              <w:rPr>
                <w:rFonts w:asciiTheme="majorHAnsi" w:hAnsiTheme="majorHAnsi" w:cstheme="majorHAnsi"/>
              </w:rPr>
            </w:pPr>
          </w:p>
        </w:tc>
      </w:tr>
    </w:tbl>
    <w:p w14:paraId="46CFA7D3" w14:textId="77777777" w:rsidR="001C5F76" w:rsidRPr="00485F85" w:rsidRDefault="001C5F76" w:rsidP="001C5F76">
      <w:pPr>
        <w:jc w:val="both"/>
        <w:rPr>
          <w:rFonts w:asciiTheme="majorHAnsi" w:hAnsiTheme="majorHAnsi" w:cstheme="majorHAnsi"/>
        </w:rPr>
      </w:pPr>
    </w:p>
    <w:p w14:paraId="0264D4D8" w14:textId="77777777" w:rsidR="001C5F76" w:rsidRPr="00485F85" w:rsidRDefault="001C5F76" w:rsidP="001C5F76">
      <w:pPr>
        <w:rPr>
          <w:rFonts w:asciiTheme="majorHAnsi" w:hAnsiTheme="majorHAnsi" w:cstheme="majorHAnsi"/>
          <w:b/>
          <w:sz w:val="24"/>
          <w:szCs w:val="24"/>
          <w:u w:val="single"/>
        </w:rPr>
      </w:pPr>
      <w:r w:rsidRPr="00485F85">
        <w:rPr>
          <w:rFonts w:asciiTheme="majorHAnsi" w:hAnsiTheme="majorHAnsi" w:cstheme="majorHAnsi"/>
          <w:b/>
          <w:sz w:val="24"/>
          <w:szCs w:val="24"/>
          <w:u w:val="single"/>
        </w:rPr>
        <w:t xml:space="preserve">Importante para  o preenchimento do Quadro 4 : </w:t>
      </w:r>
    </w:p>
    <w:p w14:paraId="71461AAA" w14:textId="77777777" w:rsidR="001C5F76" w:rsidRPr="00485F85" w:rsidRDefault="001C5F76" w:rsidP="001C5F76">
      <w:pPr>
        <w:spacing w:after="0" w:line="360" w:lineRule="auto"/>
        <w:jc w:val="both"/>
        <w:rPr>
          <w:rFonts w:asciiTheme="majorHAnsi" w:hAnsiTheme="majorHAnsi" w:cstheme="majorHAnsi"/>
        </w:rPr>
      </w:pPr>
      <w:r w:rsidRPr="00485F85">
        <w:rPr>
          <w:rFonts w:asciiTheme="majorHAnsi" w:hAnsiTheme="majorHAnsi" w:cstheme="majorHAnsi"/>
        </w:rPr>
        <w:t>- Observar a coerência entre gestores, estrutura, gestão, projeto acadêmico (</w:t>
      </w:r>
      <w:bookmarkStart w:id="56" w:name="_Hlk77009820"/>
      <w:r w:rsidRPr="00485F85">
        <w:rPr>
          <w:rFonts w:asciiTheme="majorHAnsi" w:hAnsiTheme="majorHAnsi" w:cstheme="majorHAnsi"/>
        </w:rPr>
        <w:t>Relatar evidências de coerência entre as formas de gestão, estrutura organizacional e administrativa, mecanismos de participação da comunidade universitária, os objetivos e realizações do projeto acadêmico).</w:t>
      </w:r>
      <w:bookmarkEnd w:id="56"/>
    </w:p>
    <w:p w14:paraId="2979CE71" w14:textId="77777777" w:rsidR="001C5F76" w:rsidRPr="00485F85" w:rsidRDefault="001C5F76" w:rsidP="001C5F76">
      <w:pPr>
        <w:spacing w:after="0" w:line="360" w:lineRule="auto"/>
        <w:jc w:val="both"/>
        <w:rPr>
          <w:rFonts w:asciiTheme="majorHAnsi" w:hAnsiTheme="majorHAnsi" w:cstheme="majorHAnsi"/>
        </w:rPr>
      </w:pPr>
      <w:r w:rsidRPr="00485F85">
        <w:rPr>
          <w:rFonts w:asciiTheme="majorHAnsi" w:hAnsiTheme="majorHAnsi" w:cstheme="majorHAnsi"/>
        </w:rPr>
        <w:t>- Os mecanismos de participação da comunidade acadêmica no desenvolvimento e redesenho do plano ou de diretrizes estratégicas. (Documentos que demonstram participação da comunidade acadêmica no desenvolvimento e redesenho do currículo ou direções estratégicas).</w:t>
      </w:r>
    </w:p>
    <w:p w14:paraId="40F197FF" w14:textId="77777777" w:rsidR="001C5F76" w:rsidRPr="00485F85" w:rsidRDefault="001C5F76" w:rsidP="001C5F76">
      <w:pPr>
        <w:tabs>
          <w:tab w:val="clear" w:pos="1615"/>
        </w:tabs>
        <w:spacing w:line="259" w:lineRule="auto"/>
        <w:rPr>
          <w:rFonts w:asciiTheme="majorHAnsi" w:eastAsia="Calibri" w:hAnsiTheme="majorHAnsi" w:cstheme="majorHAnsi"/>
          <w:color w:val="3B3B3A"/>
          <w:sz w:val="20"/>
          <w:szCs w:val="20"/>
        </w:rPr>
      </w:pPr>
    </w:p>
    <w:p w14:paraId="0F60EE67" w14:textId="77777777" w:rsidR="001C5F76" w:rsidRPr="00485F85" w:rsidRDefault="001C5F76" w:rsidP="001C5F76">
      <w:pPr>
        <w:tabs>
          <w:tab w:val="clear" w:pos="1615"/>
        </w:tabs>
        <w:spacing w:line="259" w:lineRule="auto"/>
        <w:rPr>
          <w:rFonts w:asciiTheme="majorHAnsi" w:eastAsia="Calibri" w:hAnsiTheme="majorHAnsi" w:cstheme="majorHAnsi"/>
          <w:color w:val="3B3B3A"/>
          <w:sz w:val="20"/>
          <w:szCs w:val="20"/>
        </w:rPr>
      </w:pPr>
      <w:r w:rsidRPr="00485F85">
        <w:rPr>
          <w:rFonts w:asciiTheme="majorHAnsi" w:eastAsia="Calibri" w:hAnsiTheme="majorHAnsi" w:cstheme="majorHAnsi"/>
          <w:color w:val="3B3B3A"/>
          <w:sz w:val="20"/>
          <w:szCs w:val="20"/>
        </w:rPr>
        <w:t>© Cebraspe, 2021. Todos os direitos reservados. Nenhuma parte dessa publicação pode ser copiada, reproduzida ou distribuída em qualquer meio conhecido ou que venha a ser criado.</w:t>
      </w:r>
    </w:p>
    <w:p w14:paraId="14A693F4" w14:textId="77777777" w:rsidR="001C5F76" w:rsidRPr="00485F85" w:rsidRDefault="001C5F76" w:rsidP="001C5F76">
      <w:pPr>
        <w:tabs>
          <w:tab w:val="clear" w:pos="1615"/>
        </w:tabs>
        <w:spacing w:before="240" w:line="276" w:lineRule="auto"/>
        <w:rPr>
          <w:rFonts w:asciiTheme="majorHAnsi" w:eastAsia="Calibri" w:hAnsiTheme="majorHAnsi" w:cstheme="majorHAnsi"/>
          <w:color w:val="3B3B3A"/>
          <w:sz w:val="20"/>
          <w:szCs w:val="20"/>
        </w:rPr>
      </w:pPr>
      <w:r w:rsidRPr="00485F85">
        <w:rPr>
          <w:rFonts w:asciiTheme="majorHAnsi" w:eastAsia="Calibri" w:hAnsiTheme="majorHAnsi" w:cstheme="majorHAnsi"/>
          <w:color w:val="3B3B3A"/>
          <w:sz w:val="20"/>
          <w:szCs w:val="20"/>
        </w:rPr>
        <w:lastRenderedPageBreak/>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w:t>
      </w:r>
    </w:p>
    <w:p w14:paraId="5586A366" w14:textId="77777777" w:rsidR="001C5F76" w:rsidRPr="00485F85" w:rsidRDefault="001C5F76" w:rsidP="001C5F76">
      <w:pPr>
        <w:tabs>
          <w:tab w:val="clear" w:pos="1615"/>
        </w:tabs>
        <w:spacing w:before="240" w:line="276" w:lineRule="auto"/>
        <w:rPr>
          <w:rFonts w:asciiTheme="majorHAnsi" w:eastAsia="Calibri" w:hAnsiTheme="majorHAnsi" w:cstheme="majorHAnsi"/>
          <w:color w:val="3B3B3A"/>
          <w:sz w:val="20"/>
          <w:szCs w:val="20"/>
        </w:rPr>
      </w:pPr>
    </w:p>
    <w:p w14:paraId="5583BE4D" w14:textId="0DE65908" w:rsidR="00EF5971" w:rsidRPr="00485F85" w:rsidRDefault="00EF5971">
      <w:pPr>
        <w:tabs>
          <w:tab w:val="clear" w:pos="1615"/>
        </w:tabs>
        <w:spacing w:line="259" w:lineRule="auto"/>
        <w:rPr>
          <w:rFonts w:asciiTheme="majorHAnsi" w:hAnsiTheme="majorHAnsi" w:cstheme="majorHAnsi"/>
          <w:color w:val="222222"/>
          <w:sz w:val="20"/>
          <w:szCs w:val="20"/>
          <w:shd w:val="clear" w:color="auto" w:fill="FFFFFF"/>
        </w:rPr>
      </w:pPr>
      <w:r w:rsidRPr="00485F85">
        <w:rPr>
          <w:rFonts w:asciiTheme="majorHAnsi" w:hAnsiTheme="majorHAnsi" w:cstheme="majorHAnsi"/>
          <w:color w:val="222222"/>
          <w:sz w:val="20"/>
          <w:szCs w:val="20"/>
          <w:shd w:val="clear" w:color="auto" w:fill="FFFFFF"/>
        </w:rPr>
        <w:br w:type="page"/>
      </w:r>
    </w:p>
    <w:p w14:paraId="3D438789" w14:textId="77777777" w:rsidR="00EF5971" w:rsidRPr="00485F85" w:rsidRDefault="00EF5971" w:rsidP="002D2BEA">
      <w:pPr>
        <w:tabs>
          <w:tab w:val="clear" w:pos="1615"/>
        </w:tabs>
        <w:spacing w:line="259" w:lineRule="auto"/>
        <w:jc w:val="center"/>
        <w:rPr>
          <w:rFonts w:asciiTheme="majorHAnsi" w:hAnsiTheme="majorHAnsi" w:cstheme="majorHAnsi"/>
          <w:b/>
          <w:bCs/>
          <w:color w:val="222222"/>
          <w:sz w:val="24"/>
          <w:szCs w:val="24"/>
          <w:shd w:val="clear" w:color="auto" w:fill="FFFFFF"/>
        </w:rPr>
      </w:pPr>
      <w:r w:rsidRPr="00485F85">
        <w:rPr>
          <w:rFonts w:asciiTheme="majorHAnsi" w:hAnsiTheme="majorHAnsi" w:cstheme="majorHAnsi"/>
          <w:b/>
          <w:bCs/>
          <w:color w:val="222222"/>
          <w:sz w:val="24"/>
          <w:szCs w:val="24"/>
          <w:shd w:val="clear" w:color="auto" w:fill="FFFFFF"/>
        </w:rPr>
        <w:lastRenderedPageBreak/>
        <w:t>QUADRO FINAL – PONTOS FORTES- FRACOS E BOAS PRÁTICAS</w:t>
      </w:r>
    </w:p>
    <w:tbl>
      <w:tblPr>
        <w:tblStyle w:val="Tabelacomgrade"/>
        <w:tblW w:w="10143" w:type="dxa"/>
        <w:tblInd w:w="-289" w:type="dxa"/>
        <w:tblLook w:val="04A0" w:firstRow="1" w:lastRow="0" w:firstColumn="1" w:lastColumn="0" w:noHBand="0" w:noVBand="1"/>
      </w:tblPr>
      <w:tblGrid>
        <w:gridCol w:w="905"/>
        <w:gridCol w:w="2551"/>
        <w:gridCol w:w="2551"/>
        <w:gridCol w:w="4136"/>
      </w:tblGrid>
      <w:tr w:rsidR="00DE19E1" w:rsidRPr="00DE19E1" w14:paraId="55FEE5ED" w14:textId="77777777" w:rsidTr="00DE19E1">
        <w:tc>
          <w:tcPr>
            <w:tcW w:w="905" w:type="dxa"/>
            <w:tcBorders>
              <w:top w:val="single" w:sz="4" w:space="0" w:color="auto"/>
              <w:left w:val="single" w:sz="4" w:space="0" w:color="auto"/>
              <w:bottom w:val="single" w:sz="4" w:space="0" w:color="auto"/>
              <w:right w:val="single" w:sz="4" w:space="0" w:color="auto"/>
            </w:tcBorders>
            <w:shd w:val="clear" w:color="auto" w:fill="4875BD" w:themeFill="accent1"/>
            <w:hideMark/>
          </w:tcPr>
          <w:p w14:paraId="16AC0B0D" w14:textId="77777777" w:rsidR="00EF5971" w:rsidRPr="00DE19E1" w:rsidRDefault="00EF5971" w:rsidP="00DE19E1">
            <w:pPr>
              <w:spacing w:after="160" w:line="360" w:lineRule="auto"/>
              <w:jc w:val="both"/>
              <w:rPr>
                <w:rFonts w:asciiTheme="majorHAnsi" w:hAnsiTheme="majorHAnsi" w:cstheme="majorHAnsi"/>
                <w:b/>
                <w:color w:val="FFFFFF" w:themeColor="background1"/>
              </w:rPr>
            </w:pPr>
            <w:r w:rsidRPr="00DE19E1">
              <w:rPr>
                <w:rFonts w:asciiTheme="majorHAnsi" w:hAnsiTheme="majorHAnsi" w:cstheme="majorHAnsi"/>
                <w:b/>
                <w:color w:val="FFFFFF" w:themeColor="background1"/>
              </w:rPr>
              <w:t>Dimensões</w:t>
            </w:r>
          </w:p>
        </w:tc>
        <w:tc>
          <w:tcPr>
            <w:tcW w:w="3461" w:type="dxa"/>
            <w:tcBorders>
              <w:top w:val="single" w:sz="4" w:space="0" w:color="auto"/>
              <w:left w:val="single" w:sz="4" w:space="0" w:color="auto"/>
              <w:bottom w:val="single" w:sz="4" w:space="0" w:color="auto"/>
              <w:right w:val="single" w:sz="4" w:space="0" w:color="auto"/>
            </w:tcBorders>
            <w:shd w:val="clear" w:color="auto" w:fill="4875BD" w:themeFill="accent1"/>
            <w:hideMark/>
          </w:tcPr>
          <w:p w14:paraId="6130AE30" w14:textId="77777777" w:rsidR="00EF5971" w:rsidRPr="00DE19E1" w:rsidRDefault="00EF5971" w:rsidP="00DE19E1">
            <w:pPr>
              <w:spacing w:after="160" w:line="360" w:lineRule="auto"/>
              <w:jc w:val="both"/>
              <w:rPr>
                <w:rFonts w:asciiTheme="majorHAnsi" w:hAnsiTheme="majorHAnsi" w:cstheme="majorHAnsi"/>
                <w:b/>
                <w:color w:val="FFFFFF" w:themeColor="background1"/>
              </w:rPr>
            </w:pPr>
            <w:r w:rsidRPr="00DE19E1">
              <w:rPr>
                <w:rFonts w:asciiTheme="majorHAnsi" w:hAnsiTheme="majorHAnsi" w:cstheme="majorHAnsi"/>
                <w:b/>
                <w:color w:val="FFFFFF" w:themeColor="background1"/>
              </w:rPr>
              <w:t>Pontos Fortes</w:t>
            </w:r>
          </w:p>
        </w:tc>
        <w:tc>
          <w:tcPr>
            <w:tcW w:w="1641" w:type="dxa"/>
            <w:tcBorders>
              <w:top w:val="single" w:sz="4" w:space="0" w:color="auto"/>
              <w:left w:val="single" w:sz="4" w:space="0" w:color="auto"/>
              <w:bottom w:val="single" w:sz="4" w:space="0" w:color="auto"/>
              <w:right w:val="single" w:sz="4" w:space="0" w:color="auto"/>
            </w:tcBorders>
            <w:shd w:val="clear" w:color="auto" w:fill="4875BD" w:themeFill="accent1"/>
            <w:hideMark/>
          </w:tcPr>
          <w:p w14:paraId="239757AF" w14:textId="77777777" w:rsidR="00EF5971" w:rsidRPr="00DE19E1" w:rsidRDefault="00EF5971" w:rsidP="00DE19E1">
            <w:pPr>
              <w:spacing w:after="160" w:line="360" w:lineRule="auto"/>
              <w:jc w:val="both"/>
              <w:rPr>
                <w:rFonts w:asciiTheme="majorHAnsi" w:hAnsiTheme="majorHAnsi" w:cstheme="majorHAnsi"/>
                <w:b/>
                <w:color w:val="FFFFFF" w:themeColor="background1"/>
              </w:rPr>
            </w:pPr>
            <w:r w:rsidRPr="00DE19E1">
              <w:rPr>
                <w:rFonts w:asciiTheme="majorHAnsi" w:hAnsiTheme="majorHAnsi" w:cstheme="majorHAnsi"/>
                <w:b/>
                <w:color w:val="FFFFFF" w:themeColor="background1"/>
              </w:rPr>
              <w:t>Pontos Fracos (Fragilidades)</w:t>
            </w:r>
          </w:p>
        </w:tc>
        <w:tc>
          <w:tcPr>
            <w:tcW w:w="4136" w:type="dxa"/>
            <w:tcBorders>
              <w:top w:val="single" w:sz="4" w:space="0" w:color="auto"/>
              <w:left w:val="single" w:sz="4" w:space="0" w:color="auto"/>
              <w:bottom w:val="single" w:sz="4" w:space="0" w:color="auto"/>
              <w:right w:val="single" w:sz="4" w:space="0" w:color="auto"/>
            </w:tcBorders>
            <w:shd w:val="clear" w:color="auto" w:fill="4875BD" w:themeFill="accent1"/>
            <w:hideMark/>
          </w:tcPr>
          <w:p w14:paraId="000B8BCD" w14:textId="77777777" w:rsidR="00EF5971" w:rsidRPr="00DE19E1" w:rsidRDefault="00EF5971" w:rsidP="00DE19E1">
            <w:pPr>
              <w:spacing w:after="160" w:line="360" w:lineRule="auto"/>
              <w:jc w:val="both"/>
              <w:rPr>
                <w:rFonts w:asciiTheme="majorHAnsi" w:hAnsiTheme="majorHAnsi" w:cstheme="majorHAnsi"/>
                <w:b/>
                <w:color w:val="FFFFFF" w:themeColor="background1"/>
              </w:rPr>
            </w:pPr>
            <w:r w:rsidRPr="00DE19E1">
              <w:rPr>
                <w:rFonts w:asciiTheme="majorHAnsi" w:hAnsiTheme="majorHAnsi" w:cstheme="majorHAnsi"/>
                <w:b/>
                <w:color w:val="FFFFFF" w:themeColor="background1"/>
              </w:rPr>
              <w:t>Boas Práticas para Gestão Inovadora</w:t>
            </w:r>
          </w:p>
        </w:tc>
      </w:tr>
      <w:tr w:rsidR="00612332" w:rsidRPr="00485F85" w14:paraId="7B8779A8" w14:textId="77777777" w:rsidTr="00DE19E1">
        <w:tc>
          <w:tcPr>
            <w:tcW w:w="905" w:type="dxa"/>
            <w:tcBorders>
              <w:top w:val="single" w:sz="4" w:space="0" w:color="auto"/>
              <w:left w:val="single" w:sz="4" w:space="0" w:color="auto"/>
              <w:bottom w:val="single" w:sz="4" w:space="0" w:color="auto"/>
              <w:right w:val="single" w:sz="4" w:space="0" w:color="auto"/>
            </w:tcBorders>
          </w:tcPr>
          <w:p w14:paraId="3C31F3AE" w14:textId="5AF3A1D8" w:rsidR="00612332" w:rsidRPr="00485F85" w:rsidRDefault="00612332" w:rsidP="00DE19E1">
            <w:pPr>
              <w:spacing w:line="360" w:lineRule="auto"/>
              <w:jc w:val="both"/>
              <w:rPr>
                <w:rFonts w:asciiTheme="majorHAnsi" w:hAnsiTheme="majorHAnsi" w:cstheme="majorHAnsi"/>
                <w:b/>
              </w:rPr>
            </w:pPr>
            <w:r w:rsidRPr="00485F85">
              <w:rPr>
                <w:rFonts w:asciiTheme="majorHAnsi" w:hAnsiTheme="majorHAnsi" w:cstheme="majorHAnsi"/>
                <w:b/>
              </w:rPr>
              <w:t>Dimensão 1. Estrutura Acadêmica e Administrativa</w:t>
            </w:r>
          </w:p>
        </w:tc>
        <w:tc>
          <w:tcPr>
            <w:tcW w:w="3461" w:type="dxa"/>
            <w:tcBorders>
              <w:top w:val="single" w:sz="4" w:space="0" w:color="auto"/>
              <w:left w:val="single" w:sz="4" w:space="0" w:color="auto"/>
              <w:bottom w:val="single" w:sz="4" w:space="0" w:color="auto"/>
              <w:right w:val="single" w:sz="4" w:space="0" w:color="auto"/>
            </w:tcBorders>
          </w:tcPr>
          <w:p w14:paraId="7DA5E34C" w14:textId="77777777" w:rsidR="00612332" w:rsidRPr="00485F85" w:rsidRDefault="00612332" w:rsidP="00DE19E1">
            <w:pPr>
              <w:spacing w:after="160" w:line="360" w:lineRule="auto"/>
              <w:jc w:val="both"/>
              <w:rPr>
                <w:rFonts w:asciiTheme="majorHAnsi" w:hAnsiTheme="majorHAnsi" w:cstheme="majorHAnsi"/>
                <w:bCs/>
              </w:rPr>
            </w:pPr>
            <w:r w:rsidRPr="00485F85">
              <w:rPr>
                <w:rFonts w:asciiTheme="majorHAnsi" w:hAnsiTheme="majorHAnsi" w:cstheme="majorHAnsi"/>
                <w:bCs/>
              </w:rPr>
              <w:t>- Eleições participativas para postos importantes como o que incluem todas as camadas da instituição, envolvendo até ex-alunos nas votações.</w:t>
            </w:r>
          </w:p>
          <w:p w14:paraId="600DD1D2" w14:textId="77777777" w:rsidR="00612332" w:rsidRPr="00485F85" w:rsidRDefault="00612332" w:rsidP="00DE19E1">
            <w:pPr>
              <w:spacing w:after="160" w:line="360" w:lineRule="auto"/>
              <w:jc w:val="both"/>
              <w:rPr>
                <w:rFonts w:asciiTheme="majorHAnsi" w:hAnsiTheme="majorHAnsi" w:cstheme="majorHAnsi"/>
                <w:bCs/>
              </w:rPr>
            </w:pPr>
            <w:r w:rsidRPr="00485F85">
              <w:rPr>
                <w:rFonts w:asciiTheme="majorHAnsi" w:hAnsiTheme="majorHAnsi" w:cstheme="majorHAnsi"/>
                <w:bCs/>
              </w:rPr>
              <w:t>- Documentos que primam por diretrizes simples e significativas.</w:t>
            </w:r>
          </w:p>
          <w:p w14:paraId="0D373ED5" w14:textId="77777777" w:rsidR="00612332" w:rsidRPr="00485F85" w:rsidRDefault="00612332" w:rsidP="00DE19E1">
            <w:pPr>
              <w:spacing w:after="160" w:line="360" w:lineRule="auto"/>
              <w:jc w:val="both"/>
              <w:rPr>
                <w:rFonts w:asciiTheme="majorHAnsi" w:hAnsiTheme="majorHAnsi" w:cstheme="majorHAnsi"/>
                <w:bCs/>
              </w:rPr>
            </w:pPr>
            <w:r w:rsidRPr="00485F85">
              <w:rPr>
                <w:rFonts w:asciiTheme="majorHAnsi" w:hAnsiTheme="majorHAnsi" w:cstheme="majorHAnsi"/>
                <w:bCs/>
              </w:rPr>
              <w:t>- Boa comunicação entre as esferas da universidade oportunizando uma gestão alinhada com a Universidade Central.</w:t>
            </w:r>
          </w:p>
          <w:p w14:paraId="1B72272E" w14:textId="77777777" w:rsidR="00612332" w:rsidRPr="00485F85" w:rsidRDefault="00612332" w:rsidP="00DE19E1">
            <w:pPr>
              <w:spacing w:after="160" w:line="360" w:lineRule="auto"/>
              <w:jc w:val="both"/>
              <w:rPr>
                <w:rFonts w:asciiTheme="majorHAnsi" w:hAnsiTheme="majorHAnsi" w:cstheme="majorHAnsi"/>
                <w:bCs/>
              </w:rPr>
            </w:pPr>
            <w:r w:rsidRPr="00485F85">
              <w:rPr>
                <w:rFonts w:asciiTheme="majorHAnsi" w:hAnsiTheme="majorHAnsi" w:cstheme="majorHAnsi"/>
                <w:bCs/>
              </w:rPr>
              <w:t>- Profissionais qualificados e alinhados com as suas responsabilidades.</w:t>
            </w:r>
          </w:p>
          <w:p w14:paraId="0555D33A" w14:textId="77777777" w:rsidR="00612332" w:rsidRPr="00485F85" w:rsidRDefault="00612332" w:rsidP="00DE19E1">
            <w:pPr>
              <w:spacing w:after="160" w:line="360" w:lineRule="auto"/>
              <w:jc w:val="both"/>
              <w:rPr>
                <w:rFonts w:asciiTheme="majorHAnsi" w:hAnsiTheme="majorHAnsi" w:cstheme="majorHAnsi"/>
                <w:bCs/>
              </w:rPr>
            </w:pPr>
            <w:r w:rsidRPr="00485F85">
              <w:rPr>
                <w:rFonts w:asciiTheme="majorHAnsi" w:hAnsiTheme="majorHAnsi" w:cstheme="majorHAnsi"/>
                <w:bCs/>
              </w:rPr>
              <w:t>- Multiplicidade de vozes nas tomadas de decisão com certa autonomia e agilidade dos processos.</w:t>
            </w:r>
          </w:p>
          <w:p w14:paraId="635E2ECE" w14:textId="77777777" w:rsidR="00612332" w:rsidRPr="00485F85" w:rsidRDefault="00612332"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763E0DD7"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O Ato regulatório da Universidade é muito emendado e descentralizado uma vez que foi sendo construído ao longo dos anos. Soma-se ao fato, também, cada College possuir a sua carta de fundação. Gerando documentos fundacionais e diretrizes quase que independentes.</w:t>
            </w:r>
          </w:p>
          <w:p w14:paraId="45A5E325"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A estrutura de Governança é formada por muitos comitês o que acaba gerando a necessidade de contratação/nomeação de muitos postos.</w:t>
            </w:r>
          </w:p>
          <w:p w14:paraId="0807EDF8"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Existem muitas posições de liderança para que seja possível conectar todas as esferas de trabalho da Universidade.</w:t>
            </w:r>
          </w:p>
          <w:p w14:paraId="2F367173" w14:textId="3340E94F" w:rsidR="00612332" w:rsidRPr="00485F85" w:rsidRDefault="00612332" w:rsidP="00DE19E1">
            <w:pPr>
              <w:spacing w:line="360" w:lineRule="auto"/>
              <w:jc w:val="both"/>
              <w:rPr>
                <w:rFonts w:asciiTheme="majorHAnsi" w:hAnsiTheme="majorHAnsi" w:cstheme="majorHAnsi"/>
                <w:b/>
              </w:rPr>
            </w:pPr>
            <w:r w:rsidRPr="00485F85">
              <w:rPr>
                <w:rFonts w:asciiTheme="majorHAnsi" w:hAnsiTheme="majorHAnsi" w:cstheme="majorHAnsi"/>
              </w:rPr>
              <w:t xml:space="preserve">- O Reitor (Chancellor) possui um cargo vitalício e trata-se de um posto mas social do que executivo. Ele preside cerimônias e participa de </w:t>
            </w:r>
            <w:r w:rsidRPr="00485F85">
              <w:rPr>
                <w:rFonts w:asciiTheme="majorHAnsi" w:hAnsiTheme="majorHAnsi" w:cstheme="majorHAnsi"/>
              </w:rPr>
              <w:lastRenderedPageBreak/>
              <w:t>eventos sociais geralmente é um professor sênior de renome na instituição</w:t>
            </w:r>
            <w:r w:rsidRPr="00485F85">
              <w:rPr>
                <w:rFonts w:asciiTheme="majorHAnsi" w:hAnsiTheme="majorHAnsi" w:cstheme="majorHAnsi"/>
                <w:b/>
                <w:bCs/>
              </w:rPr>
              <w:t>.</w:t>
            </w:r>
          </w:p>
        </w:tc>
        <w:tc>
          <w:tcPr>
            <w:tcW w:w="4136" w:type="dxa"/>
            <w:tcBorders>
              <w:top w:val="single" w:sz="4" w:space="0" w:color="auto"/>
              <w:left w:val="single" w:sz="4" w:space="0" w:color="auto"/>
              <w:bottom w:val="single" w:sz="4" w:space="0" w:color="auto"/>
              <w:right w:val="single" w:sz="4" w:space="0" w:color="auto"/>
            </w:tcBorders>
          </w:tcPr>
          <w:p w14:paraId="2441DFE7" w14:textId="77777777" w:rsidR="00612332" w:rsidRPr="00485F85" w:rsidRDefault="00612332" w:rsidP="00DE19E1">
            <w:pPr>
              <w:tabs>
                <w:tab w:val="clear" w:pos="1615"/>
              </w:tabs>
              <w:spacing w:line="360" w:lineRule="auto"/>
              <w:jc w:val="both"/>
              <w:rPr>
                <w:rFonts w:asciiTheme="majorHAnsi" w:hAnsiTheme="majorHAnsi" w:cstheme="majorHAnsi"/>
              </w:rPr>
            </w:pPr>
            <w:r w:rsidRPr="00485F85">
              <w:rPr>
                <w:rFonts w:asciiTheme="majorHAnsi" w:hAnsiTheme="majorHAnsi" w:cstheme="majorHAnsi"/>
              </w:rPr>
              <w:lastRenderedPageBreak/>
              <w:t xml:space="preserve">- Oxford mostrou ser uma Universidade moderna e respeitosa ao passado e suas tradições. Ela valoriza aqueles que participaram dessa longa trajetória e reflete essa perenidade com o cargo vitalício do Chancellor, demonstrando toda a sua coerência histórica. Em contrapartida, seu chefe-executor, o Vice- Chancellor possui uma jornada máxima de 7 anos possibilitando que uma nova visão esteja sempre oxigenando a universidade </w:t>
            </w:r>
          </w:p>
          <w:p w14:paraId="0E375A64" w14:textId="77777777" w:rsidR="00612332" w:rsidRPr="00485F85" w:rsidRDefault="00612332" w:rsidP="00DE19E1">
            <w:pPr>
              <w:spacing w:line="360" w:lineRule="auto"/>
              <w:jc w:val="both"/>
              <w:rPr>
                <w:rFonts w:asciiTheme="majorHAnsi" w:hAnsiTheme="majorHAnsi" w:cstheme="majorHAnsi"/>
              </w:rPr>
            </w:pPr>
          </w:p>
          <w:p w14:paraId="7C936E04"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A Universidade mostra indícios de gestão descentralizada, mas de forma alinhada com a Universidade Central. A estratégia da criação de Divisional Offices pode ser considerada uma boa prática de gestão e coesão. Trata-se de escritórios com equipes de planejamento, Pesquisa, educação e treinamento e finanças que servem de elo entre a Universidade central as Divisões Acadêmicas, garantindo que as faculties cumpram os requisitos da Universidade, ao mesmo tempo que representam centralmente os interesses da coletividade das faculties.</w:t>
            </w:r>
          </w:p>
          <w:p w14:paraId="3EF0786E" w14:textId="77777777" w:rsidR="00612332" w:rsidRPr="00485F85" w:rsidRDefault="00612332" w:rsidP="00DE19E1">
            <w:pPr>
              <w:spacing w:line="360" w:lineRule="auto"/>
              <w:jc w:val="both"/>
              <w:rPr>
                <w:rFonts w:asciiTheme="majorHAnsi" w:hAnsiTheme="majorHAnsi" w:cstheme="majorHAnsi"/>
              </w:rPr>
            </w:pPr>
          </w:p>
          <w:p w14:paraId="2A48D9DF"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xml:space="preserve">- A Universidade fornece indícios de liberdade de pensamento e incentivo a inclusão de pessoas. Exemplos interessantes são a carta de Liberdade de </w:t>
            </w:r>
            <w:r w:rsidRPr="00485F85">
              <w:rPr>
                <w:rFonts w:asciiTheme="majorHAnsi" w:hAnsiTheme="majorHAnsi" w:cstheme="majorHAnsi"/>
              </w:rPr>
              <w:lastRenderedPageBreak/>
              <w:t xml:space="preserve">Expressão  ( </w:t>
            </w:r>
            <w:hyperlink r:id="rId268" w:history="1">
              <w:r w:rsidRPr="00485F85">
                <w:rPr>
                  <w:rStyle w:val="Hyperlink"/>
                  <w:rFonts w:asciiTheme="majorHAnsi" w:hAnsiTheme="majorHAnsi" w:cstheme="majorHAnsi"/>
                </w:rPr>
                <w:t>https://compliance.web.ox.ac.uk/freedom-of-speech</w:t>
              </w:r>
            </w:hyperlink>
            <w:r w:rsidRPr="00485F85">
              <w:rPr>
                <w:rFonts w:asciiTheme="majorHAnsi" w:hAnsiTheme="majorHAnsi" w:cstheme="majorHAnsi"/>
              </w:rPr>
              <w:t xml:space="preserve"> ) e registros do estudante personalizado para alunos inclusive com a possibilidade de inserir uma possível mudança de gênero sem burocracia (</w:t>
            </w:r>
            <w:hyperlink r:id="rId269" w:history="1">
              <w:r w:rsidRPr="00485F85">
                <w:rPr>
                  <w:rStyle w:val="Hyperlink"/>
                  <w:rFonts w:asciiTheme="majorHAnsi" w:hAnsiTheme="majorHAnsi" w:cstheme="majorHAnsi"/>
                </w:rPr>
                <w:t>https://www.ox.ac.uk/students/life/studentrecord</w:t>
              </w:r>
            </w:hyperlink>
            <w:r w:rsidRPr="00485F85">
              <w:rPr>
                <w:rFonts w:asciiTheme="majorHAnsi" w:hAnsiTheme="majorHAnsi" w:cstheme="majorHAnsi"/>
              </w:rPr>
              <w:t xml:space="preserve">). </w:t>
            </w:r>
          </w:p>
          <w:p w14:paraId="47DB058C" w14:textId="77777777" w:rsidR="00612332" w:rsidRPr="00485F85" w:rsidRDefault="00612332" w:rsidP="00DE19E1">
            <w:pPr>
              <w:spacing w:line="360" w:lineRule="auto"/>
              <w:jc w:val="both"/>
              <w:rPr>
                <w:rFonts w:asciiTheme="majorHAnsi" w:hAnsiTheme="majorHAnsi" w:cstheme="majorHAnsi"/>
              </w:rPr>
            </w:pPr>
          </w:p>
          <w:p w14:paraId="387094EA"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A Universidade fornece indícios de participação coletiva na produção de seus documentos norteadores por meio da criação de comitês e frentes de trabalho.</w:t>
            </w:r>
          </w:p>
          <w:p w14:paraId="520DB2AB" w14:textId="77777777" w:rsidR="00612332" w:rsidRPr="00485F85" w:rsidRDefault="00612332" w:rsidP="00DE19E1">
            <w:pPr>
              <w:spacing w:line="360" w:lineRule="auto"/>
              <w:jc w:val="both"/>
              <w:rPr>
                <w:rFonts w:asciiTheme="majorHAnsi" w:hAnsiTheme="majorHAnsi" w:cstheme="majorHAnsi"/>
              </w:rPr>
            </w:pPr>
          </w:p>
          <w:p w14:paraId="728C25E8" w14:textId="77777777" w:rsidR="00612332" w:rsidRPr="00485F85" w:rsidRDefault="00612332" w:rsidP="00DE19E1">
            <w:pPr>
              <w:spacing w:line="360" w:lineRule="auto"/>
              <w:jc w:val="both"/>
              <w:rPr>
                <w:rFonts w:asciiTheme="majorHAnsi" w:hAnsiTheme="majorHAnsi" w:cstheme="majorHAnsi"/>
              </w:rPr>
            </w:pPr>
            <w:r w:rsidRPr="00485F85">
              <w:rPr>
                <w:rFonts w:asciiTheme="majorHAnsi" w:hAnsiTheme="majorHAnsi" w:cstheme="majorHAnsi"/>
              </w:rPr>
              <w:t xml:space="preserve"> - A partir dos documentos da Universidade é possível observar que Oxford prima por documentos norteadores enxutos e factíveis de serem desdobrados em ações, com metas e avaliações assertivas. O Planejamento estratégico para 5 anos por exemplo, possui apenas 6 páginas e é muito consistente em seus compromissos e propostas. </w:t>
            </w:r>
            <w:hyperlink r:id="rId270" w:history="1">
              <w:r w:rsidRPr="00485F85">
                <w:rPr>
                  <w:rStyle w:val="Hyperlink"/>
                  <w:rFonts w:asciiTheme="majorHAnsi" w:hAnsiTheme="majorHAnsi" w:cstheme="majorHAnsi"/>
                </w:rPr>
                <w:t>https://www.ox.ac.uk/sites/files/oxford/field/field_document/Strategic%20Plan%202018-23.pdf</w:t>
              </w:r>
            </w:hyperlink>
            <w:r w:rsidRPr="00485F85">
              <w:rPr>
                <w:rFonts w:asciiTheme="majorHAnsi" w:hAnsiTheme="majorHAnsi" w:cstheme="majorHAnsi"/>
              </w:rPr>
              <w:t xml:space="preserve">  </w:t>
            </w:r>
          </w:p>
          <w:p w14:paraId="059722AE" w14:textId="77777777" w:rsidR="00612332" w:rsidRPr="00485F85" w:rsidRDefault="00612332" w:rsidP="00DE19E1">
            <w:pPr>
              <w:spacing w:line="360" w:lineRule="auto"/>
              <w:jc w:val="both"/>
              <w:rPr>
                <w:rFonts w:asciiTheme="majorHAnsi" w:hAnsiTheme="majorHAnsi" w:cstheme="majorHAnsi"/>
                <w:b/>
              </w:rPr>
            </w:pPr>
          </w:p>
          <w:p w14:paraId="121A282F" w14:textId="77777777" w:rsidR="00612332" w:rsidRPr="00485F85" w:rsidRDefault="00612332"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Oxford University Press é um departamento da Universidade, e não uma entidade legal separada. No entanto, tem um final de ano financeiro diferente do resto da Universidade e, como tal, produziu sua própria declaração da Lei da Escravidão Moderna . Esta declaração é feita em </w:t>
            </w:r>
            <w:r w:rsidRPr="00485F85">
              <w:rPr>
                <w:rFonts w:asciiTheme="majorHAnsi" w:hAnsiTheme="majorHAnsi" w:cstheme="majorHAnsi"/>
                <w:bCs/>
              </w:rPr>
              <w:lastRenderedPageBreak/>
              <w:t>relação ao exercício financeiro da Imprensa encerrado em 31 de março de 2020. Emprego e compras são as principais áreas onde existe um risco potencial de escravidão ou tráfico de pessoas; o restante desta declaração fornece detalhes da resposta da Universidade ao risco nessas áreas.</w:t>
            </w:r>
          </w:p>
          <w:p w14:paraId="56AB0FBC" w14:textId="108444AE" w:rsidR="00612332" w:rsidRPr="00485F85" w:rsidRDefault="00A515B3" w:rsidP="00DE19E1">
            <w:pPr>
              <w:tabs>
                <w:tab w:val="clear" w:pos="1615"/>
                <w:tab w:val="left" w:pos="3580"/>
              </w:tabs>
              <w:spacing w:line="360" w:lineRule="auto"/>
              <w:jc w:val="both"/>
              <w:rPr>
                <w:rFonts w:asciiTheme="majorHAnsi" w:hAnsiTheme="majorHAnsi" w:cstheme="majorHAnsi"/>
                <w:b/>
              </w:rPr>
            </w:pPr>
            <w:hyperlink r:id="rId271" w:anchor="collapse1021921" w:history="1">
              <w:r w:rsidR="00612332" w:rsidRPr="00485F85">
                <w:rPr>
                  <w:rStyle w:val="Hyperlink"/>
                  <w:rFonts w:asciiTheme="majorHAnsi" w:hAnsiTheme="majorHAnsi" w:cstheme="majorHAnsi"/>
                  <w:bCs/>
                </w:rPr>
                <w:t>https://compliance.admin.ox.ac.uk/modern-slavery#collapse1021921</w:t>
              </w:r>
            </w:hyperlink>
            <w:r w:rsidR="00612332" w:rsidRPr="00485F85">
              <w:rPr>
                <w:rFonts w:asciiTheme="majorHAnsi" w:hAnsiTheme="majorHAnsi" w:cstheme="majorHAnsi"/>
                <w:bCs/>
              </w:rPr>
              <w:t xml:space="preserve"> </w:t>
            </w:r>
          </w:p>
        </w:tc>
      </w:tr>
      <w:tr w:rsidR="00363248" w:rsidRPr="00485F85" w14:paraId="7D4AF0E7" w14:textId="77777777" w:rsidTr="00DE19E1">
        <w:tc>
          <w:tcPr>
            <w:tcW w:w="905" w:type="dxa"/>
            <w:tcBorders>
              <w:top w:val="single" w:sz="4" w:space="0" w:color="auto"/>
              <w:left w:val="single" w:sz="4" w:space="0" w:color="auto"/>
              <w:bottom w:val="single" w:sz="4" w:space="0" w:color="auto"/>
              <w:right w:val="single" w:sz="4" w:space="0" w:color="auto"/>
            </w:tcBorders>
          </w:tcPr>
          <w:p w14:paraId="6D9EF2F4" w14:textId="733936D6" w:rsidR="00363248" w:rsidRPr="00485F85" w:rsidRDefault="00363248" w:rsidP="00DE19E1">
            <w:pPr>
              <w:spacing w:line="360" w:lineRule="auto"/>
              <w:jc w:val="both"/>
              <w:rPr>
                <w:rFonts w:asciiTheme="majorHAnsi" w:hAnsiTheme="majorHAnsi" w:cstheme="majorHAnsi"/>
                <w:b/>
              </w:rPr>
            </w:pPr>
            <w:bookmarkStart w:id="57" w:name="_Hlk79965676"/>
            <w:r w:rsidRPr="00485F85">
              <w:rPr>
                <w:rFonts w:asciiTheme="majorHAnsi" w:hAnsiTheme="majorHAnsi" w:cstheme="majorHAnsi"/>
                <w:b/>
              </w:rPr>
              <w:lastRenderedPageBreak/>
              <w:t>Dimensão 2. Infraestrutura Física</w:t>
            </w:r>
            <w:bookmarkEnd w:id="57"/>
          </w:p>
        </w:tc>
        <w:tc>
          <w:tcPr>
            <w:tcW w:w="3461" w:type="dxa"/>
            <w:tcBorders>
              <w:top w:val="single" w:sz="4" w:space="0" w:color="auto"/>
              <w:left w:val="single" w:sz="4" w:space="0" w:color="auto"/>
              <w:bottom w:val="single" w:sz="4" w:space="0" w:color="auto"/>
              <w:right w:val="single" w:sz="4" w:space="0" w:color="auto"/>
            </w:tcBorders>
          </w:tcPr>
          <w:p w14:paraId="1055EE55"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A quantidade de Colleges e Halls existentes bem como a diversidade  de suas  proporciona aos alunos da graduação e pós-gaduação a oportunidade de espaços estimulantes para a aprendizagem e o convívio.</w:t>
            </w:r>
          </w:p>
          <w:p w14:paraId="4BA4D9C4" w14:textId="77777777" w:rsidR="00363248" w:rsidRPr="00485F85" w:rsidRDefault="00363248" w:rsidP="00DE19E1">
            <w:pPr>
              <w:spacing w:after="160" w:line="360" w:lineRule="auto"/>
              <w:jc w:val="both"/>
              <w:rPr>
                <w:rFonts w:asciiTheme="majorHAnsi" w:hAnsiTheme="majorHAnsi" w:cstheme="majorHAnsi"/>
                <w:bCs/>
              </w:rPr>
            </w:pPr>
          </w:p>
          <w:p w14:paraId="0E431876"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A criação do GLAM fortalece a aproximação com a comunidade e otimiza os serviços culturais e informacionais da instituição</w:t>
            </w:r>
          </w:p>
          <w:p w14:paraId="3F0E1BB1" w14:textId="77777777" w:rsidR="00363248" w:rsidRPr="00485F85" w:rsidRDefault="00363248" w:rsidP="00DE19E1">
            <w:pPr>
              <w:spacing w:after="160" w:line="360" w:lineRule="auto"/>
              <w:jc w:val="both"/>
              <w:rPr>
                <w:rFonts w:asciiTheme="majorHAnsi" w:hAnsiTheme="majorHAnsi" w:cstheme="majorHAnsi"/>
                <w:bCs/>
              </w:rPr>
            </w:pPr>
          </w:p>
          <w:p w14:paraId="1B493151"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Escritório que centraliza as ações de manutenção e serviços de refeições.</w:t>
            </w:r>
          </w:p>
          <w:p w14:paraId="61F5A5FF" w14:textId="77777777" w:rsidR="00363248" w:rsidRPr="00485F85" w:rsidRDefault="00363248" w:rsidP="00DE19E1">
            <w:pPr>
              <w:spacing w:after="160" w:line="360" w:lineRule="auto"/>
              <w:jc w:val="both"/>
              <w:rPr>
                <w:rFonts w:asciiTheme="majorHAnsi" w:hAnsiTheme="majorHAnsi" w:cstheme="majorHAnsi"/>
                <w:bCs/>
              </w:rPr>
            </w:pPr>
          </w:p>
          <w:p w14:paraId="05DB651E" w14:textId="77777777" w:rsidR="00363248" w:rsidRPr="00485F85" w:rsidRDefault="00363248"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27EE22F8"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Apesar da Universidade fornecer muitas informações para o público notou-se poucos relatos a respeito dos laboratórios e espaços de práticas de acadêmicas no site em geral. Tudo isso porque esses espaços estão espalhados por todas as esferas de Oxford. Sejam nos Colleges, Divisões Acadêmicas, Facultes ou Departamentos. Assim, para conhecer melhor essas instalações, os alunos precisam navegar nos sites das diversas esferas da universidade, bem como conhecer os espaços de trabalho inloco.</w:t>
            </w:r>
          </w:p>
          <w:p w14:paraId="75C05D2E" w14:textId="77777777" w:rsidR="00363248" w:rsidRPr="00485F85" w:rsidRDefault="00363248" w:rsidP="00DE19E1">
            <w:pPr>
              <w:spacing w:after="160" w:line="360" w:lineRule="auto"/>
              <w:jc w:val="both"/>
              <w:rPr>
                <w:rFonts w:asciiTheme="majorHAnsi" w:hAnsiTheme="majorHAnsi" w:cstheme="majorHAnsi"/>
                <w:bCs/>
              </w:rPr>
            </w:pPr>
          </w:p>
          <w:p w14:paraId="6FC3ACC9" w14:textId="77777777" w:rsidR="00363248" w:rsidRPr="00485F85" w:rsidRDefault="00363248" w:rsidP="00DE19E1">
            <w:pPr>
              <w:spacing w:after="160" w:line="360" w:lineRule="auto"/>
              <w:jc w:val="both"/>
              <w:rPr>
                <w:rFonts w:asciiTheme="majorHAnsi" w:hAnsiTheme="majorHAnsi" w:cstheme="majorHAnsi"/>
                <w:bCs/>
              </w:rPr>
            </w:pPr>
          </w:p>
          <w:p w14:paraId="4CC2E7B8" w14:textId="77777777" w:rsidR="00363248" w:rsidRPr="00485F85" w:rsidRDefault="00363248" w:rsidP="00DE19E1">
            <w:pPr>
              <w:spacing w:line="360" w:lineRule="auto"/>
              <w:jc w:val="both"/>
              <w:rPr>
                <w:rFonts w:asciiTheme="majorHAnsi" w:hAnsiTheme="majorHAnsi" w:cstheme="majorHAnsi"/>
                <w:b/>
              </w:rPr>
            </w:pPr>
          </w:p>
        </w:tc>
        <w:tc>
          <w:tcPr>
            <w:tcW w:w="4136" w:type="dxa"/>
            <w:tcBorders>
              <w:top w:val="single" w:sz="4" w:space="0" w:color="auto"/>
              <w:left w:val="single" w:sz="4" w:space="0" w:color="auto"/>
              <w:bottom w:val="single" w:sz="4" w:space="0" w:color="auto"/>
              <w:right w:val="single" w:sz="4" w:space="0" w:color="auto"/>
            </w:tcBorders>
          </w:tcPr>
          <w:p w14:paraId="40C89D9F"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lastRenderedPageBreak/>
              <w:t>- A Universidade mostrou evidências de que a descentralização de seus espaços para práticas acadêmicas como laboratórios, salas de estudo e convívio funciona bem e está aderente com as propostas educativas de cada área/College, Faculties, Divisão Acadêmica ou Departamento.</w:t>
            </w:r>
          </w:p>
          <w:p w14:paraId="6B53A750" w14:textId="77777777" w:rsidR="00363248" w:rsidRPr="00485F85" w:rsidRDefault="00363248" w:rsidP="00DE19E1">
            <w:pPr>
              <w:spacing w:line="360" w:lineRule="auto"/>
              <w:jc w:val="both"/>
              <w:rPr>
                <w:rFonts w:asciiTheme="majorHAnsi" w:hAnsiTheme="majorHAnsi" w:cstheme="majorHAnsi"/>
              </w:rPr>
            </w:pPr>
          </w:p>
          <w:p w14:paraId="03469E01"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Oxford dá indícios de que suas metas e diretrizes também envolvem sua infraestrutura física. Como possui diretrizes com foco em sustentabilidade, a Universidade reconhece que seus laboratórios são responsáveis ​​por mais de 60% do consumo total de energia e emissões de carbono em toda a Universidade. E para resolver isso, a equipe de Sustentabilidade Ambiental criou o programa Laboratórios Sustentáveis, que se concentra especificamente na redução de energia para gerar sustentabilidade em laboratórios. Desse modo, Oxford Encoraja e apoia as melhores práticas para que a </w:t>
            </w:r>
            <w:r w:rsidRPr="00485F85">
              <w:rPr>
                <w:rFonts w:asciiTheme="majorHAnsi" w:hAnsiTheme="majorHAnsi" w:cstheme="majorHAnsi"/>
              </w:rPr>
              <w:lastRenderedPageBreak/>
              <w:t xml:space="preserve">sustentabilidade se torne parte integrante do trabalho diário de seus laboratórios.  </w:t>
            </w:r>
            <w:hyperlink r:id="rId272" w:history="1">
              <w:r w:rsidRPr="00485F85">
                <w:rPr>
                  <w:rStyle w:val="Hyperlink"/>
                  <w:rFonts w:asciiTheme="majorHAnsi" w:hAnsiTheme="majorHAnsi" w:cstheme="majorHAnsi"/>
                </w:rPr>
                <w:t>https://sustainability.admin.ox.ac.uk/labs</w:t>
              </w:r>
            </w:hyperlink>
            <w:r w:rsidRPr="00485F85">
              <w:rPr>
                <w:rFonts w:asciiTheme="majorHAnsi" w:hAnsiTheme="majorHAnsi" w:cstheme="majorHAnsi"/>
              </w:rPr>
              <w:t xml:space="preserve"> </w:t>
            </w:r>
          </w:p>
          <w:p w14:paraId="47283C3E" w14:textId="77777777" w:rsidR="00363248" w:rsidRPr="00485F85" w:rsidRDefault="00363248" w:rsidP="00DE19E1">
            <w:pPr>
              <w:spacing w:line="360" w:lineRule="auto"/>
              <w:jc w:val="both"/>
              <w:rPr>
                <w:rFonts w:asciiTheme="majorHAnsi" w:hAnsiTheme="majorHAnsi" w:cstheme="majorHAnsi"/>
              </w:rPr>
            </w:pPr>
          </w:p>
          <w:p w14:paraId="6D9BF2FC" w14:textId="77777777" w:rsidR="00363248" w:rsidRPr="00485F85" w:rsidRDefault="00363248" w:rsidP="00DE19E1">
            <w:pPr>
              <w:spacing w:line="360" w:lineRule="auto"/>
              <w:jc w:val="both"/>
              <w:rPr>
                <w:rFonts w:asciiTheme="majorHAnsi" w:hAnsiTheme="majorHAnsi" w:cstheme="majorHAnsi"/>
              </w:rPr>
            </w:pPr>
          </w:p>
          <w:p w14:paraId="12C5A3F0"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própria criação da divisão de GLAM que cuida dos Museus, Bibliotecas e Jardins da Universidade pode ser considerada uma boa prática. Com a gestão descentralizada e um escritório fortalecido, eles conseguem organizar, além das necessidades acadêmicas dos alunos (congressos, funcionamento pleno das bibliotecas e museus), demandas externas da comunidade, como passeios turísticos, casamentos, sinfonias ao ar livre, exposições entre outras atividades. A divisão faz isso por meio de seus programas e projetos: </w:t>
            </w:r>
            <w:hyperlink r:id="rId273" w:anchor="/" w:history="1">
              <w:r w:rsidRPr="00485F85">
                <w:rPr>
                  <w:rStyle w:val="Hyperlink"/>
                  <w:rFonts w:asciiTheme="majorHAnsi" w:hAnsiTheme="majorHAnsi" w:cstheme="majorHAnsi"/>
                  <w:bCs/>
                </w:rPr>
                <w:t>https://www.glam.ox.ac.uk/programmes-and-projects#/</w:t>
              </w:r>
            </w:hyperlink>
            <w:r w:rsidRPr="00485F85">
              <w:rPr>
                <w:rFonts w:asciiTheme="majorHAnsi" w:hAnsiTheme="majorHAnsi" w:cstheme="majorHAnsi"/>
                <w:bCs/>
              </w:rPr>
              <w:t xml:space="preserve"> entre eles:</w:t>
            </w:r>
          </w:p>
          <w:p w14:paraId="432EE15D" w14:textId="77777777" w:rsidR="00363248" w:rsidRPr="00485F85" w:rsidRDefault="00363248" w:rsidP="00DE19E1">
            <w:pPr>
              <w:spacing w:after="160" w:line="360" w:lineRule="auto"/>
              <w:jc w:val="both"/>
              <w:rPr>
                <w:rFonts w:asciiTheme="majorHAnsi" w:hAnsiTheme="majorHAnsi" w:cstheme="majorHAnsi"/>
                <w:bCs/>
              </w:rPr>
            </w:pPr>
          </w:p>
          <w:p w14:paraId="788888F2" w14:textId="77777777"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t>Bem-estar e prescrição social</w:t>
            </w:r>
          </w:p>
          <w:p w14:paraId="28FA95CA"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Membros da equipe de Jardins, Bibliotecas e Museus (GLAM) da Universidade de Oxford estão trabalhando com diferentes professores para explorar maneiras de apoiar pessoas com necessidades especiais.</w:t>
            </w:r>
          </w:p>
          <w:p w14:paraId="30513330" w14:textId="77777777" w:rsidR="00363248" w:rsidRPr="00485F85" w:rsidRDefault="00363248" w:rsidP="00DE19E1">
            <w:pPr>
              <w:spacing w:line="360" w:lineRule="auto"/>
              <w:jc w:val="both"/>
              <w:rPr>
                <w:rFonts w:asciiTheme="majorHAnsi" w:hAnsiTheme="majorHAnsi" w:cstheme="majorHAnsi"/>
                <w:bCs/>
              </w:rPr>
            </w:pPr>
          </w:p>
          <w:p w14:paraId="362572E2" w14:textId="77777777"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t>Trabalho comunitário</w:t>
            </w:r>
          </w:p>
          <w:p w14:paraId="55B515A7"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O Serviço de Trabalho Comunitário oferece workshops e programas gratuitos para grupos comunitários de adultos, alunos </w:t>
            </w:r>
            <w:r w:rsidRPr="00485F85">
              <w:rPr>
                <w:rFonts w:asciiTheme="majorHAnsi" w:hAnsiTheme="majorHAnsi" w:cstheme="majorHAnsi"/>
                <w:bCs/>
              </w:rPr>
              <w:lastRenderedPageBreak/>
              <w:t xml:space="preserve">adultos e grupos de aprendizagem familiar. </w:t>
            </w:r>
          </w:p>
          <w:p w14:paraId="1F0C816F" w14:textId="77777777" w:rsidR="00363248" w:rsidRPr="00485F85" w:rsidRDefault="00363248" w:rsidP="00DE19E1">
            <w:pPr>
              <w:spacing w:line="360" w:lineRule="auto"/>
              <w:jc w:val="both"/>
              <w:rPr>
                <w:rFonts w:asciiTheme="majorHAnsi" w:hAnsiTheme="majorHAnsi" w:cstheme="majorHAnsi"/>
                <w:bCs/>
              </w:rPr>
            </w:pPr>
          </w:p>
          <w:p w14:paraId="3DCE4A07" w14:textId="77777777"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t>Programa GLAM Digital</w:t>
            </w:r>
          </w:p>
          <w:p w14:paraId="2DFACC0E"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A divisão está trabalhando para tornar as coleções exclusivas disponíveis on-line para preservá-las e protegê-las para as gerações futuras.</w:t>
            </w:r>
          </w:p>
          <w:p w14:paraId="097302F1" w14:textId="77777777" w:rsidR="00363248" w:rsidRPr="00485F85" w:rsidRDefault="00363248" w:rsidP="00DE19E1">
            <w:pPr>
              <w:spacing w:after="160" w:line="360" w:lineRule="auto"/>
              <w:jc w:val="both"/>
              <w:rPr>
                <w:rFonts w:asciiTheme="majorHAnsi" w:hAnsiTheme="majorHAnsi" w:cstheme="majorHAnsi"/>
                <w:bCs/>
              </w:rPr>
            </w:pPr>
          </w:p>
          <w:p w14:paraId="1C448077"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O usufruto das instalações da Universidade por quem não é vinculado à Instituição, também pode ser considerada uma boa prática. Em seu site principal Oxford cita como pessoas em geral, vinculadas e não vinculadas à Universidade podem se beneficiar de suas instalações e recursos.</w:t>
            </w:r>
          </w:p>
          <w:p w14:paraId="0B010F74" w14:textId="77777777" w:rsidR="00363248" w:rsidRPr="00485F85" w:rsidRDefault="00363248" w:rsidP="00DE19E1">
            <w:pPr>
              <w:spacing w:line="360" w:lineRule="auto"/>
              <w:jc w:val="both"/>
              <w:rPr>
                <w:rFonts w:asciiTheme="majorHAnsi" w:hAnsiTheme="majorHAnsi" w:cstheme="majorHAnsi"/>
              </w:rPr>
            </w:pPr>
          </w:p>
          <w:p w14:paraId="42BA8DC9"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Ela cita quatro formas diferentes:</w:t>
            </w:r>
          </w:p>
          <w:p w14:paraId="09DE3E27" w14:textId="77777777" w:rsidR="00363248" w:rsidRPr="00485F85" w:rsidRDefault="00363248" w:rsidP="00DE19E1">
            <w:pPr>
              <w:spacing w:line="360" w:lineRule="auto"/>
              <w:jc w:val="both"/>
              <w:rPr>
                <w:rFonts w:asciiTheme="majorHAnsi" w:hAnsiTheme="majorHAnsi" w:cstheme="majorHAnsi"/>
              </w:rPr>
            </w:pPr>
          </w:p>
          <w:p w14:paraId="2E030163" w14:textId="77777777" w:rsidR="00363248" w:rsidRPr="00485F85" w:rsidRDefault="00363248" w:rsidP="00DE19E1">
            <w:pPr>
              <w:spacing w:line="360" w:lineRule="auto"/>
              <w:jc w:val="both"/>
              <w:rPr>
                <w:rFonts w:asciiTheme="majorHAnsi" w:hAnsiTheme="majorHAnsi" w:cstheme="majorHAnsi"/>
                <w:b/>
                <w:bCs/>
              </w:rPr>
            </w:pPr>
            <w:r w:rsidRPr="00485F85">
              <w:rPr>
                <w:rFonts w:asciiTheme="majorHAnsi" w:hAnsiTheme="majorHAnsi" w:cstheme="majorHAnsi"/>
                <w:b/>
                <w:bCs/>
              </w:rPr>
              <w:t>Use equipamentos e recursos</w:t>
            </w:r>
          </w:p>
          <w:p w14:paraId="4458F4AD"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Beneficie-se das instalações, recursos e equipamentos de pesquisa de classe mundial de Oxford.</w:t>
            </w:r>
          </w:p>
          <w:p w14:paraId="23AF7627" w14:textId="77777777" w:rsidR="00363248" w:rsidRPr="00485F85" w:rsidRDefault="00363248" w:rsidP="00DE19E1">
            <w:pPr>
              <w:spacing w:line="360" w:lineRule="auto"/>
              <w:jc w:val="both"/>
              <w:rPr>
                <w:rFonts w:asciiTheme="majorHAnsi" w:hAnsiTheme="majorHAnsi" w:cstheme="majorHAnsi"/>
              </w:rPr>
            </w:pPr>
          </w:p>
          <w:p w14:paraId="1D547FD3" w14:textId="77777777" w:rsidR="00363248" w:rsidRPr="00485F85" w:rsidRDefault="00363248" w:rsidP="00DE19E1">
            <w:pPr>
              <w:spacing w:line="360" w:lineRule="auto"/>
              <w:jc w:val="both"/>
              <w:rPr>
                <w:rFonts w:asciiTheme="majorHAnsi" w:hAnsiTheme="majorHAnsi" w:cstheme="majorHAnsi"/>
                <w:b/>
                <w:bCs/>
              </w:rPr>
            </w:pPr>
            <w:r w:rsidRPr="00485F85">
              <w:rPr>
                <w:rFonts w:asciiTheme="majorHAnsi" w:hAnsiTheme="majorHAnsi" w:cstheme="majorHAnsi"/>
                <w:b/>
                <w:bCs/>
              </w:rPr>
              <w:t>Expanda seus negócios em Oxford</w:t>
            </w:r>
          </w:p>
          <w:p w14:paraId="4DB88A55"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Encontre espaço, encontre as pessoas certas, encontre suporte, acesse as instalações e os recursos de que você precisa para crescer ou expandir seus negócios.</w:t>
            </w:r>
          </w:p>
          <w:p w14:paraId="3B9FC010" w14:textId="77777777" w:rsidR="00363248" w:rsidRPr="00485F85" w:rsidRDefault="00363248" w:rsidP="00DE19E1">
            <w:pPr>
              <w:spacing w:line="360" w:lineRule="auto"/>
              <w:jc w:val="both"/>
              <w:rPr>
                <w:rFonts w:asciiTheme="majorHAnsi" w:hAnsiTheme="majorHAnsi" w:cstheme="majorHAnsi"/>
              </w:rPr>
            </w:pPr>
          </w:p>
          <w:p w14:paraId="7A97EFD7" w14:textId="77777777" w:rsidR="00363248" w:rsidRPr="00485F85" w:rsidRDefault="00363248" w:rsidP="00DE19E1">
            <w:pPr>
              <w:spacing w:line="360" w:lineRule="auto"/>
              <w:jc w:val="both"/>
              <w:rPr>
                <w:rFonts w:asciiTheme="majorHAnsi" w:hAnsiTheme="majorHAnsi" w:cstheme="majorHAnsi"/>
                <w:b/>
                <w:bCs/>
              </w:rPr>
            </w:pPr>
            <w:r w:rsidRPr="00485F85">
              <w:rPr>
                <w:rFonts w:asciiTheme="majorHAnsi" w:hAnsiTheme="majorHAnsi" w:cstheme="majorHAnsi"/>
                <w:b/>
                <w:bCs/>
              </w:rPr>
              <w:t>Licença de tecnologia de Oxford</w:t>
            </w:r>
          </w:p>
          <w:p w14:paraId="31D8F6A1"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Descubra como você pode licenciar </w:t>
            </w:r>
            <w:r w:rsidRPr="00485F85">
              <w:rPr>
                <w:rFonts w:asciiTheme="majorHAnsi" w:hAnsiTheme="majorHAnsi" w:cstheme="majorHAnsi"/>
              </w:rPr>
              <w:lastRenderedPageBreak/>
              <w:t>tecnologia e pesquisar no nosso portfólio de tecnologia.</w:t>
            </w:r>
          </w:p>
          <w:p w14:paraId="6B7A4B23" w14:textId="77777777" w:rsidR="00363248" w:rsidRPr="00485F85" w:rsidRDefault="00363248" w:rsidP="00DE19E1">
            <w:pPr>
              <w:spacing w:line="360" w:lineRule="auto"/>
              <w:jc w:val="both"/>
              <w:rPr>
                <w:rFonts w:asciiTheme="majorHAnsi" w:hAnsiTheme="majorHAnsi" w:cstheme="majorHAnsi"/>
              </w:rPr>
            </w:pPr>
          </w:p>
          <w:p w14:paraId="4DA176F3" w14:textId="77777777" w:rsidR="00363248" w:rsidRPr="00485F85" w:rsidRDefault="00363248" w:rsidP="00DE19E1">
            <w:pPr>
              <w:spacing w:line="360" w:lineRule="auto"/>
              <w:jc w:val="both"/>
              <w:rPr>
                <w:rFonts w:asciiTheme="majorHAnsi" w:hAnsiTheme="majorHAnsi" w:cstheme="majorHAnsi"/>
                <w:b/>
                <w:bCs/>
              </w:rPr>
            </w:pPr>
            <w:r w:rsidRPr="00485F85">
              <w:rPr>
                <w:rFonts w:asciiTheme="majorHAnsi" w:hAnsiTheme="majorHAnsi" w:cstheme="majorHAnsi"/>
                <w:b/>
                <w:bCs/>
              </w:rPr>
              <w:t>Organize um evento</w:t>
            </w:r>
          </w:p>
          <w:p w14:paraId="465D1E38"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Conference Oxford é o escritório central de marketing de conferências da University of Oxford and Colleges.</w:t>
            </w:r>
          </w:p>
          <w:p w14:paraId="7D5D314B"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O link a seguir mostra essa referência: </w:t>
            </w:r>
          </w:p>
          <w:p w14:paraId="7B38FA1C" w14:textId="77777777" w:rsidR="00363248" w:rsidRPr="00485F85" w:rsidRDefault="00A515B3" w:rsidP="00DE19E1">
            <w:pPr>
              <w:spacing w:after="160" w:line="360" w:lineRule="auto"/>
              <w:jc w:val="both"/>
              <w:rPr>
                <w:rStyle w:val="Hyperlink"/>
                <w:rFonts w:asciiTheme="majorHAnsi" w:hAnsiTheme="majorHAnsi" w:cstheme="majorHAnsi"/>
                <w:color w:val="auto"/>
              </w:rPr>
            </w:pPr>
            <w:hyperlink r:id="rId274" w:history="1">
              <w:r w:rsidR="00363248" w:rsidRPr="00485F85">
                <w:rPr>
                  <w:rStyle w:val="Hyperlink"/>
                  <w:rFonts w:asciiTheme="majorHAnsi" w:hAnsiTheme="majorHAnsi" w:cstheme="majorHAnsi"/>
                </w:rPr>
                <w:t>https://www.ox.ac.uk/research/innovation-and-partnership/resources-facilities</w:t>
              </w:r>
            </w:hyperlink>
          </w:p>
          <w:p w14:paraId="53E00BB7" w14:textId="77777777" w:rsidR="00363248" w:rsidRPr="00485F85" w:rsidRDefault="00363248" w:rsidP="00DE19E1">
            <w:pPr>
              <w:spacing w:after="160" w:line="360" w:lineRule="auto"/>
              <w:jc w:val="both"/>
              <w:rPr>
                <w:rStyle w:val="Hyperlink"/>
                <w:rFonts w:asciiTheme="majorHAnsi" w:hAnsiTheme="majorHAnsi" w:cstheme="majorHAnsi"/>
              </w:rPr>
            </w:pPr>
          </w:p>
          <w:p w14:paraId="552E5BF2"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gestão patrimonial de Oxford é realizada a partir da área de “Estates Services” responsável pela manutenção predial e oferta de serviços compartilhados. Sua gama de serviços vai desde a oferta de cafés e refeições até a gestão de jardins, instalações prediais, segurança, iluminação, locação de espaço até gerenciamento de crises.</w:t>
            </w:r>
          </w:p>
          <w:p w14:paraId="6C40640B" w14:textId="6E8A4567"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rPr>
              <w:t xml:space="preserve"> </w:t>
            </w:r>
            <w:hyperlink r:id="rId275" w:anchor="/" w:history="1">
              <w:r w:rsidRPr="00485F85">
                <w:rPr>
                  <w:rStyle w:val="Hyperlink"/>
                  <w:rFonts w:asciiTheme="majorHAnsi" w:hAnsiTheme="majorHAnsi" w:cstheme="majorHAnsi"/>
                </w:rPr>
                <w:t>https://estates.admin.ox.ac.uk/#/</w:t>
              </w:r>
            </w:hyperlink>
            <w:r w:rsidRPr="00485F85">
              <w:rPr>
                <w:rFonts w:asciiTheme="majorHAnsi" w:hAnsiTheme="majorHAnsi" w:cstheme="majorHAnsi"/>
              </w:rPr>
              <w:t xml:space="preserve"> </w:t>
            </w:r>
          </w:p>
        </w:tc>
      </w:tr>
      <w:tr w:rsidR="00363248" w:rsidRPr="00485F85" w14:paraId="26AF4F6D" w14:textId="77777777" w:rsidTr="00DE19E1">
        <w:tc>
          <w:tcPr>
            <w:tcW w:w="905" w:type="dxa"/>
            <w:tcBorders>
              <w:top w:val="single" w:sz="4" w:space="0" w:color="auto"/>
              <w:left w:val="single" w:sz="4" w:space="0" w:color="auto"/>
              <w:bottom w:val="single" w:sz="4" w:space="0" w:color="auto"/>
              <w:right w:val="single" w:sz="4" w:space="0" w:color="auto"/>
            </w:tcBorders>
          </w:tcPr>
          <w:p w14:paraId="6591C964" w14:textId="6D271EB8"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3. Comunidade Universitária/ Acadêmica</w:t>
            </w:r>
          </w:p>
        </w:tc>
        <w:tc>
          <w:tcPr>
            <w:tcW w:w="3461" w:type="dxa"/>
            <w:tcBorders>
              <w:top w:val="single" w:sz="4" w:space="0" w:color="auto"/>
              <w:left w:val="single" w:sz="4" w:space="0" w:color="auto"/>
              <w:bottom w:val="single" w:sz="4" w:space="0" w:color="auto"/>
              <w:right w:val="single" w:sz="4" w:space="0" w:color="auto"/>
            </w:tcBorders>
          </w:tcPr>
          <w:p w14:paraId="6664F94E"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Turmas reduzidas com possibilidade de realizar aulas direcionadas.</w:t>
            </w:r>
          </w:p>
          <w:p w14:paraId="4ABD137B" w14:textId="77777777" w:rsidR="00363248" w:rsidRPr="00485F85" w:rsidRDefault="00363248" w:rsidP="00DE19E1">
            <w:pPr>
              <w:spacing w:after="160" w:line="360" w:lineRule="auto"/>
              <w:jc w:val="both"/>
              <w:rPr>
                <w:rFonts w:asciiTheme="majorHAnsi" w:hAnsiTheme="majorHAnsi" w:cstheme="majorHAnsi"/>
                <w:bCs/>
              </w:rPr>
            </w:pPr>
          </w:p>
          <w:p w14:paraId="52A12FF9"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Processo Seletivo realizado de forma coletiva. Muitas portas de entrada na Instituição.</w:t>
            </w:r>
          </w:p>
          <w:p w14:paraId="0CBA3894" w14:textId="77777777" w:rsidR="00363248" w:rsidRPr="00485F85" w:rsidRDefault="00363248" w:rsidP="00DE19E1">
            <w:pPr>
              <w:spacing w:after="160" w:line="360" w:lineRule="auto"/>
              <w:jc w:val="both"/>
              <w:rPr>
                <w:rFonts w:asciiTheme="majorHAnsi" w:hAnsiTheme="majorHAnsi" w:cstheme="majorHAnsi"/>
                <w:bCs/>
              </w:rPr>
            </w:pPr>
          </w:p>
          <w:p w14:paraId="5F19466D"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Universidade de Oxford possui seus </w:t>
            </w:r>
            <w:r w:rsidRPr="00485F85">
              <w:rPr>
                <w:rFonts w:asciiTheme="majorHAnsi" w:hAnsiTheme="majorHAnsi" w:cstheme="majorHAnsi"/>
                <w:bCs/>
              </w:rPr>
              <w:lastRenderedPageBreak/>
              <w:t>esforços voltados para excelência em Pós-Graduação uma vez que a quantidade de vagas ofertadas é quase 3 vezes maior (3.932 na Graduação e :9.213 na pós-graduação).</w:t>
            </w:r>
          </w:p>
          <w:p w14:paraId="67AFBA6F" w14:textId="77777777" w:rsidR="00363248" w:rsidRPr="00485F85" w:rsidRDefault="00363248" w:rsidP="00DE19E1">
            <w:pPr>
              <w:spacing w:after="160" w:line="360" w:lineRule="auto"/>
              <w:jc w:val="both"/>
              <w:rPr>
                <w:rFonts w:asciiTheme="majorHAnsi" w:hAnsiTheme="majorHAnsi" w:cstheme="majorHAnsi"/>
                <w:bCs/>
              </w:rPr>
            </w:pPr>
          </w:p>
          <w:p w14:paraId="5B90114F"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A quantidade de gestores nomeados abarca suficientemente a gestão descentralizada proposta pela Universidade</w:t>
            </w:r>
          </w:p>
          <w:p w14:paraId="40F4ED80" w14:textId="77777777" w:rsidR="00363248" w:rsidRPr="00485F85" w:rsidRDefault="00363248" w:rsidP="00DE19E1">
            <w:pPr>
              <w:spacing w:after="160" w:line="360" w:lineRule="auto"/>
              <w:jc w:val="both"/>
              <w:rPr>
                <w:rFonts w:asciiTheme="majorHAnsi" w:hAnsiTheme="majorHAnsi" w:cstheme="majorHAnsi"/>
                <w:bCs/>
              </w:rPr>
            </w:pPr>
          </w:p>
          <w:p w14:paraId="24E7EE5A" w14:textId="7CECF4EC"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O processo de seleção considera a trajetória acadêmica do alunos além de oportunizar entrevistas e cartas de recomendação proporcionando uma seleção mais holística do aluno.</w:t>
            </w:r>
          </w:p>
        </w:tc>
        <w:tc>
          <w:tcPr>
            <w:tcW w:w="1641" w:type="dxa"/>
            <w:tcBorders>
              <w:top w:val="single" w:sz="4" w:space="0" w:color="auto"/>
              <w:left w:val="single" w:sz="4" w:space="0" w:color="auto"/>
              <w:bottom w:val="single" w:sz="4" w:space="0" w:color="auto"/>
              <w:right w:val="single" w:sz="4" w:space="0" w:color="auto"/>
            </w:tcBorders>
          </w:tcPr>
          <w:p w14:paraId="2DA010D6"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Apesar do grande número de aplicações foi observado que as vagas disponíveis não são completadas na totalidade. Ou seja, o número de aplicações é grande e ainda sobram  vagas a serem preenchidas.</w:t>
            </w:r>
          </w:p>
          <w:p w14:paraId="70B2AB9E"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Não foi encontrado no site o porquê dessa </w:t>
            </w:r>
            <w:r w:rsidRPr="00485F85">
              <w:rPr>
                <w:rFonts w:asciiTheme="majorHAnsi" w:hAnsiTheme="majorHAnsi" w:cstheme="majorHAnsi"/>
                <w:bCs/>
              </w:rPr>
              <w:lastRenderedPageBreak/>
              <w:t>“sobra” de vagas.</w:t>
            </w:r>
          </w:p>
          <w:p w14:paraId="116ED05A" w14:textId="77777777" w:rsidR="00363248" w:rsidRPr="00485F85" w:rsidRDefault="00363248" w:rsidP="00DE19E1">
            <w:pPr>
              <w:spacing w:after="160" w:line="360" w:lineRule="auto"/>
              <w:jc w:val="both"/>
              <w:rPr>
                <w:rFonts w:asciiTheme="majorHAnsi" w:hAnsiTheme="majorHAnsi" w:cstheme="majorHAnsi"/>
                <w:bCs/>
              </w:rPr>
            </w:pPr>
          </w:p>
          <w:p w14:paraId="633BBB39"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Apesar da maior quantidade de vagas da Instituição ser ofertada para a pós-graduação a maioria esmagadora de alunos tentantes é graduandos (23,414 graduandos inscritos para 3.932 vagas contra 30.861 candidatos da pós-graduação para 9.213 vagas) denotando que a estratégia de captação não é muito assertiva.</w:t>
            </w:r>
          </w:p>
          <w:p w14:paraId="70AFB12F" w14:textId="058A7232"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Cs/>
              </w:rPr>
              <w:t xml:space="preserve"> </w:t>
            </w:r>
          </w:p>
        </w:tc>
        <w:tc>
          <w:tcPr>
            <w:tcW w:w="4136" w:type="dxa"/>
            <w:tcBorders>
              <w:top w:val="single" w:sz="4" w:space="0" w:color="auto"/>
              <w:left w:val="single" w:sz="4" w:space="0" w:color="auto"/>
              <w:bottom w:val="single" w:sz="4" w:space="0" w:color="auto"/>
              <w:right w:val="single" w:sz="4" w:space="0" w:color="auto"/>
            </w:tcBorders>
          </w:tcPr>
          <w:p w14:paraId="2B4B9EA3"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lastRenderedPageBreak/>
              <w:t xml:space="preserve">- Oxford oferece indícios de que a quantidade de alunos por professores/administrativos(staff) é suficiente para tutoriar e atender outras demandas dos estudantes de pós ou graduação. A pesquisa indicou (a partir de dados da HESA e do site Times Higher Education) os seguintes parâmetros: </w:t>
            </w:r>
          </w:p>
          <w:p w14:paraId="0F11AF15"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O número aqui explícito é a divisão entre a quantidade de discentes total (25.820) pela quantidade de docentes total (6.995*) *Dados da Hesa.2019/2020</w:t>
            </w:r>
          </w:p>
          <w:p w14:paraId="34766044"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lastRenderedPageBreak/>
              <w:t>3,69 (alunos)</w:t>
            </w:r>
          </w:p>
          <w:p w14:paraId="3C57EDEA"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Outro valor foi extraído do site Times Higher Education*:  Nº de alunos por equipe 11,1 (alunos).</w:t>
            </w:r>
          </w:p>
          <w:p w14:paraId="144F025A"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Em ambas as opções nota-se um grupo muito pequeno de alunos por docente o que oportuniza uma didática mais personalizada e efetiva para os alunos.</w:t>
            </w:r>
          </w:p>
          <w:p w14:paraId="3619F017" w14:textId="77777777" w:rsidR="00363248" w:rsidRPr="00485F85" w:rsidRDefault="00363248" w:rsidP="00DE19E1">
            <w:pPr>
              <w:spacing w:line="360" w:lineRule="auto"/>
              <w:jc w:val="both"/>
              <w:rPr>
                <w:rFonts w:asciiTheme="majorHAnsi" w:hAnsiTheme="majorHAnsi" w:cstheme="majorHAnsi"/>
              </w:rPr>
            </w:pPr>
          </w:p>
          <w:p w14:paraId="1C1C8171" w14:textId="77777777" w:rsidR="00363248" w:rsidRPr="00485F85" w:rsidRDefault="00363248" w:rsidP="00DE19E1">
            <w:pPr>
              <w:spacing w:line="360" w:lineRule="auto"/>
              <w:jc w:val="both"/>
              <w:rPr>
                <w:rFonts w:asciiTheme="majorHAnsi" w:hAnsiTheme="majorHAnsi" w:cstheme="majorHAnsi"/>
              </w:rPr>
            </w:pPr>
          </w:p>
          <w:p w14:paraId="0C9E92C9"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partir da organização das informações e documentos encontrados, é possível perceber que a Universidade emprega colaboradores capazes de realizar as atividades inerentes aos cargos, elaborando políticas educativas e administrativas, bem como acompanhando e avaliando seus resultados.</w:t>
            </w:r>
          </w:p>
          <w:p w14:paraId="3A71EE7B" w14:textId="77777777" w:rsidR="00363248" w:rsidRPr="00485F85" w:rsidRDefault="00363248" w:rsidP="00DE19E1">
            <w:pPr>
              <w:spacing w:line="360" w:lineRule="auto"/>
              <w:jc w:val="both"/>
              <w:rPr>
                <w:rFonts w:asciiTheme="majorHAnsi" w:hAnsiTheme="majorHAnsi" w:cstheme="majorHAnsi"/>
              </w:rPr>
            </w:pPr>
          </w:p>
          <w:p w14:paraId="3FD6A6C5" w14:textId="77777777" w:rsidR="00363248" w:rsidRPr="00485F85" w:rsidRDefault="00363248" w:rsidP="00DE19E1">
            <w:pPr>
              <w:spacing w:line="360" w:lineRule="auto"/>
              <w:jc w:val="both"/>
              <w:rPr>
                <w:rFonts w:asciiTheme="majorHAnsi" w:hAnsiTheme="majorHAnsi" w:cstheme="majorHAnsi"/>
              </w:rPr>
            </w:pPr>
          </w:p>
          <w:p w14:paraId="28C8B559"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Universidade mostrou esforços em sempre manter sua comunidade acadêmica bem informada sobre seu funcionamento administrativo ou acadêmico e além do site recheado de informações consistentes também cria materiais específicos para cada necessidade de seu público a exemplo do que eles chamam de “folderes virtuais” com um guarda-chuva de informações bastante completo com foco nos alunos de graduação(</w:t>
            </w:r>
            <w:hyperlink r:id="rId276" w:history="1">
              <w:r w:rsidRPr="00485F85">
                <w:rPr>
                  <w:rStyle w:val="Hyperlink"/>
                  <w:rFonts w:asciiTheme="majorHAnsi" w:hAnsiTheme="majorHAnsi" w:cstheme="majorHAnsi"/>
                </w:rPr>
                <w:t>https://www.ox.ac.uk/digital-prospectus/ug-community/college</w:t>
              </w:r>
            </w:hyperlink>
            <w:r w:rsidRPr="00485F85">
              <w:rPr>
                <w:rFonts w:asciiTheme="majorHAnsi" w:hAnsiTheme="majorHAnsi" w:cstheme="majorHAnsi"/>
              </w:rPr>
              <w:t xml:space="preserve"> ) e pós-graduação (</w:t>
            </w:r>
            <w:hyperlink r:id="rId277" w:history="1">
              <w:r w:rsidRPr="00485F85">
                <w:rPr>
                  <w:rStyle w:val="Hyperlink"/>
                  <w:rFonts w:asciiTheme="majorHAnsi" w:hAnsiTheme="majorHAnsi" w:cstheme="majorHAnsi"/>
                </w:rPr>
                <w:t>https://www.ox.ac.uk/digital-prospectus/ug-community/college</w:t>
              </w:r>
            </w:hyperlink>
            <w:r w:rsidRPr="00485F85">
              <w:rPr>
                <w:rFonts w:asciiTheme="majorHAnsi" w:hAnsiTheme="majorHAnsi" w:cstheme="majorHAnsi"/>
              </w:rPr>
              <w:t xml:space="preserve">) . Os </w:t>
            </w:r>
            <w:r w:rsidRPr="00485F85">
              <w:rPr>
                <w:rFonts w:asciiTheme="majorHAnsi" w:hAnsiTheme="majorHAnsi" w:cstheme="majorHAnsi"/>
              </w:rPr>
              <w:lastRenderedPageBreak/>
              <w:t xml:space="preserve">colaboradores, não ficam de fora. Eles também possuem um excelente manual de integração.( </w:t>
            </w:r>
            <w:hyperlink r:id="rId278" w:anchor="collapse1596901" w:history="1">
              <w:r w:rsidRPr="00485F85">
                <w:rPr>
                  <w:rStyle w:val="Hyperlink"/>
                  <w:rFonts w:asciiTheme="majorHAnsi" w:hAnsiTheme="majorHAnsi" w:cstheme="majorHAnsi"/>
                </w:rPr>
                <w:t>https://hr.admin.ox.ac.uk/introduction-support-staff-handbook#collapse1596901</w:t>
              </w:r>
            </w:hyperlink>
            <w:r w:rsidRPr="00485F85">
              <w:rPr>
                <w:rFonts w:asciiTheme="majorHAnsi" w:hAnsiTheme="majorHAnsi" w:cstheme="majorHAnsi"/>
              </w:rPr>
              <w:t xml:space="preserve">) </w:t>
            </w:r>
          </w:p>
          <w:p w14:paraId="36E1F2BF" w14:textId="77777777" w:rsidR="00363248" w:rsidRPr="00485F85" w:rsidRDefault="00363248" w:rsidP="00DE19E1">
            <w:pPr>
              <w:spacing w:line="360" w:lineRule="auto"/>
              <w:jc w:val="both"/>
              <w:rPr>
                <w:rFonts w:asciiTheme="majorHAnsi" w:hAnsiTheme="majorHAnsi" w:cstheme="majorHAnsi"/>
              </w:rPr>
            </w:pPr>
          </w:p>
          <w:p w14:paraId="152A53F1" w14:textId="77777777" w:rsidR="00363248" w:rsidRPr="00485F85" w:rsidRDefault="00363248" w:rsidP="00DE19E1">
            <w:pPr>
              <w:spacing w:line="360" w:lineRule="auto"/>
              <w:jc w:val="both"/>
              <w:rPr>
                <w:rFonts w:asciiTheme="majorHAnsi" w:hAnsiTheme="majorHAnsi" w:cstheme="majorHAnsi"/>
              </w:rPr>
            </w:pPr>
          </w:p>
          <w:p w14:paraId="13E31421"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A Universidade demonstrou estar preocupada com a integração do aluno em seu processo de transição Escola/Universidade com o programa Opportunity Oxford.  O programa dá uma visão de como é a vida de um estudante de Oxford, quando os participantes chegam para iniciar seu curso de graduação, e assim, os calouros podem se sentir confiantes e saber exatamente o que se espera deles e o que esperar de Oxford. </w:t>
            </w:r>
            <w:hyperlink r:id="rId279" w:history="1">
              <w:r w:rsidRPr="00485F85">
                <w:rPr>
                  <w:rStyle w:val="Hyperlink"/>
                  <w:rFonts w:asciiTheme="majorHAnsi" w:hAnsiTheme="majorHAnsi" w:cstheme="majorHAnsi"/>
                </w:rPr>
                <w:t>https://www.ox.ac.uk/admissions/undergraduate/increasing-access/opportunity-oxford</w:t>
              </w:r>
            </w:hyperlink>
            <w:r w:rsidRPr="00485F85">
              <w:rPr>
                <w:rFonts w:asciiTheme="majorHAnsi" w:hAnsiTheme="majorHAnsi" w:cstheme="majorHAnsi"/>
              </w:rPr>
              <w:t xml:space="preserve"> </w:t>
            </w:r>
          </w:p>
          <w:p w14:paraId="0987E5B9" w14:textId="77777777" w:rsidR="00363248" w:rsidRPr="00485F85" w:rsidRDefault="00363248" w:rsidP="00DE19E1">
            <w:pPr>
              <w:spacing w:line="360" w:lineRule="auto"/>
              <w:jc w:val="both"/>
              <w:rPr>
                <w:rFonts w:asciiTheme="majorHAnsi" w:hAnsiTheme="majorHAnsi" w:cstheme="majorHAnsi"/>
              </w:rPr>
            </w:pPr>
          </w:p>
          <w:p w14:paraId="3D84925E" w14:textId="77777777" w:rsidR="00363248" w:rsidRPr="00485F85" w:rsidRDefault="00363248" w:rsidP="00DE19E1">
            <w:pPr>
              <w:spacing w:line="360" w:lineRule="auto"/>
              <w:jc w:val="both"/>
              <w:rPr>
                <w:rFonts w:asciiTheme="majorHAnsi" w:hAnsiTheme="majorHAnsi" w:cstheme="majorHAnsi"/>
              </w:rPr>
            </w:pPr>
          </w:p>
          <w:p w14:paraId="21F007C7"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A Universidade demonstrou se preocupar com o bem-estar de seus alunos. Ela está empenhada em fornecer um ambiente seguro e de apoio para eles por meio de serviços como: Cuidados de saúde, Aconselhamento e apoio para deficientes, Serviço de aconselhamento universitário, Oxford Nightline (é um serviço de escuta, informação e apoio independente e confidencial, administrado por estudantes para estudantes), Apoio à violência e </w:t>
            </w:r>
            <w:r w:rsidRPr="00485F85">
              <w:rPr>
                <w:rFonts w:asciiTheme="majorHAnsi" w:hAnsiTheme="majorHAnsi" w:cstheme="majorHAnsi"/>
              </w:rPr>
              <w:lastRenderedPageBreak/>
              <w:t xml:space="preserve">assédio sexual, Apoiadores de pares estudantis e o Serviço de aconselhamento ao estudante Oxford SU. </w:t>
            </w:r>
          </w:p>
          <w:p w14:paraId="106718CA" w14:textId="77777777" w:rsidR="00363248" w:rsidRPr="00485F85" w:rsidRDefault="00363248" w:rsidP="00DE19E1">
            <w:pPr>
              <w:spacing w:line="360" w:lineRule="auto"/>
              <w:jc w:val="both"/>
              <w:rPr>
                <w:rFonts w:asciiTheme="majorHAnsi" w:hAnsiTheme="majorHAnsi" w:cstheme="majorHAnsi"/>
              </w:rPr>
            </w:pPr>
          </w:p>
          <w:p w14:paraId="5E2EB966" w14:textId="77777777" w:rsidR="00363248" w:rsidRPr="00485F85" w:rsidRDefault="00363248" w:rsidP="00DE19E1">
            <w:pPr>
              <w:spacing w:line="360" w:lineRule="auto"/>
              <w:jc w:val="both"/>
              <w:rPr>
                <w:rFonts w:asciiTheme="majorHAnsi" w:hAnsiTheme="majorHAnsi" w:cstheme="majorHAnsi"/>
              </w:rPr>
            </w:pPr>
          </w:p>
          <w:p w14:paraId="418B6ADA"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Políticas de desenvolvimento de carreira e diversas outras são informadas e estão muito bem-organizadas num site totalmente dedicado aos colaboradores.</w:t>
            </w:r>
          </w:p>
          <w:p w14:paraId="1C8EFD25" w14:textId="77777777" w:rsidR="00363248" w:rsidRPr="00485F85" w:rsidRDefault="00A515B3" w:rsidP="00DE19E1">
            <w:pPr>
              <w:spacing w:line="360" w:lineRule="auto"/>
              <w:jc w:val="both"/>
              <w:rPr>
                <w:rStyle w:val="Hyperlink"/>
                <w:rFonts w:asciiTheme="majorHAnsi" w:hAnsiTheme="majorHAnsi" w:cstheme="majorHAnsi"/>
              </w:rPr>
            </w:pPr>
            <w:hyperlink r:id="rId280" w:anchor="/" w:history="1">
              <w:r w:rsidR="00363248" w:rsidRPr="00485F85">
                <w:rPr>
                  <w:rStyle w:val="Hyperlink"/>
                  <w:rFonts w:asciiTheme="majorHAnsi" w:hAnsiTheme="majorHAnsi" w:cstheme="majorHAnsi"/>
                </w:rPr>
                <w:t>https://hr.admin.ox.ac.uk/#/</w:t>
              </w:r>
            </w:hyperlink>
            <w:r w:rsidR="00363248" w:rsidRPr="00485F85">
              <w:rPr>
                <w:rStyle w:val="Hyperlink"/>
                <w:rFonts w:asciiTheme="majorHAnsi" w:hAnsiTheme="majorHAnsi" w:cstheme="majorHAnsi"/>
              </w:rPr>
              <w:t xml:space="preserve"> </w:t>
            </w:r>
          </w:p>
          <w:p w14:paraId="34924703" w14:textId="77777777" w:rsidR="00363248" w:rsidRPr="00485F85" w:rsidRDefault="00A515B3" w:rsidP="00DE19E1">
            <w:pPr>
              <w:spacing w:line="360" w:lineRule="auto"/>
              <w:jc w:val="both"/>
              <w:rPr>
                <w:rFonts w:asciiTheme="majorHAnsi" w:hAnsiTheme="majorHAnsi" w:cstheme="majorHAnsi"/>
              </w:rPr>
            </w:pPr>
            <w:hyperlink r:id="rId281" w:history="1">
              <w:r w:rsidR="00363248" w:rsidRPr="00485F85">
                <w:rPr>
                  <w:rStyle w:val="Hyperlink"/>
                  <w:rFonts w:asciiTheme="majorHAnsi" w:hAnsiTheme="majorHAnsi" w:cstheme="majorHAnsi"/>
                </w:rPr>
                <w:t>https://finance.admin.ox.ac.uk/payroll-information-for-staff</w:t>
              </w:r>
            </w:hyperlink>
            <w:r w:rsidR="00363248" w:rsidRPr="00485F85">
              <w:rPr>
                <w:rFonts w:asciiTheme="majorHAnsi" w:hAnsiTheme="majorHAnsi" w:cstheme="majorHAnsi"/>
              </w:rPr>
              <w:t xml:space="preserve"> </w:t>
            </w:r>
          </w:p>
          <w:p w14:paraId="6ABB1E5F" w14:textId="77777777" w:rsidR="00363248" w:rsidRPr="00485F85" w:rsidRDefault="00363248" w:rsidP="00DE19E1">
            <w:pPr>
              <w:spacing w:line="360" w:lineRule="auto"/>
              <w:jc w:val="both"/>
              <w:rPr>
                <w:rFonts w:asciiTheme="majorHAnsi" w:hAnsiTheme="majorHAnsi" w:cstheme="majorHAnsi"/>
              </w:rPr>
            </w:pPr>
          </w:p>
          <w:p w14:paraId="1F2D44A6" w14:textId="77777777" w:rsidR="00363248" w:rsidRPr="00485F85" w:rsidRDefault="00363248" w:rsidP="00DE19E1">
            <w:pPr>
              <w:spacing w:line="360" w:lineRule="auto"/>
              <w:jc w:val="both"/>
              <w:rPr>
                <w:rFonts w:asciiTheme="majorHAnsi" w:hAnsiTheme="majorHAnsi" w:cstheme="majorHAnsi"/>
                <w:b/>
              </w:rPr>
            </w:pPr>
          </w:p>
        </w:tc>
      </w:tr>
      <w:tr w:rsidR="00363248" w:rsidRPr="00485F85" w14:paraId="617E99E6" w14:textId="77777777" w:rsidTr="00DE19E1">
        <w:tc>
          <w:tcPr>
            <w:tcW w:w="905" w:type="dxa"/>
            <w:tcBorders>
              <w:top w:val="single" w:sz="4" w:space="0" w:color="auto"/>
              <w:left w:val="single" w:sz="4" w:space="0" w:color="auto"/>
              <w:bottom w:val="single" w:sz="4" w:space="0" w:color="auto"/>
              <w:right w:val="single" w:sz="4" w:space="0" w:color="auto"/>
            </w:tcBorders>
          </w:tcPr>
          <w:p w14:paraId="5106F19E" w14:textId="4B9CF515"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4. Ensino</w:t>
            </w:r>
          </w:p>
        </w:tc>
        <w:tc>
          <w:tcPr>
            <w:tcW w:w="3461" w:type="dxa"/>
            <w:tcBorders>
              <w:top w:val="single" w:sz="4" w:space="0" w:color="auto"/>
              <w:left w:val="single" w:sz="4" w:space="0" w:color="auto"/>
              <w:bottom w:val="single" w:sz="4" w:space="0" w:color="auto"/>
              <w:right w:val="single" w:sz="4" w:space="0" w:color="auto"/>
            </w:tcBorders>
          </w:tcPr>
          <w:p w14:paraId="000C66B3" w14:textId="7A7C7896" w:rsidR="001E7500" w:rsidRPr="00485F85" w:rsidRDefault="001E7500" w:rsidP="00DE19E1">
            <w:pPr>
              <w:spacing w:after="160" w:line="360" w:lineRule="auto"/>
              <w:jc w:val="both"/>
              <w:rPr>
                <w:rFonts w:asciiTheme="majorHAnsi" w:hAnsiTheme="majorHAnsi" w:cstheme="majorHAnsi"/>
                <w:bCs/>
              </w:rPr>
            </w:pPr>
            <w:r w:rsidRPr="00485F85">
              <w:rPr>
                <w:rFonts w:asciiTheme="majorHAnsi" w:hAnsiTheme="majorHAnsi" w:cstheme="majorHAnsi"/>
                <w:bCs/>
              </w:rPr>
              <w:t>- Oferta de Bolsas e Financiamentos para graduação e pós-graduação.</w:t>
            </w:r>
          </w:p>
          <w:p w14:paraId="5535B41F" w14:textId="2910AEBE"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Colleges, Faculties, e Divisões Acadêmicas podem oferecer os mesmos cursos porém com abordagens diferentes sem gerar concorrência interna, mas trazendo a oportunidade de se pensar a disciplina/cursos por abordagens diferentes </w:t>
            </w:r>
            <w:hyperlink r:id="rId282" w:history="1">
              <w:r w:rsidRPr="00485F85">
                <w:rPr>
                  <w:rStyle w:val="Hyperlink"/>
                  <w:rFonts w:asciiTheme="majorHAnsi" w:hAnsiTheme="majorHAnsi" w:cstheme="majorHAnsi"/>
                  <w:bCs/>
                </w:rPr>
                <w:t>https://www.ox.ac.uk/admissions/undergraduate/colleges/which-oxford-colleges-offer-my-course</w:t>
              </w:r>
            </w:hyperlink>
            <w:r w:rsidRPr="00485F85">
              <w:rPr>
                <w:rFonts w:asciiTheme="majorHAnsi" w:hAnsiTheme="majorHAnsi" w:cstheme="majorHAnsi"/>
                <w:bCs/>
              </w:rPr>
              <w:t xml:space="preserve"> </w:t>
            </w:r>
          </w:p>
          <w:p w14:paraId="084BE700" w14:textId="77777777" w:rsidR="00363248" w:rsidRPr="00485F85" w:rsidRDefault="00363248" w:rsidP="00DE19E1">
            <w:pPr>
              <w:spacing w:after="160" w:line="360" w:lineRule="auto"/>
              <w:jc w:val="both"/>
              <w:rPr>
                <w:rFonts w:asciiTheme="majorHAnsi" w:hAnsiTheme="majorHAnsi" w:cstheme="majorHAnsi"/>
                <w:bCs/>
              </w:rPr>
            </w:pPr>
          </w:p>
          <w:p w14:paraId="62E9A764"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Não há alinhamento de área dos Colleges sendo possível que no mesmo College se encontre alunos de diferentes divisões acadêmicas. O que favorece a interdisciplinaridade dos conhecimentos. </w:t>
            </w:r>
          </w:p>
          <w:p w14:paraId="38C7909A" w14:textId="77777777" w:rsidR="00363248" w:rsidRPr="00485F85" w:rsidRDefault="00363248" w:rsidP="00DE19E1">
            <w:pPr>
              <w:spacing w:after="160" w:line="360" w:lineRule="auto"/>
              <w:jc w:val="both"/>
              <w:rPr>
                <w:rFonts w:asciiTheme="majorHAnsi" w:hAnsiTheme="majorHAnsi" w:cstheme="majorHAnsi"/>
                <w:bCs/>
              </w:rPr>
            </w:pPr>
          </w:p>
          <w:p w14:paraId="12701A89" w14:textId="5B0345A7"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Cs/>
              </w:rPr>
              <w:t>- A metodologia ativa disciplina o aluno e promove um conhecimento construtivista.</w:t>
            </w:r>
          </w:p>
        </w:tc>
        <w:tc>
          <w:tcPr>
            <w:tcW w:w="1641" w:type="dxa"/>
            <w:tcBorders>
              <w:top w:val="single" w:sz="4" w:space="0" w:color="auto"/>
              <w:left w:val="single" w:sz="4" w:space="0" w:color="auto"/>
              <w:bottom w:val="single" w:sz="4" w:space="0" w:color="auto"/>
              <w:right w:val="single" w:sz="4" w:space="0" w:color="auto"/>
            </w:tcBorders>
          </w:tcPr>
          <w:p w14:paraId="2793EC1D" w14:textId="77777777" w:rsidR="00363248" w:rsidRPr="00485F85" w:rsidRDefault="00363248" w:rsidP="00DE19E1">
            <w:pPr>
              <w:spacing w:after="160" w:line="360" w:lineRule="auto"/>
              <w:jc w:val="both"/>
              <w:rPr>
                <w:rFonts w:asciiTheme="majorHAnsi" w:hAnsiTheme="majorHAnsi" w:cstheme="majorHAnsi"/>
                <w:bCs/>
              </w:rPr>
            </w:pPr>
          </w:p>
          <w:p w14:paraId="70D5E335" w14:textId="77777777" w:rsidR="00363248" w:rsidRPr="00485F85" w:rsidRDefault="00363248" w:rsidP="00DE19E1">
            <w:pPr>
              <w:spacing w:after="160" w:line="360" w:lineRule="auto"/>
              <w:jc w:val="both"/>
              <w:rPr>
                <w:rFonts w:asciiTheme="majorHAnsi" w:hAnsiTheme="majorHAnsi" w:cstheme="majorHAnsi"/>
                <w:bCs/>
              </w:rPr>
            </w:pPr>
          </w:p>
          <w:p w14:paraId="71B6AEF7" w14:textId="587A5DD1" w:rsidR="00363248" w:rsidRPr="00485F85" w:rsidRDefault="00A515B3" w:rsidP="00DE19E1">
            <w:pPr>
              <w:spacing w:line="360" w:lineRule="auto"/>
              <w:jc w:val="both"/>
              <w:rPr>
                <w:rFonts w:asciiTheme="majorHAnsi" w:hAnsiTheme="majorHAnsi" w:cstheme="majorHAnsi"/>
                <w:b/>
              </w:rPr>
            </w:pPr>
            <w:hyperlink r:id="rId283" w:history="1">
              <w:r w:rsidR="00363248" w:rsidRPr="00485F85">
                <w:rPr>
                  <w:rStyle w:val="Hyperlink"/>
                  <w:rFonts w:asciiTheme="majorHAnsi" w:hAnsiTheme="majorHAnsi" w:cstheme="majorHAnsi"/>
                  <w:bCs/>
                  <w:color w:val="FFFFFF" w:themeColor="background1"/>
                  <w:u w:val="none"/>
                </w:rPr>
                <w:t>https://www.ox.ac.uk/admissions/undergraduate/colleges/which-oxford-colleges-offer-my-course</w:t>
              </w:r>
            </w:hyperlink>
            <w:r w:rsidR="00363248" w:rsidRPr="00485F85">
              <w:rPr>
                <w:rFonts w:asciiTheme="majorHAnsi" w:hAnsiTheme="majorHAnsi" w:cstheme="majorHAnsi"/>
                <w:bCs/>
                <w:color w:val="FFFFFF" w:themeColor="background1"/>
              </w:rPr>
              <w:t xml:space="preserve"> </w:t>
            </w:r>
          </w:p>
        </w:tc>
        <w:tc>
          <w:tcPr>
            <w:tcW w:w="4136" w:type="dxa"/>
            <w:tcBorders>
              <w:top w:val="single" w:sz="4" w:space="0" w:color="auto"/>
              <w:left w:val="single" w:sz="4" w:space="0" w:color="auto"/>
              <w:bottom w:val="single" w:sz="4" w:space="0" w:color="auto"/>
              <w:right w:val="single" w:sz="4" w:space="0" w:color="auto"/>
            </w:tcBorders>
          </w:tcPr>
          <w:p w14:paraId="696DF49D" w14:textId="35555962" w:rsidR="00363248" w:rsidRPr="00485F85" w:rsidRDefault="00363248" w:rsidP="00DE19E1">
            <w:pPr>
              <w:spacing w:line="360" w:lineRule="auto"/>
              <w:jc w:val="both"/>
              <w:rPr>
                <w:rFonts w:asciiTheme="majorHAnsi" w:hAnsiTheme="majorHAnsi" w:cstheme="majorHAnsi"/>
              </w:rPr>
            </w:pPr>
          </w:p>
          <w:p w14:paraId="2B3436D6" w14:textId="30054E10" w:rsidR="001E7500" w:rsidRPr="00485F85" w:rsidRDefault="001E7500" w:rsidP="00DE19E1">
            <w:pPr>
              <w:spacing w:line="360" w:lineRule="auto"/>
              <w:jc w:val="both"/>
              <w:rPr>
                <w:rFonts w:asciiTheme="majorHAnsi" w:hAnsiTheme="majorHAnsi" w:cstheme="majorHAnsi"/>
              </w:rPr>
            </w:pPr>
            <w:r w:rsidRPr="00485F85">
              <w:rPr>
                <w:rFonts w:asciiTheme="majorHAnsi" w:hAnsiTheme="majorHAnsi" w:cstheme="majorHAnsi"/>
              </w:rPr>
              <w:t>- Cursos de graduação concentrados na Divisão Acadêmica Humanities Division, com 22 cursos ofertados seguido da Divião athematical, Physical and Life Sciences Division com 10 cursos.</w:t>
            </w:r>
          </w:p>
          <w:p w14:paraId="569083AB" w14:textId="77777777" w:rsidR="001E7500" w:rsidRPr="00485F85" w:rsidRDefault="001E7500" w:rsidP="00DE19E1">
            <w:pPr>
              <w:spacing w:line="360" w:lineRule="auto"/>
              <w:jc w:val="both"/>
              <w:rPr>
                <w:rFonts w:asciiTheme="majorHAnsi" w:hAnsiTheme="majorHAnsi" w:cstheme="majorHAnsi"/>
              </w:rPr>
            </w:pPr>
          </w:p>
          <w:p w14:paraId="0D287295" w14:textId="146C123D" w:rsidR="001E7500" w:rsidRPr="00485F85" w:rsidRDefault="001E7500" w:rsidP="00DE19E1">
            <w:pPr>
              <w:spacing w:line="360" w:lineRule="auto"/>
              <w:jc w:val="both"/>
              <w:rPr>
                <w:rFonts w:asciiTheme="majorHAnsi" w:hAnsiTheme="majorHAnsi" w:cstheme="majorHAnsi"/>
              </w:rPr>
            </w:pPr>
            <w:r w:rsidRPr="00485F85">
              <w:rPr>
                <w:rFonts w:asciiTheme="majorHAnsi" w:hAnsiTheme="majorHAnsi" w:cstheme="majorHAnsi"/>
              </w:rPr>
              <w:t>- Cursos de pós-graduação concentrados na Divisão Acadêmica Social Sciences Division com 148 cursos seguida da Divisão Acadêmica Humanities Division, com 117.</w:t>
            </w:r>
          </w:p>
          <w:p w14:paraId="63C07280" w14:textId="11046F34" w:rsidR="001E7500" w:rsidRPr="00485F85" w:rsidRDefault="001E7500" w:rsidP="00DE19E1">
            <w:pPr>
              <w:spacing w:line="360" w:lineRule="auto"/>
              <w:jc w:val="both"/>
              <w:rPr>
                <w:rFonts w:asciiTheme="majorHAnsi" w:hAnsiTheme="majorHAnsi" w:cstheme="majorHAnsi"/>
              </w:rPr>
            </w:pPr>
            <w:r w:rsidRPr="00485F85">
              <w:rPr>
                <w:rFonts w:asciiTheme="majorHAnsi" w:hAnsiTheme="majorHAnsi" w:cstheme="majorHAnsi"/>
              </w:rPr>
              <w:t>39 tipos de Bolsas de Estudo diferentes para alunos de Graduação. Oxford gasta centralmente cerca de £ 8 milhões anualmente em apoio financeiro para alunos de graduação.</w:t>
            </w:r>
          </w:p>
          <w:p w14:paraId="722ACFFA" w14:textId="77777777" w:rsidR="001E7500" w:rsidRPr="00485F85" w:rsidRDefault="001E7500" w:rsidP="00DE19E1">
            <w:pPr>
              <w:spacing w:line="360" w:lineRule="auto"/>
              <w:jc w:val="both"/>
              <w:rPr>
                <w:rFonts w:asciiTheme="majorHAnsi" w:hAnsiTheme="majorHAnsi" w:cstheme="majorHAnsi"/>
              </w:rPr>
            </w:pPr>
          </w:p>
          <w:p w14:paraId="68F5976D" w14:textId="6F79A736" w:rsidR="001E7500" w:rsidRPr="00485F85" w:rsidRDefault="001E7500" w:rsidP="00DE19E1">
            <w:pPr>
              <w:spacing w:line="360" w:lineRule="auto"/>
              <w:jc w:val="both"/>
              <w:rPr>
                <w:rFonts w:asciiTheme="majorHAnsi" w:hAnsiTheme="majorHAnsi" w:cstheme="majorHAnsi"/>
              </w:rPr>
            </w:pPr>
            <w:r w:rsidRPr="00485F85">
              <w:rPr>
                <w:rFonts w:asciiTheme="majorHAnsi" w:hAnsiTheme="majorHAnsi" w:cstheme="majorHAnsi"/>
              </w:rPr>
              <w:t xml:space="preserve">-77 tipos de Bolsa de Estudo automáticas as quais o candidato já concorre assim que faz a sua aplicação e mais 12 tipos de Bolsas de </w:t>
            </w:r>
            <w:r w:rsidRPr="00485F85">
              <w:rPr>
                <w:rFonts w:asciiTheme="majorHAnsi" w:hAnsiTheme="majorHAnsi" w:cstheme="majorHAnsi"/>
              </w:rPr>
              <w:lastRenderedPageBreak/>
              <w:t>Estudo que requerem incrição do aluno.</w:t>
            </w:r>
          </w:p>
          <w:p w14:paraId="2652CC4F" w14:textId="30BF2543" w:rsidR="001E7500" w:rsidRPr="00485F85" w:rsidRDefault="001E7500" w:rsidP="00DE19E1">
            <w:pPr>
              <w:spacing w:line="360" w:lineRule="auto"/>
              <w:jc w:val="both"/>
              <w:rPr>
                <w:rFonts w:asciiTheme="majorHAnsi" w:hAnsiTheme="majorHAnsi" w:cstheme="majorHAnsi"/>
              </w:rPr>
            </w:pPr>
            <w:r w:rsidRPr="00485F85">
              <w:rPr>
                <w:rFonts w:asciiTheme="majorHAnsi" w:hAnsiTheme="majorHAnsi" w:cstheme="majorHAnsi"/>
              </w:rPr>
              <w:t>Para o ano acadêmico de 2019-20, pouco mais da metade de nossos novos alunos de pós-graduação receberam financiamento total ou parcial da Universidade ou de</w:t>
            </w:r>
          </w:p>
          <w:p w14:paraId="07DD870F" w14:textId="58930ABD" w:rsidR="001E7500" w:rsidRPr="00485F85" w:rsidRDefault="001E7500" w:rsidP="00DE19E1">
            <w:pPr>
              <w:spacing w:line="360" w:lineRule="auto"/>
              <w:jc w:val="both"/>
              <w:rPr>
                <w:rFonts w:asciiTheme="majorHAnsi" w:hAnsiTheme="majorHAnsi" w:cstheme="majorHAnsi"/>
              </w:rPr>
            </w:pPr>
          </w:p>
          <w:p w14:paraId="3A4E1522"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A Universidade demonstrou realizar um serviço de acompanhamento de seus egressos e em conjunto com a HESA recolhe dados para monitorar a mobilidade e empregabilidade de seus ex-alunos. </w:t>
            </w:r>
            <w:hyperlink r:id="rId284" w:history="1">
              <w:r w:rsidRPr="00485F85">
                <w:rPr>
                  <w:rStyle w:val="Hyperlink"/>
                  <w:rFonts w:asciiTheme="majorHAnsi" w:hAnsiTheme="majorHAnsi" w:cstheme="majorHAnsi"/>
                </w:rPr>
                <w:t>https://www.careers.ox.ac.uk/the-graduate-outcomes-survey</w:t>
              </w:r>
            </w:hyperlink>
            <w:r w:rsidRPr="00485F85">
              <w:rPr>
                <w:rFonts w:asciiTheme="majorHAnsi" w:hAnsiTheme="majorHAnsi" w:cstheme="majorHAnsi"/>
              </w:rPr>
              <w:t xml:space="preserve"> </w:t>
            </w:r>
          </w:p>
          <w:p w14:paraId="608D9AFB" w14:textId="77777777" w:rsidR="00363248" w:rsidRPr="00485F85" w:rsidRDefault="00363248" w:rsidP="00DE19E1">
            <w:pPr>
              <w:spacing w:line="360" w:lineRule="auto"/>
              <w:jc w:val="both"/>
              <w:rPr>
                <w:rFonts w:asciiTheme="majorHAnsi" w:hAnsiTheme="majorHAnsi" w:cstheme="majorHAnsi"/>
              </w:rPr>
            </w:pPr>
          </w:p>
          <w:p w14:paraId="337F8306" w14:textId="77777777" w:rsidR="00363248" w:rsidRPr="00485F85" w:rsidRDefault="00A515B3" w:rsidP="00DE19E1">
            <w:pPr>
              <w:spacing w:line="360" w:lineRule="auto"/>
              <w:jc w:val="both"/>
              <w:rPr>
                <w:rFonts w:asciiTheme="majorHAnsi" w:hAnsiTheme="majorHAnsi" w:cstheme="majorHAnsi"/>
              </w:rPr>
            </w:pPr>
            <w:hyperlink r:id="rId285" w:history="1">
              <w:r w:rsidR="00363248" w:rsidRPr="00485F85">
                <w:rPr>
                  <w:rStyle w:val="Hyperlink"/>
                  <w:rFonts w:asciiTheme="majorHAnsi" w:hAnsiTheme="majorHAnsi" w:cstheme="majorHAnsi"/>
                </w:rPr>
                <w:t>https://public.tableau.com/views/UniversityofOxford-DLHESurvey/SectorsandRoles?%3Aembed=y&amp;%3Adisplay_count=yes&amp;%3AshowTabs=y&amp;%3AshowVizHome=no</w:t>
              </w:r>
            </w:hyperlink>
          </w:p>
          <w:p w14:paraId="3DD24FFA" w14:textId="77777777" w:rsidR="00363248" w:rsidRPr="00485F85" w:rsidRDefault="00363248" w:rsidP="00DE19E1">
            <w:pPr>
              <w:spacing w:line="360" w:lineRule="auto"/>
              <w:jc w:val="both"/>
              <w:rPr>
                <w:rFonts w:asciiTheme="majorHAnsi" w:hAnsiTheme="majorHAnsi" w:cstheme="majorHAnsi"/>
              </w:rPr>
            </w:pPr>
          </w:p>
          <w:p w14:paraId="4852F8A5"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Universidade oportuniza a prática por meio do escritório de estágios que possui diversos modelos de oportunidades para enriquecer a experiência do aluno.</w:t>
            </w:r>
          </w:p>
          <w:p w14:paraId="3219AF14" w14:textId="77777777" w:rsidR="00363248" w:rsidRPr="00485F85" w:rsidRDefault="00A515B3" w:rsidP="00DE19E1">
            <w:pPr>
              <w:spacing w:line="360" w:lineRule="auto"/>
              <w:jc w:val="both"/>
              <w:rPr>
                <w:rFonts w:asciiTheme="majorHAnsi" w:hAnsiTheme="majorHAnsi" w:cstheme="majorHAnsi"/>
              </w:rPr>
            </w:pPr>
            <w:hyperlink r:id="rId286" w:history="1">
              <w:r w:rsidR="00363248" w:rsidRPr="00485F85">
                <w:rPr>
                  <w:rStyle w:val="Hyperlink"/>
                  <w:rFonts w:asciiTheme="majorHAnsi" w:hAnsiTheme="majorHAnsi" w:cstheme="majorHAnsi"/>
                </w:rPr>
                <w:t>https://www.careers.ox.ac.uk/about-the-internship-office</w:t>
              </w:r>
            </w:hyperlink>
            <w:r w:rsidR="00363248" w:rsidRPr="00485F85">
              <w:rPr>
                <w:rFonts w:asciiTheme="majorHAnsi" w:hAnsiTheme="majorHAnsi" w:cstheme="majorHAnsi"/>
              </w:rPr>
              <w:t xml:space="preserve"> </w:t>
            </w:r>
          </w:p>
          <w:p w14:paraId="1E5E63A4" w14:textId="77777777" w:rsidR="00363248" w:rsidRPr="00485F85" w:rsidRDefault="00363248" w:rsidP="00DE19E1">
            <w:pPr>
              <w:spacing w:line="360" w:lineRule="auto"/>
              <w:jc w:val="both"/>
              <w:rPr>
                <w:rFonts w:asciiTheme="majorHAnsi" w:hAnsiTheme="majorHAnsi" w:cstheme="majorHAnsi"/>
              </w:rPr>
            </w:pPr>
          </w:p>
          <w:p w14:paraId="26214819"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O modelo inovador de ensino aprendizagem privilegia práticas ativas que desenvolvem habilidades como disciplina, curiosidade e diálogo entre alunos e professores. </w:t>
            </w:r>
            <w:hyperlink r:id="rId287" w:history="1">
              <w:r w:rsidRPr="00485F85">
                <w:rPr>
                  <w:rStyle w:val="Hyperlink"/>
                  <w:rFonts w:asciiTheme="majorHAnsi" w:hAnsiTheme="majorHAnsi" w:cstheme="majorHAnsi"/>
                </w:rPr>
                <w:t>https://www.ox.ac.uk/admissions/undergraduate/student-life/exceptional-</w:t>
              </w:r>
              <w:r w:rsidRPr="00485F85">
                <w:rPr>
                  <w:rStyle w:val="Hyperlink"/>
                  <w:rFonts w:asciiTheme="majorHAnsi" w:hAnsiTheme="majorHAnsi" w:cstheme="majorHAnsi"/>
                </w:rPr>
                <w:lastRenderedPageBreak/>
                <w:t>education/personalised-learning</w:t>
              </w:r>
            </w:hyperlink>
          </w:p>
          <w:p w14:paraId="65D79F6D" w14:textId="77777777" w:rsidR="00363248" w:rsidRPr="00485F85" w:rsidRDefault="00363248" w:rsidP="00DE19E1">
            <w:pPr>
              <w:spacing w:line="360" w:lineRule="auto"/>
              <w:jc w:val="both"/>
              <w:rPr>
                <w:rFonts w:asciiTheme="majorHAnsi" w:hAnsiTheme="majorHAnsi" w:cstheme="majorHAnsi"/>
              </w:rPr>
            </w:pPr>
          </w:p>
          <w:p w14:paraId="1C0C0938" w14:textId="77777777" w:rsidR="00363248" w:rsidRPr="00485F85" w:rsidRDefault="00363248" w:rsidP="00DE19E1">
            <w:pPr>
              <w:spacing w:line="360" w:lineRule="auto"/>
              <w:jc w:val="both"/>
              <w:rPr>
                <w:rFonts w:asciiTheme="majorHAnsi" w:hAnsiTheme="majorHAnsi" w:cstheme="majorHAnsi"/>
              </w:rPr>
            </w:pPr>
          </w:p>
          <w:p w14:paraId="14CA5D0C"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Universidade possui ambientes de ensino aprendizagem virtuais modernos que contemplam desde grandes bases de dados até plataformas de estudo e interação virtuais, e-mails institucionais etc com materiais para download e diversas outras ferramentas</w:t>
            </w:r>
          </w:p>
          <w:p w14:paraId="32605593" w14:textId="77777777" w:rsidR="00363248" w:rsidRPr="00485F85" w:rsidRDefault="00A515B3" w:rsidP="00DE19E1">
            <w:pPr>
              <w:spacing w:line="360" w:lineRule="auto"/>
              <w:jc w:val="both"/>
              <w:rPr>
                <w:rFonts w:asciiTheme="majorHAnsi" w:hAnsiTheme="majorHAnsi" w:cstheme="majorHAnsi"/>
              </w:rPr>
            </w:pPr>
            <w:hyperlink r:id="rId288" w:history="1">
              <w:r w:rsidR="00363248" w:rsidRPr="00485F85">
                <w:rPr>
                  <w:rStyle w:val="Hyperlink"/>
                  <w:rFonts w:asciiTheme="majorHAnsi" w:hAnsiTheme="majorHAnsi" w:cstheme="majorHAnsi"/>
                </w:rPr>
                <w:t>https://academic.oup.com/journals/pages/journals_a_to_z</w:t>
              </w:r>
            </w:hyperlink>
            <w:r w:rsidR="00363248" w:rsidRPr="00485F85">
              <w:rPr>
                <w:rFonts w:asciiTheme="majorHAnsi" w:hAnsiTheme="majorHAnsi" w:cstheme="majorHAnsi"/>
              </w:rPr>
              <w:t xml:space="preserve"> </w:t>
            </w:r>
          </w:p>
          <w:p w14:paraId="34BFB56E"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p>
          <w:p w14:paraId="39A00C50" w14:textId="77777777" w:rsidR="00363248" w:rsidRPr="00485F85" w:rsidRDefault="00A515B3" w:rsidP="00DE19E1">
            <w:pPr>
              <w:spacing w:line="360" w:lineRule="auto"/>
              <w:jc w:val="both"/>
              <w:rPr>
                <w:rFonts w:asciiTheme="majorHAnsi" w:hAnsiTheme="majorHAnsi" w:cstheme="majorHAnsi"/>
              </w:rPr>
            </w:pPr>
            <w:hyperlink r:id="rId289" w:history="1">
              <w:r w:rsidR="00363248" w:rsidRPr="00485F85">
                <w:rPr>
                  <w:rStyle w:val="Hyperlink"/>
                  <w:rFonts w:asciiTheme="majorHAnsi" w:hAnsiTheme="majorHAnsi" w:cstheme="majorHAnsi"/>
                </w:rPr>
                <w:t>https://weblearn.ox.ac.uk/portal</w:t>
              </w:r>
            </w:hyperlink>
            <w:r w:rsidR="00363248" w:rsidRPr="00485F85">
              <w:rPr>
                <w:rFonts w:asciiTheme="majorHAnsi" w:hAnsiTheme="majorHAnsi" w:cstheme="majorHAnsi"/>
              </w:rPr>
              <w:t xml:space="preserve"> </w:t>
            </w:r>
          </w:p>
          <w:p w14:paraId="4C051A40" w14:textId="77777777" w:rsidR="00363248" w:rsidRPr="00485F85" w:rsidRDefault="00363248" w:rsidP="00DE19E1">
            <w:pPr>
              <w:spacing w:line="360" w:lineRule="auto"/>
              <w:jc w:val="both"/>
              <w:rPr>
                <w:rFonts w:asciiTheme="majorHAnsi" w:hAnsiTheme="majorHAnsi" w:cstheme="majorHAnsi"/>
              </w:rPr>
            </w:pPr>
          </w:p>
          <w:p w14:paraId="2158F938"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As propostas com foco em Educação são simples e consistentes e possuem uma dimensão específica no Planejamento Estratégico da Instituição. O plano de acesso a participação também contempla essa esfera e pode ser considerado uma boa prática. </w:t>
            </w:r>
          </w:p>
          <w:p w14:paraId="6D5D9F66"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p>
          <w:p w14:paraId="3BB905E4"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Planejamento Estratégico para educação</w:t>
            </w:r>
          </w:p>
          <w:p w14:paraId="4423BCCB" w14:textId="77777777" w:rsidR="00363248" w:rsidRPr="00485F85" w:rsidRDefault="00A515B3" w:rsidP="00DE19E1">
            <w:pPr>
              <w:spacing w:line="360" w:lineRule="auto"/>
              <w:jc w:val="both"/>
              <w:rPr>
                <w:rFonts w:asciiTheme="majorHAnsi" w:hAnsiTheme="majorHAnsi" w:cstheme="majorHAnsi"/>
              </w:rPr>
            </w:pPr>
            <w:hyperlink r:id="rId290" w:history="1">
              <w:r w:rsidR="00363248" w:rsidRPr="00485F85">
                <w:rPr>
                  <w:rStyle w:val="Hyperlink"/>
                  <w:rFonts w:asciiTheme="majorHAnsi" w:hAnsiTheme="majorHAnsi" w:cstheme="majorHAnsi"/>
                </w:rPr>
                <w:t>https://www.ox.ac.uk/about/organisation/strategic-plan-2018-23/education</w:t>
              </w:r>
            </w:hyperlink>
            <w:r w:rsidR="00363248" w:rsidRPr="00485F85">
              <w:rPr>
                <w:rFonts w:asciiTheme="majorHAnsi" w:hAnsiTheme="majorHAnsi" w:cstheme="majorHAnsi"/>
              </w:rPr>
              <w:t xml:space="preserve">  </w:t>
            </w:r>
          </w:p>
          <w:p w14:paraId="2A0E7DBB" w14:textId="77777777" w:rsidR="00363248" w:rsidRPr="00485F85" w:rsidRDefault="00363248" w:rsidP="00DE19E1">
            <w:pPr>
              <w:spacing w:line="360" w:lineRule="auto"/>
              <w:jc w:val="both"/>
              <w:rPr>
                <w:rFonts w:asciiTheme="majorHAnsi" w:hAnsiTheme="majorHAnsi" w:cstheme="majorHAnsi"/>
              </w:rPr>
            </w:pPr>
          </w:p>
          <w:p w14:paraId="08FA3B70"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Plano de Acesso e Participação</w:t>
            </w:r>
          </w:p>
          <w:p w14:paraId="02C6FCA0" w14:textId="77777777" w:rsidR="00363248" w:rsidRPr="00485F85" w:rsidRDefault="00A515B3" w:rsidP="00DE19E1">
            <w:pPr>
              <w:spacing w:line="360" w:lineRule="auto"/>
              <w:jc w:val="both"/>
              <w:rPr>
                <w:rFonts w:asciiTheme="majorHAnsi" w:hAnsiTheme="majorHAnsi" w:cstheme="majorHAnsi"/>
              </w:rPr>
            </w:pPr>
            <w:hyperlink r:id="rId291" w:history="1">
              <w:r w:rsidR="00363248" w:rsidRPr="00485F85">
                <w:rPr>
                  <w:rStyle w:val="Hyperlink"/>
                  <w:rFonts w:asciiTheme="majorHAnsi" w:hAnsiTheme="majorHAnsi" w:cstheme="majorHAnsi"/>
                </w:rPr>
                <w:t>https://www.ox.ac.uk/sites/files/oxford/UniversityOfOxford_APP_2020-21.pdf</w:t>
              </w:r>
            </w:hyperlink>
            <w:r w:rsidR="00363248" w:rsidRPr="00485F85">
              <w:rPr>
                <w:rFonts w:asciiTheme="majorHAnsi" w:hAnsiTheme="majorHAnsi" w:cstheme="majorHAnsi"/>
              </w:rPr>
              <w:t xml:space="preserve"> </w:t>
            </w:r>
          </w:p>
          <w:p w14:paraId="26D63DCC" w14:textId="77777777" w:rsidR="00363248" w:rsidRPr="00485F85" w:rsidRDefault="00363248" w:rsidP="00DE19E1">
            <w:pPr>
              <w:spacing w:line="360" w:lineRule="auto"/>
              <w:jc w:val="both"/>
              <w:rPr>
                <w:rFonts w:asciiTheme="majorHAnsi" w:hAnsiTheme="majorHAnsi" w:cstheme="majorHAnsi"/>
              </w:rPr>
            </w:pPr>
          </w:p>
          <w:p w14:paraId="17DBB9AC"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O Departamento de Bioquímica contrata Indivíduos para fornecer apoio de ensino temporário (normalmente na forma de </w:t>
            </w:r>
            <w:r w:rsidRPr="00485F85">
              <w:rPr>
                <w:rFonts w:asciiTheme="majorHAnsi" w:hAnsiTheme="majorHAnsi" w:cstheme="majorHAnsi"/>
              </w:rPr>
              <w:lastRenderedPageBreak/>
              <w:t>uma série ad hoc de palestras, aulas ou seminários, mas também podem incluir demonstração ad hoc ou vigilância) por períodos de menos de 1 ano. Trata-se da modalidade de ensino casual, remunerada e organizada pelo RH.</w:t>
            </w:r>
          </w:p>
          <w:p w14:paraId="636EAF42" w14:textId="77777777" w:rsidR="00363248" w:rsidRPr="00485F85" w:rsidRDefault="00A515B3" w:rsidP="00DE19E1">
            <w:pPr>
              <w:spacing w:line="360" w:lineRule="auto"/>
              <w:jc w:val="both"/>
              <w:rPr>
                <w:rFonts w:asciiTheme="majorHAnsi" w:hAnsiTheme="majorHAnsi" w:cstheme="majorHAnsi"/>
              </w:rPr>
            </w:pPr>
            <w:hyperlink r:id="rId292" w:history="1">
              <w:r w:rsidR="00363248" w:rsidRPr="00485F85">
                <w:rPr>
                  <w:rStyle w:val="Hyperlink"/>
                  <w:rFonts w:asciiTheme="majorHAnsi" w:hAnsiTheme="majorHAnsi" w:cstheme="majorHAnsi"/>
                </w:rPr>
                <w:t>https://www.bioch.ox.ac.uk/casual-teaching</w:t>
              </w:r>
            </w:hyperlink>
            <w:r w:rsidR="00363248" w:rsidRPr="00485F85">
              <w:rPr>
                <w:rFonts w:asciiTheme="majorHAnsi" w:hAnsiTheme="majorHAnsi" w:cstheme="majorHAnsi"/>
              </w:rPr>
              <w:t xml:space="preserve"> </w:t>
            </w:r>
          </w:p>
          <w:p w14:paraId="08633896" w14:textId="588A92B2" w:rsidR="00363248" w:rsidRPr="00485F85" w:rsidRDefault="00363248" w:rsidP="00DE19E1">
            <w:pPr>
              <w:spacing w:line="360" w:lineRule="auto"/>
              <w:jc w:val="both"/>
              <w:rPr>
                <w:rFonts w:asciiTheme="majorHAnsi" w:hAnsiTheme="majorHAnsi" w:cstheme="majorHAnsi"/>
                <w:b/>
              </w:rPr>
            </w:pPr>
          </w:p>
        </w:tc>
      </w:tr>
      <w:tr w:rsidR="00363248" w:rsidRPr="00485F85" w14:paraId="1E7B753B" w14:textId="77777777" w:rsidTr="00DE19E1">
        <w:tc>
          <w:tcPr>
            <w:tcW w:w="905" w:type="dxa"/>
            <w:tcBorders>
              <w:top w:val="single" w:sz="4" w:space="0" w:color="auto"/>
              <w:left w:val="single" w:sz="4" w:space="0" w:color="auto"/>
              <w:bottom w:val="single" w:sz="4" w:space="0" w:color="auto"/>
              <w:right w:val="single" w:sz="4" w:space="0" w:color="auto"/>
            </w:tcBorders>
          </w:tcPr>
          <w:p w14:paraId="4AB1A0B6" w14:textId="416B0995"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5. Pesquisa e Desenvolvimento</w:t>
            </w:r>
          </w:p>
        </w:tc>
        <w:tc>
          <w:tcPr>
            <w:tcW w:w="3461" w:type="dxa"/>
            <w:tcBorders>
              <w:top w:val="single" w:sz="4" w:space="0" w:color="auto"/>
              <w:left w:val="single" w:sz="4" w:space="0" w:color="auto"/>
              <w:bottom w:val="single" w:sz="4" w:space="0" w:color="auto"/>
              <w:right w:val="single" w:sz="4" w:space="0" w:color="auto"/>
            </w:tcBorders>
          </w:tcPr>
          <w:p w14:paraId="36D69373" w14:textId="77777777" w:rsidR="00363248" w:rsidRPr="00485F85" w:rsidRDefault="00363248" w:rsidP="00DE19E1">
            <w:pPr>
              <w:spacing w:after="160" w:line="360" w:lineRule="auto"/>
              <w:jc w:val="both"/>
              <w:rPr>
                <w:rFonts w:asciiTheme="majorHAnsi" w:hAnsiTheme="majorHAnsi" w:cstheme="majorHAnsi"/>
                <w:bCs/>
              </w:rPr>
            </w:pPr>
            <w:r w:rsidRPr="00485F85">
              <w:rPr>
                <w:rFonts w:asciiTheme="majorHAnsi" w:hAnsiTheme="majorHAnsi" w:cstheme="majorHAnsi"/>
                <w:bCs/>
              </w:rPr>
              <w:t>- A Universidade atua em rede e possui fortes alianças internacionais.</w:t>
            </w:r>
          </w:p>
          <w:p w14:paraId="60E36370" w14:textId="77777777" w:rsidR="00363248" w:rsidRPr="00485F85" w:rsidRDefault="00363248" w:rsidP="00DE19E1">
            <w:pPr>
              <w:spacing w:after="160" w:line="360" w:lineRule="auto"/>
              <w:jc w:val="both"/>
              <w:rPr>
                <w:rFonts w:asciiTheme="majorHAnsi" w:hAnsiTheme="majorHAnsi" w:cstheme="majorHAnsi"/>
                <w:bCs/>
              </w:rPr>
            </w:pPr>
          </w:p>
          <w:p w14:paraId="0E6AB687"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 As ações de pesquisa e inovação se refletem nas patentes registradas pela Instituição.</w:t>
            </w:r>
          </w:p>
          <w:p w14:paraId="2EE90FAB" w14:textId="77777777" w:rsidR="00363248" w:rsidRPr="00485F85" w:rsidRDefault="00363248" w:rsidP="00DE19E1">
            <w:pPr>
              <w:spacing w:line="360" w:lineRule="auto"/>
              <w:jc w:val="both"/>
              <w:rPr>
                <w:rFonts w:asciiTheme="majorHAnsi" w:hAnsiTheme="majorHAnsi" w:cstheme="majorHAnsi"/>
                <w:bCs/>
              </w:rPr>
            </w:pPr>
          </w:p>
          <w:p w14:paraId="3E0AD68F"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 Programas de incentivo a pesquisa por meio de engajamento e premiações.</w:t>
            </w:r>
          </w:p>
          <w:p w14:paraId="40D5F1B5" w14:textId="77777777" w:rsidR="00363248" w:rsidRPr="00485F85" w:rsidRDefault="00363248" w:rsidP="00DE19E1">
            <w:pPr>
              <w:spacing w:line="360" w:lineRule="auto"/>
              <w:jc w:val="both"/>
              <w:rPr>
                <w:rFonts w:asciiTheme="majorHAnsi" w:hAnsiTheme="majorHAnsi" w:cstheme="majorHAnsi"/>
                <w:bCs/>
              </w:rPr>
            </w:pPr>
          </w:p>
          <w:p w14:paraId="6AA68AB6"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Produção de Patentes </w:t>
            </w:r>
          </w:p>
          <w:p w14:paraId="12245FC8" w14:textId="77777777" w:rsidR="00363248" w:rsidRPr="00485F85" w:rsidRDefault="00363248" w:rsidP="00DE19E1">
            <w:pPr>
              <w:spacing w:line="360" w:lineRule="auto"/>
              <w:jc w:val="both"/>
              <w:rPr>
                <w:rFonts w:asciiTheme="majorHAnsi" w:hAnsiTheme="majorHAnsi" w:cstheme="majorHAnsi"/>
                <w:bCs/>
              </w:rPr>
            </w:pPr>
          </w:p>
          <w:p w14:paraId="187B3235" w14:textId="77777777" w:rsidR="00363248" w:rsidRPr="00485F85" w:rsidRDefault="00363248" w:rsidP="00DE19E1">
            <w:pPr>
              <w:spacing w:line="360" w:lineRule="auto"/>
              <w:jc w:val="both"/>
              <w:rPr>
                <w:rFonts w:asciiTheme="majorHAnsi" w:hAnsiTheme="majorHAnsi" w:cstheme="majorHAnsi"/>
                <w:bCs/>
              </w:rPr>
            </w:pPr>
            <w:r w:rsidRPr="00485F85">
              <w:rPr>
                <w:rFonts w:asciiTheme="majorHAnsi" w:hAnsiTheme="majorHAnsi" w:cstheme="majorHAnsi"/>
                <w:bCs/>
              </w:rPr>
              <w:t>- Oferta de Fontes de financiamento</w:t>
            </w:r>
          </w:p>
          <w:p w14:paraId="1B6F468D" w14:textId="77777777" w:rsidR="00363248" w:rsidRPr="00485F85" w:rsidRDefault="00363248"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16F2604C" w14:textId="4941D7B9" w:rsidR="00363248" w:rsidRPr="00485F85" w:rsidRDefault="00363248" w:rsidP="00DE19E1">
            <w:pPr>
              <w:spacing w:line="360" w:lineRule="auto"/>
              <w:jc w:val="both"/>
              <w:rPr>
                <w:rFonts w:asciiTheme="majorHAnsi" w:hAnsiTheme="majorHAnsi" w:cstheme="majorHAnsi"/>
                <w:b/>
              </w:rPr>
            </w:pPr>
            <w:r w:rsidRPr="00485F85">
              <w:rPr>
                <w:rFonts w:asciiTheme="majorHAnsi" w:hAnsiTheme="majorHAnsi" w:cstheme="majorHAnsi"/>
                <w:bCs/>
              </w:rPr>
              <w:t xml:space="preserve">- Não foi possível encontrar os dados de publicações da universidade uma vez que eles se apresentaram descentralizados na busca da pesquisadora que encontrou os registros de publicação apenas em departamentos ou faculties. </w:t>
            </w:r>
          </w:p>
        </w:tc>
        <w:tc>
          <w:tcPr>
            <w:tcW w:w="4136" w:type="dxa"/>
            <w:tcBorders>
              <w:top w:val="single" w:sz="4" w:space="0" w:color="auto"/>
              <w:left w:val="single" w:sz="4" w:space="0" w:color="auto"/>
              <w:bottom w:val="single" w:sz="4" w:space="0" w:color="auto"/>
              <w:right w:val="single" w:sz="4" w:space="0" w:color="auto"/>
            </w:tcBorders>
          </w:tcPr>
          <w:p w14:paraId="7DFD9E15"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Universidade mostrou indícios de que colabora internacionalmente e participa de redes de pesquisa internacionais, não só realizando pesquisas, mas levando seus projetos para fora da Inglaterra.</w:t>
            </w:r>
          </w:p>
          <w:p w14:paraId="05A68F95" w14:textId="77777777" w:rsidR="00363248" w:rsidRPr="00485F85" w:rsidRDefault="00A515B3" w:rsidP="00DE19E1">
            <w:pPr>
              <w:spacing w:line="360" w:lineRule="auto"/>
              <w:jc w:val="both"/>
              <w:rPr>
                <w:rFonts w:asciiTheme="majorHAnsi" w:hAnsiTheme="majorHAnsi" w:cstheme="majorHAnsi"/>
              </w:rPr>
            </w:pPr>
            <w:hyperlink r:id="rId293" w:history="1">
              <w:r w:rsidR="00363248" w:rsidRPr="00485F85">
                <w:rPr>
                  <w:rStyle w:val="Hyperlink"/>
                  <w:rFonts w:asciiTheme="majorHAnsi" w:hAnsiTheme="majorHAnsi" w:cstheme="majorHAnsi"/>
                </w:rPr>
                <w:t>https://www.research.ox.ac.uk/map</w:t>
              </w:r>
            </w:hyperlink>
            <w:r w:rsidR="00363248" w:rsidRPr="00485F85">
              <w:rPr>
                <w:rStyle w:val="Hyperlink"/>
                <w:rFonts w:asciiTheme="majorHAnsi" w:hAnsiTheme="majorHAnsi" w:cstheme="majorHAnsi"/>
              </w:rPr>
              <w:t xml:space="preserve"> </w:t>
            </w:r>
          </w:p>
          <w:p w14:paraId="61DEF5A8" w14:textId="77777777" w:rsidR="00363248" w:rsidRPr="00485F85" w:rsidRDefault="00363248" w:rsidP="00DE19E1">
            <w:pPr>
              <w:spacing w:line="360" w:lineRule="auto"/>
              <w:jc w:val="both"/>
              <w:rPr>
                <w:rFonts w:asciiTheme="majorHAnsi" w:hAnsiTheme="majorHAnsi" w:cstheme="majorHAnsi"/>
              </w:rPr>
            </w:pPr>
          </w:p>
          <w:p w14:paraId="41832684"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Apesar de não ser possível encontrar os dados de publicação por estarem descentralizados a Universidade demonstra o seu impacto acadêmico por meio de uma seção no site na qual é possível encontrar suas diversas pesquisas realizadas. Tanto em forma de matérias informativas, quanto em pequenos vídeos .</w:t>
            </w:r>
          </w:p>
          <w:p w14:paraId="5F6972CA" w14:textId="77777777" w:rsidR="00363248" w:rsidRPr="00485F85" w:rsidRDefault="00A515B3" w:rsidP="00DE19E1">
            <w:pPr>
              <w:spacing w:line="360" w:lineRule="auto"/>
              <w:jc w:val="both"/>
              <w:rPr>
                <w:rFonts w:asciiTheme="majorHAnsi" w:hAnsiTheme="majorHAnsi" w:cstheme="majorHAnsi"/>
              </w:rPr>
            </w:pPr>
            <w:hyperlink r:id="rId294" w:history="1">
              <w:r w:rsidR="00363248" w:rsidRPr="00485F85">
                <w:rPr>
                  <w:rStyle w:val="Hyperlink"/>
                  <w:rFonts w:asciiTheme="majorHAnsi" w:hAnsiTheme="majorHAnsi" w:cstheme="majorHAnsi"/>
                </w:rPr>
                <w:t>https://www.ox.ac.uk/research/research-impact</w:t>
              </w:r>
            </w:hyperlink>
            <w:r w:rsidR="00363248" w:rsidRPr="00485F85">
              <w:rPr>
                <w:rFonts w:asciiTheme="majorHAnsi" w:hAnsiTheme="majorHAnsi" w:cstheme="majorHAnsi"/>
              </w:rPr>
              <w:t xml:space="preserve"> </w:t>
            </w:r>
          </w:p>
          <w:p w14:paraId="6B658B3E" w14:textId="77777777" w:rsidR="00363248" w:rsidRPr="00485F85" w:rsidRDefault="00363248" w:rsidP="00DE19E1">
            <w:pPr>
              <w:spacing w:line="360" w:lineRule="auto"/>
              <w:jc w:val="both"/>
              <w:rPr>
                <w:rFonts w:asciiTheme="majorHAnsi" w:hAnsiTheme="majorHAnsi" w:cstheme="majorHAnsi"/>
              </w:rPr>
            </w:pPr>
          </w:p>
          <w:p w14:paraId="319BBDE3" w14:textId="77777777" w:rsidR="00363248" w:rsidRPr="00485F85" w:rsidRDefault="00A515B3" w:rsidP="00DE19E1">
            <w:pPr>
              <w:spacing w:line="360" w:lineRule="auto"/>
              <w:jc w:val="both"/>
              <w:rPr>
                <w:rFonts w:asciiTheme="majorHAnsi" w:hAnsiTheme="majorHAnsi" w:cstheme="majorHAnsi"/>
              </w:rPr>
            </w:pPr>
            <w:hyperlink r:id="rId295" w:history="1">
              <w:r w:rsidR="00363248" w:rsidRPr="00485F85">
                <w:rPr>
                  <w:rStyle w:val="Hyperlink"/>
                  <w:rFonts w:asciiTheme="majorHAnsi" w:hAnsiTheme="majorHAnsi" w:cstheme="majorHAnsi"/>
                </w:rPr>
                <w:t>https://www.ox.ac.uk/research/research-impact/impact-films</w:t>
              </w:r>
            </w:hyperlink>
            <w:r w:rsidR="00363248" w:rsidRPr="00485F85">
              <w:rPr>
                <w:rFonts w:asciiTheme="majorHAnsi" w:hAnsiTheme="majorHAnsi" w:cstheme="majorHAnsi"/>
              </w:rPr>
              <w:t xml:space="preserve"> </w:t>
            </w:r>
          </w:p>
          <w:p w14:paraId="3ED08AC0" w14:textId="77777777" w:rsidR="00363248" w:rsidRPr="00485F85" w:rsidRDefault="00363248" w:rsidP="00DE19E1">
            <w:pPr>
              <w:spacing w:line="360" w:lineRule="auto"/>
              <w:jc w:val="both"/>
              <w:rPr>
                <w:rFonts w:asciiTheme="majorHAnsi" w:hAnsiTheme="majorHAnsi" w:cstheme="majorHAnsi"/>
              </w:rPr>
            </w:pPr>
          </w:p>
          <w:p w14:paraId="6167C70F" w14:textId="77777777" w:rsidR="00363248" w:rsidRPr="00485F85" w:rsidRDefault="00A515B3" w:rsidP="00DE19E1">
            <w:pPr>
              <w:spacing w:line="360" w:lineRule="auto"/>
              <w:jc w:val="both"/>
              <w:rPr>
                <w:rFonts w:asciiTheme="majorHAnsi" w:hAnsiTheme="majorHAnsi" w:cstheme="majorHAnsi"/>
              </w:rPr>
            </w:pPr>
            <w:hyperlink r:id="rId296" w:history="1">
              <w:r w:rsidR="00363248" w:rsidRPr="00485F85">
                <w:rPr>
                  <w:rStyle w:val="Hyperlink"/>
                  <w:rFonts w:asciiTheme="majorHAnsi" w:hAnsiTheme="majorHAnsi" w:cstheme="majorHAnsi"/>
                </w:rPr>
                <w:t>https://www.ox.ac.uk/research/public-engagement/engaged-research</w:t>
              </w:r>
            </w:hyperlink>
            <w:r w:rsidR="00363248" w:rsidRPr="00485F85">
              <w:rPr>
                <w:rFonts w:asciiTheme="majorHAnsi" w:hAnsiTheme="majorHAnsi" w:cstheme="majorHAnsi"/>
              </w:rPr>
              <w:t xml:space="preserve"> </w:t>
            </w:r>
          </w:p>
          <w:p w14:paraId="654C6616" w14:textId="77777777" w:rsidR="00363248" w:rsidRPr="00485F85" w:rsidRDefault="00363248" w:rsidP="00DE19E1">
            <w:pPr>
              <w:spacing w:line="360" w:lineRule="auto"/>
              <w:jc w:val="both"/>
              <w:rPr>
                <w:rFonts w:asciiTheme="majorHAnsi" w:hAnsiTheme="majorHAnsi" w:cstheme="majorHAnsi"/>
              </w:rPr>
            </w:pPr>
          </w:p>
          <w:p w14:paraId="3EF53974"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 As formas de engajamento da </w:t>
            </w:r>
            <w:r w:rsidRPr="00485F85">
              <w:rPr>
                <w:rFonts w:asciiTheme="majorHAnsi" w:hAnsiTheme="majorHAnsi" w:cstheme="majorHAnsi"/>
              </w:rPr>
              <w:lastRenderedPageBreak/>
              <w:t>comunidade acadêmica na pesquisa também podem ser consideradas uma boa prática e estão alinhadas com os objetivos de pesquisa do Planejamento Estratégico de Oxford. Trata-se de esquema de Liderança (Public Engagement with Research (PER) Leaders) para que os acadêmicos assumam um papel de protagonismo e mudança de cultura para seus departamentos e faculdades para melhorar o apoio à pesquisa. O programa é direcionado àqueles que têm um forte interesse em Pesquisa e que desejam a oportunidade de demonstrar suas habilidades de liderança em um ambiente acadêmico e de explorar novas maneiras de trabalhar facilitando a mudança. São escolhidos oito vencedores que receberão cada um £ 5.000 para iniciar iniciativas focadas em PER em seus departamentos e participarão de treinamento de uma variedade de PER internos e externos e profissionais de liderança ao longo do ano.</w:t>
            </w:r>
          </w:p>
          <w:p w14:paraId="60A9DA5A" w14:textId="77777777" w:rsidR="00363248" w:rsidRPr="00485F85" w:rsidRDefault="00A515B3" w:rsidP="00DE19E1">
            <w:pPr>
              <w:spacing w:line="360" w:lineRule="auto"/>
              <w:jc w:val="both"/>
              <w:rPr>
                <w:rFonts w:asciiTheme="majorHAnsi" w:hAnsiTheme="majorHAnsi" w:cstheme="majorHAnsi"/>
              </w:rPr>
            </w:pPr>
            <w:hyperlink r:id="rId297" w:history="1">
              <w:r w:rsidR="00363248" w:rsidRPr="00485F85">
                <w:rPr>
                  <w:rStyle w:val="Hyperlink"/>
                  <w:rFonts w:asciiTheme="majorHAnsi" w:hAnsiTheme="majorHAnsi" w:cstheme="majorHAnsi"/>
                </w:rPr>
                <w:t>https://www.ox.ac.uk/research/public-engagement/engagement-opportunities</w:t>
              </w:r>
            </w:hyperlink>
            <w:r w:rsidR="00363248" w:rsidRPr="00485F85">
              <w:rPr>
                <w:rFonts w:asciiTheme="majorHAnsi" w:hAnsiTheme="majorHAnsi" w:cstheme="majorHAnsi"/>
              </w:rPr>
              <w:t xml:space="preserve"> </w:t>
            </w:r>
          </w:p>
          <w:p w14:paraId="6F2A85E9" w14:textId="77777777" w:rsidR="00363248" w:rsidRPr="00485F85" w:rsidRDefault="00363248" w:rsidP="00DE19E1">
            <w:pPr>
              <w:spacing w:line="360" w:lineRule="auto"/>
              <w:jc w:val="both"/>
              <w:rPr>
                <w:rFonts w:asciiTheme="majorHAnsi" w:hAnsiTheme="majorHAnsi" w:cstheme="majorHAnsi"/>
              </w:rPr>
            </w:pPr>
          </w:p>
          <w:p w14:paraId="4D6025F8"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Oxford também oferece um suporte de engajamento público para os pesquisadores, mostrando suas fases de planejamento, ferramentas, ações, financiamentos entre outros. Até mesmo um documento orientativo foi criado em 2016 com esse objetivo.</w:t>
            </w:r>
          </w:p>
          <w:p w14:paraId="7C9D6B57" w14:textId="77777777" w:rsidR="00363248" w:rsidRPr="00485F85" w:rsidRDefault="00363248" w:rsidP="00DE19E1">
            <w:pPr>
              <w:spacing w:line="360" w:lineRule="auto"/>
              <w:jc w:val="both"/>
              <w:rPr>
                <w:rFonts w:asciiTheme="majorHAnsi" w:hAnsiTheme="majorHAnsi" w:cstheme="majorHAnsi"/>
              </w:rPr>
            </w:pPr>
          </w:p>
          <w:p w14:paraId="3E2BD70D" w14:textId="77777777" w:rsidR="00363248" w:rsidRPr="00485F85" w:rsidRDefault="00A515B3" w:rsidP="00DE19E1">
            <w:pPr>
              <w:spacing w:line="360" w:lineRule="auto"/>
              <w:jc w:val="both"/>
              <w:rPr>
                <w:rFonts w:asciiTheme="majorHAnsi" w:hAnsiTheme="majorHAnsi" w:cstheme="majorHAnsi"/>
              </w:rPr>
            </w:pPr>
            <w:hyperlink r:id="rId298" w:history="1">
              <w:r w:rsidR="00363248" w:rsidRPr="00485F85">
                <w:rPr>
                  <w:rStyle w:val="Hyperlink"/>
                  <w:rFonts w:asciiTheme="majorHAnsi" w:hAnsiTheme="majorHAnsi" w:cstheme="majorHAnsi"/>
                </w:rPr>
                <w:t>https://www.ox.ac.uk/research/public-engagement/support-researchers</w:t>
              </w:r>
            </w:hyperlink>
            <w:r w:rsidR="00363248" w:rsidRPr="00485F85">
              <w:rPr>
                <w:rFonts w:asciiTheme="majorHAnsi" w:hAnsiTheme="majorHAnsi" w:cstheme="majorHAnsi"/>
              </w:rPr>
              <w:t xml:space="preserve"> </w:t>
            </w:r>
          </w:p>
          <w:p w14:paraId="32E5DDAC" w14:textId="77777777" w:rsidR="00363248" w:rsidRPr="00485F85" w:rsidRDefault="00363248" w:rsidP="00DE19E1">
            <w:pPr>
              <w:spacing w:line="360" w:lineRule="auto"/>
              <w:jc w:val="both"/>
              <w:rPr>
                <w:rFonts w:asciiTheme="majorHAnsi" w:hAnsiTheme="majorHAnsi" w:cstheme="majorHAnsi"/>
              </w:rPr>
            </w:pPr>
          </w:p>
          <w:p w14:paraId="3775E20E" w14:textId="77777777" w:rsidR="00363248" w:rsidRPr="00485F85" w:rsidRDefault="00A515B3" w:rsidP="00DE19E1">
            <w:pPr>
              <w:spacing w:line="360" w:lineRule="auto"/>
              <w:jc w:val="both"/>
              <w:rPr>
                <w:rFonts w:asciiTheme="majorHAnsi" w:hAnsiTheme="majorHAnsi" w:cstheme="majorHAnsi"/>
              </w:rPr>
            </w:pPr>
            <w:hyperlink r:id="rId299" w:history="1">
              <w:r w:rsidR="00363248" w:rsidRPr="00485F85">
                <w:rPr>
                  <w:rStyle w:val="Hyperlink"/>
                  <w:rFonts w:asciiTheme="majorHAnsi" w:hAnsiTheme="majorHAnsi" w:cstheme="majorHAnsi"/>
                </w:rPr>
                <w:t>https://www.ox.ac.uk/sites/files/oxford/media_wysiwyg/University%20of%20Oxford%20-%20Public%20Engagement%20with%20Research%20Strategic%20Plan.pdf</w:t>
              </w:r>
            </w:hyperlink>
            <w:r w:rsidR="00363248" w:rsidRPr="00485F85">
              <w:rPr>
                <w:rFonts w:asciiTheme="majorHAnsi" w:hAnsiTheme="majorHAnsi" w:cstheme="majorHAnsi"/>
              </w:rPr>
              <w:t xml:space="preserve"> </w:t>
            </w:r>
          </w:p>
          <w:p w14:paraId="406E135E" w14:textId="77777777" w:rsidR="00363248" w:rsidRPr="00485F85" w:rsidRDefault="00363248" w:rsidP="00DE19E1">
            <w:pPr>
              <w:spacing w:line="360" w:lineRule="auto"/>
              <w:jc w:val="both"/>
              <w:rPr>
                <w:rFonts w:asciiTheme="majorHAnsi" w:hAnsiTheme="majorHAnsi" w:cstheme="majorHAnsi"/>
              </w:rPr>
            </w:pPr>
          </w:p>
          <w:p w14:paraId="59E9E6A5" w14:textId="77777777" w:rsidR="00363248" w:rsidRPr="00485F85" w:rsidRDefault="00363248" w:rsidP="00DE19E1">
            <w:pPr>
              <w:spacing w:line="360" w:lineRule="auto"/>
              <w:jc w:val="both"/>
              <w:rPr>
                <w:rFonts w:asciiTheme="majorHAnsi" w:hAnsiTheme="majorHAnsi" w:cstheme="majorHAnsi"/>
              </w:rPr>
            </w:pPr>
          </w:p>
          <w:p w14:paraId="7D423E8D"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quantidade de patentes e as formas de reconhecimento (intelectual e financeiras) dos pesquisadores podem ser consideradas boas práticas e contribuem para fortalecer essa dimensão na Universidade.</w:t>
            </w:r>
          </w:p>
          <w:p w14:paraId="716695AA" w14:textId="77777777" w:rsidR="00363248" w:rsidRPr="00485F85" w:rsidRDefault="00363248" w:rsidP="00DE19E1">
            <w:pPr>
              <w:spacing w:line="360" w:lineRule="auto"/>
              <w:jc w:val="both"/>
              <w:rPr>
                <w:rFonts w:asciiTheme="majorHAnsi" w:hAnsiTheme="majorHAnsi" w:cstheme="majorHAnsi"/>
              </w:rPr>
            </w:pPr>
          </w:p>
          <w:p w14:paraId="07889113"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xml:space="preserve">Oxford possui uma legislação embasada para registros desuas inovações, </w:t>
            </w:r>
          </w:p>
          <w:p w14:paraId="1D323230" w14:textId="77777777" w:rsidR="00363248" w:rsidRPr="00485F85" w:rsidRDefault="00363248" w:rsidP="00DE19E1">
            <w:pPr>
              <w:spacing w:line="360" w:lineRule="auto"/>
              <w:jc w:val="both"/>
              <w:rPr>
                <w:rFonts w:asciiTheme="majorHAnsi" w:hAnsiTheme="majorHAnsi" w:cstheme="majorHAnsi"/>
                <w:lang w:val="en-US"/>
              </w:rPr>
            </w:pPr>
            <w:r w:rsidRPr="00485F85">
              <w:rPr>
                <w:rFonts w:asciiTheme="majorHAnsi" w:hAnsiTheme="majorHAnsi" w:cstheme="majorHAnsi"/>
                <w:lang w:val="en-US"/>
              </w:rPr>
              <w:t>Estatuto - Statute XVI: Property, Contracts, and Trusts</w:t>
            </w:r>
          </w:p>
          <w:p w14:paraId="29BC1C54" w14:textId="77777777" w:rsidR="00363248" w:rsidRPr="00485F85" w:rsidRDefault="00A515B3" w:rsidP="00DE19E1">
            <w:pPr>
              <w:spacing w:line="360" w:lineRule="auto"/>
              <w:jc w:val="both"/>
              <w:rPr>
                <w:rFonts w:asciiTheme="majorHAnsi" w:hAnsiTheme="majorHAnsi" w:cstheme="majorHAnsi"/>
                <w:lang w:val="en-US"/>
              </w:rPr>
            </w:pPr>
            <w:hyperlink r:id="rId300" w:anchor="collapse1383596" w:history="1">
              <w:r w:rsidR="00363248" w:rsidRPr="00485F85">
                <w:rPr>
                  <w:rStyle w:val="Hyperlink"/>
                  <w:rFonts w:asciiTheme="majorHAnsi" w:hAnsiTheme="majorHAnsi" w:cstheme="majorHAnsi"/>
                  <w:lang w:val="en-US"/>
                </w:rPr>
                <w:t>https://governance.admin.ox.ac.uk/legislation/statute-xvi-property-contracts-and-trusts#collapse1383596</w:t>
              </w:r>
            </w:hyperlink>
            <w:r w:rsidR="00363248" w:rsidRPr="00485F85">
              <w:rPr>
                <w:rFonts w:asciiTheme="majorHAnsi" w:hAnsiTheme="majorHAnsi" w:cstheme="majorHAnsi"/>
                <w:lang w:val="en-US"/>
              </w:rPr>
              <w:t xml:space="preserve">   </w:t>
            </w:r>
          </w:p>
          <w:p w14:paraId="30978188" w14:textId="77777777" w:rsidR="00363248" w:rsidRPr="00485F85" w:rsidRDefault="00363248" w:rsidP="00DE19E1">
            <w:pPr>
              <w:spacing w:line="360" w:lineRule="auto"/>
              <w:jc w:val="both"/>
              <w:rPr>
                <w:rFonts w:asciiTheme="majorHAnsi" w:hAnsiTheme="majorHAnsi" w:cstheme="majorHAnsi"/>
                <w:lang w:val="en-US"/>
              </w:rPr>
            </w:pPr>
          </w:p>
          <w:p w14:paraId="3F510F08"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Oferece as etapas para a comercialização da Propriedade Intelectual</w:t>
            </w:r>
          </w:p>
          <w:p w14:paraId="23BA6A78" w14:textId="77777777" w:rsidR="00363248" w:rsidRPr="00485F85" w:rsidRDefault="00A515B3" w:rsidP="00DE19E1">
            <w:pPr>
              <w:spacing w:line="360" w:lineRule="auto"/>
              <w:jc w:val="both"/>
              <w:rPr>
                <w:rFonts w:asciiTheme="majorHAnsi" w:hAnsiTheme="majorHAnsi" w:cstheme="majorHAnsi"/>
              </w:rPr>
            </w:pPr>
            <w:hyperlink r:id="rId301" w:history="1">
              <w:r w:rsidR="00363248" w:rsidRPr="00485F85">
                <w:rPr>
                  <w:rStyle w:val="Hyperlink"/>
                  <w:rFonts w:asciiTheme="majorHAnsi" w:hAnsiTheme="majorHAnsi" w:cstheme="majorHAnsi"/>
                </w:rPr>
                <w:t>https://researchsupport.admin.ox.ac.uk/innovation/ip/commercialisation</w:t>
              </w:r>
            </w:hyperlink>
            <w:r w:rsidR="00363248" w:rsidRPr="00485F85">
              <w:rPr>
                <w:rFonts w:asciiTheme="majorHAnsi" w:hAnsiTheme="majorHAnsi" w:cstheme="majorHAnsi"/>
              </w:rPr>
              <w:t xml:space="preserve"> </w:t>
            </w:r>
          </w:p>
          <w:p w14:paraId="419338CA" w14:textId="77777777" w:rsidR="00363248" w:rsidRPr="00485F85" w:rsidRDefault="00363248" w:rsidP="00DE19E1">
            <w:pPr>
              <w:spacing w:line="360" w:lineRule="auto"/>
              <w:jc w:val="both"/>
              <w:rPr>
                <w:rFonts w:asciiTheme="majorHAnsi" w:hAnsiTheme="majorHAnsi" w:cstheme="majorHAnsi"/>
              </w:rPr>
            </w:pPr>
          </w:p>
          <w:p w14:paraId="47F663E4"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Além de promover o compartilhamento da Receita de Licenciamento</w:t>
            </w:r>
          </w:p>
          <w:p w14:paraId="5262F8BF" w14:textId="77777777" w:rsidR="00363248" w:rsidRPr="00485F85" w:rsidRDefault="00A515B3" w:rsidP="00DE19E1">
            <w:pPr>
              <w:spacing w:line="360" w:lineRule="auto"/>
              <w:jc w:val="both"/>
              <w:rPr>
                <w:rFonts w:asciiTheme="majorHAnsi" w:hAnsiTheme="majorHAnsi" w:cstheme="majorHAnsi"/>
              </w:rPr>
            </w:pPr>
            <w:hyperlink r:id="rId302" w:history="1">
              <w:r w:rsidR="00363248" w:rsidRPr="00485F85">
                <w:rPr>
                  <w:rStyle w:val="Hyperlink"/>
                  <w:rFonts w:asciiTheme="majorHAnsi" w:hAnsiTheme="majorHAnsi" w:cstheme="majorHAnsi"/>
                </w:rPr>
                <w:t>https://innovation.ox.ac.uk/university-members/commercialising-technology/ip-patents-licenses/revenue-sharing-licensing/</w:t>
              </w:r>
            </w:hyperlink>
            <w:r w:rsidR="00363248" w:rsidRPr="00485F85">
              <w:rPr>
                <w:rFonts w:asciiTheme="majorHAnsi" w:hAnsiTheme="majorHAnsi" w:cstheme="majorHAnsi"/>
              </w:rPr>
              <w:t xml:space="preserve">  </w:t>
            </w:r>
          </w:p>
          <w:p w14:paraId="39ED85D6" w14:textId="77777777" w:rsidR="00363248" w:rsidRPr="00485F85" w:rsidRDefault="00363248" w:rsidP="00DE19E1">
            <w:pPr>
              <w:spacing w:line="360" w:lineRule="auto"/>
              <w:jc w:val="both"/>
              <w:rPr>
                <w:rFonts w:asciiTheme="majorHAnsi" w:hAnsiTheme="majorHAnsi" w:cstheme="majorHAnsi"/>
              </w:rPr>
            </w:pPr>
          </w:p>
          <w:p w14:paraId="68344366" w14:textId="77777777" w:rsidR="00363248" w:rsidRPr="00485F85" w:rsidRDefault="00363248" w:rsidP="00DE19E1">
            <w:pPr>
              <w:spacing w:line="360" w:lineRule="auto"/>
              <w:jc w:val="both"/>
              <w:rPr>
                <w:rFonts w:asciiTheme="majorHAnsi" w:hAnsiTheme="majorHAnsi" w:cstheme="majorHAnsi"/>
              </w:rPr>
            </w:pPr>
          </w:p>
          <w:p w14:paraId="380A8608" w14:textId="77777777" w:rsidR="00363248" w:rsidRPr="00485F85" w:rsidRDefault="00363248" w:rsidP="00DE19E1">
            <w:pPr>
              <w:spacing w:line="360" w:lineRule="auto"/>
              <w:jc w:val="both"/>
              <w:rPr>
                <w:rFonts w:asciiTheme="majorHAnsi" w:hAnsiTheme="majorHAnsi" w:cstheme="majorHAnsi"/>
              </w:rPr>
            </w:pPr>
            <w:r w:rsidRPr="00485F85">
              <w:rPr>
                <w:rFonts w:asciiTheme="majorHAnsi" w:hAnsiTheme="majorHAnsi" w:cstheme="majorHAnsi"/>
              </w:rPr>
              <w:t>- A universidade oferece o Research Professional: um banco de dados online de financiamento de pesquisas e serviço de notícias no qual os pesquisadores podem pesquisar oportunidades internacionais e do Reino Unido</w:t>
            </w:r>
          </w:p>
          <w:p w14:paraId="06C4C2EB" w14:textId="77777777" w:rsidR="00363248" w:rsidRPr="00485F85" w:rsidRDefault="00A515B3" w:rsidP="00DE19E1">
            <w:pPr>
              <w:spacing w:line="360" w:lineRule="auto"/>
              <w:jc w:val="both"/>
              <w:rPr>
                <w:rFonts w:asciiTheme="majorHAnsi" w:hAnsiTheme="majorHAnsi" w:cstheme="majorHAnsi"/>
              </w:rPr>
            </w:pPr>
            <w:hyperlink r:id="rId303" w:history="1">
              <w:r w:rsidR="00363248" w:rsidRPr="00485F85">
                <w:rPr>
                  <w:rStyle w:val="Hyperlink"/>
                  <w:rFonts w:asciiTheme="majorHAnsi" w:hAnsiTheme="majorHAnsi" w:cstheme="majorHAnsi"/>
                </w:rPr>
                <w:t>https://researchsupport.admin.ox.ac.uk/funding/rp</w:t>
              </w:r>
            </w:hyperlink>
          </w:p>
          <w:p w14:paraId="457654F6" w14:textId="77777777" w:rsidR="00363248" w:rsidRPr="00485F85" w:rsidRDefault="00363248" w:rsidP="00DE19E1">
            <w:pPr>
              <w:spacing w:line="360" w:lineRule="auto"/>
              <w:jc w:val="both"/>
              <w:rPr>
                <w:rFonts w:asciiTheme="majorHAnsi" w:hAnsiTheme="majorHAnsi" w:cstheme="majorHAnsi"/>
              </w:rPr>
            </w:pPr>
          </w:p>
          <w:p w14:paraId="6B650B9D" w14:textId="77777777" w:rsidR="00363248" w:rsidRPr="00485F85" w:rsidRDefault="00363248" w:rsidP="00DE19E1">
            <w:pPr>
              <w:spacing w:line="360" w:lineRule="auto"/>
              <w:jc w:val="both"/>
              <w:rPr>
                <w:rFonts w:asciiTheme="majorHAnsi" w:hAnsiTheme="majorHAnsi" w:cstheme="majorHAnsi"/>
                <w:b/>
              </w:rPr>
            </w:pPr>
          </w:p>
        </w:tc>
      </w:tr>
      <w:tr w:rsidR="00775044" w:rsidRPr="00485F85" w14:paraId="43173D08" w14:textId="77777777" w:rsidTr="00DE19E1">
        <w:tc>
          <w:tcPr>
            <w:tcW w:w="905" w:type="dxa"/>
            <w:tcBorders>
              <w:top w:val="single" w:sz="4" w:space="0" w:color="auto"/>
              <w:left w:val="single" w:sz="4" w:space="0" w:color="auto"/>
              <w:bottom w:val="single" w:sz="4" w:space="0" w:color="auto"/>
              <w:right w:val="single" w:sz="4" w:space="0" w:color="auto"/>
            </w:tcBorders>
          </w:tcPr>
          <w:p w14:paraId="55CDEFDD" w14:textId="19BC477D" w:rsidR="00775044" w:rsidRPr="00485F85" w:rsidRDefault="00775044" w:rsidP="00DE19E1">
            <w:pPr>
              <w:spacing w:line="360" w:lineRule="auto"/>
              <w:jc w:val="both"/>
              <w:rPr>
                <w:rFonts w:asciiTheme="majorHAnsi" w:hAnsiTheme="majorHAnsi" w:cstheme="majorHAnsi"/>
                <w:b/>
              </w:rPr>
            </w:pPr>
            <w:bookmarkStart w:id="58" w:name="_Hlk79966247"/>
            <w:r w:rsidRPr="00485F85">
              <w:rPr>
                <w:rFonts w:asciiTheme="majorHAnsi" w:hAnsiTheme="majorHAnsi" w:cstheme="majorHAnsi"/>
                <w:b/>
              </w:rPr>
              <w:lastRenderedPageBreak/>
              <w:t>Dimensão 6. Políticas de Extensão</w:t>
            </w:r>
            <w:bookmarkEnd w:id="58"/>
          </w:p>
        </w:tc>
        <w:tc>
          <w:tcPr>
            <w:tcW w:w="3461" w:type="dxa"/>
            <w:tcBorders>
              <w:top w:val="single" w:sz="4" w:space="0" w:color="auto"/>
              <w:left w:val="single" w:sz="4" w:space="0" w:color="auto"/>
              <w:bottom w:val="single" w:sz="4" w:space="0" w:color="auto"/>
              <w:right w:val="single" w:sz="4" w:space="0" w:color="auto"/>
            </w:tcBorders>
          </w:tcPr>
          <w:p w14:paraId="08E17CE9"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Universidade possui uma política de extensão desde  1878, um programa que via tutores de Oxford viajando para vilas e cidades em todo o país para dar palestras sobre uma ampla gama de tópicos. Foi um esforço inovador, porque permitiu o acesso à educação a grupos em grande parte excluídos - nomeadamente homens e mulheres trabalhadores. </w:t>
            </w:r>
          </w:p>
          <w:p w14:paraId="4D819CDC" w14:textId="77777777" w:rsidR="00775044" w:rsidRPr="00485F85" w:rsidRDefault="00775044" w:rsidP="00DE19E1">
            <w:pPr>
              <w:spacing w:after="160" w:line="360" w:lineRule="auto"/>
              <w:jc w:val="both"/>
              <w:rPr>
                <w:rFonts w:asciiTheme="majorHAnsi" w:hAnsiTheme="majorHAnsi" w:cstheme="majorHAnsi"/>
                <w:bCs/>
              </w:rPr>
            </w:pPr>
          </w:p>
          <w:p w14:paraId="006B6FD4"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Diviões, Colleges e faculties e outras são incentivados a fazerem suas ações voltadas para </w:t>
            </w:r>
            <w:r w:rsidRPr="00485F85">
              <w:rPr>
                <w:rFonts w:asciiTheme="majorHAnsi" w:hAnsiTheme="majorHAnsi" w:cstheme="majorHAnsi"/>
                <w:bCs/>
              </w:rPr>
              <w:lastRenderedPageBreak/>
              <w:t>a comunidade.</w:t>
            </w:r>
          </w:p>
          <w:p w14:paraId="34ADCB91" w14:textId="77777777" w:rsidR="00775044" w:rsidRPr="00485F85" w:rsidRDefault="00775044" w:rsidP="00DE19E1">
            <w:pPr>
              <w:spacing w:after="160" w:line="360" w:lineRule="auto"/>
              <w:jc w:val="both"/>
              <w:rPr>
                <w:rFonts w:asciiTheme="majorHAnsi" w:hAnsiTheme="majorHAnsi" w:cstheme="majorHAnsi"/>
                <w:bCs/>
              </w:rPr>
            </w:pPr>
          </w:p>
          <w:p w14:paraId="0A675252" w14:textId="77777777" w:rsidR="00775044" w:rsidRPr="00485F85" w:rsidRDefault="00775044" w:rsidP="00DE19E1">
            <w:pPr>
              <w:spacing w:after="160" w:line="360" w:lineRule="auto"/>
              <w:jc w:val="both"/>
              <w:rPr>
                <w:rFonts w:asciiTheme="majorHAnsi" w:hAnsiTheme="majorHAnsi" w:cstheme="majorHAnsi"/>
                <w:bCs/>
              </w:rPr>
            </w:pPr>
          </w:p>
          <w:p w14:paraId="38CDCE32" w14:textId="77777777" w:rsidR="00775044" w:rsidRPr="00485F85" w:rsidRDefault="00775044" w:rsidP="00DE19E1">
            <w:pPr>
              <w:spacing w:after="160" w:line="360" w:lineRule="auto"/>
              <w:jc w:val="both"/>
              <w:rPr>
                <w:rFonts w:asciiTheme="majorHAnsi" w:hAnsiTheme="majorHAnsi" w:cstheme="majorHAnsi"/>
                <w:bCs/>
              </w:rPr>
            </w:pPr>
          </w:p>
          <w:p w14:paraId="4A6C3169" w14:textId="77777777" w:rsidR="00775044" w:rsidRPr="00485F85" w:rsidRDefault="00775044" w:rsidP="00DE19E1">
            <w:pPr>
              <w:spacing w:after="160" w:line="360" w:lineRule="auto"/>
              <w:jc w:val="both"/>
              <w:rPr>
                <w:rFonts w:asciiTheme="majorHAnsi" w:hAnsiTheme="majorHAnsi" w:cstheme="majorHAnsi"/>
                <w:bCs/>
              </w:rPr>
            </w:pPr>
          </w:p>
          <w:p w14:paraId="5877E666" w14:textId="77777777" w:rsidR="00775044" w:rsidRPr="00485F85" w:rsidRDefault="00775044"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33B07830"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As políticas de extensão não estão centralizadas em uma divisão acadêmica, College ou departamento. Desse modo, o site é um sistema centralizados das ações que ocorrem na comunidade encabeçadas pela Universiadade. E por esse motivo as informações que não aparecem na seção “Comunidade Local” se encontram “perdidas” pelos diversos sites da Instituição e não puderam ser recuperadas.</w:t>
            </w:r>
          </w:p>
          <w:p w14:paraId="13FFAA9F" w14:textId="77777777" w:rsidR="00775044" w:rsidRPr="00485F85" w:rsidRDefault="00775044" w:rsidP="00DE19E1">
            <w:pPr>
              <w:spacing w:after="160" w:line="360" w:lineRule="auto"/>
              <w:jc w:val="both"/>
              <w:rPr>
                <w:rFonts w:asciiTheme="majorHAnsi" w:hAnsiTheme="majorHAnsi" w:cstheme="majorHAnsi"/>
                <w:bCs/>
              </w:rPr>
            </w:pPr>
          </w:p>
          <w:p w14:paraId="52415FCA"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princípio, pelo que </w:t>
            </w:r>
            <w:r w:rsidRPr="00485F85">
              <w:rPr>
                <w:rFonts w:asciiTheme="majorHAnsi" w:hAnsiTheme="majorHAnsi" w:cstheme="majorHAnsi"/>
                <w:bCs/>
              </w:rPr>
              <w:lastRenderedPageBreak/>
              <w:t>pode ser pesquisado, a maioria da comunidade precisa se relacionar ou ter ao menos um contato virtual com a instituição para que tenha acesso às suas possibilidades de atendimento. E, nesse caso, acaba limitando o atendimento somente a pessoas que possuem tecnologia (computador, celular, e internet)</w:t>
            </w:r>
          </w:p>
          <w:p w14:paraId="3104B3E8" w14:textId="77777777" w:rsidR="00775044" w:rsidRPr="00485F85" w:rsidRDefault="00775044" w:rsidP="00DE19E1">
            <w:pPr>
              <w:spacing w:after="160" w:line="360" w:lineRule="auto"/>
              <w:jc w:val="both"/>
              <w:rPr>
                <w:rFonts w:asciiTheme="majorHAnsi" w:hAnsiTheme="majorHAnsi" w:cstheme="majorHAnsi"/>
                <w:bCs/>
              </w:rPr>
            </w:pPr>
          </w:p>
          <w:p w14:paraId="0ACEAD3A" w14:textId="1C7697DC" w:rsidR="00775044" w:rsidRPr="00485F85" w:rsidRDefault="00775044" w:rsidP="00DE19E1">
            <w:pPr>
              <w:spacing w:line="360" w:lineRule="auto"/>
              <w:jc w:val="both"/>
              <w:rPr>
                <w:rFonts w:asciiTheme="majorHAnsi" w:hAnsiTheme="majorHAnsi" w:cstheme="majorHAnsi"/>
                <w:b/>
              </w:rPr>
            </w:pPr>
            <w:r w:rsidRPr="00485F85">
              <w:rPr>
                <w:rFonts w:asciiTheme="majorHAnsi" w:hAnsiTheme="majorHAnsi" w:cstheme="majorHAnsi"/>
                <w:bCs/>
              </w:rPr>
              <w:t xml:space="preserve">- Não foi detectado um departamento físico que atendesse a demanda da comunidade. </w:t>
            </w:r>
          </w:p>
        </w:tc>
        <w:tc>
          <w:tcPr>
            <w:tcW w:w="4136" w:type="dxa"/>
            <w:tcBorders>
              <w:top w:val="single" w:sz="4" w:space="0" w:color="auto"/>
              <w:left w:val="single" w:sz="4" w:space="0" w:color="auto"/>
              <w:bottom w:val="single" w:sz="4" w:space="0" w:color="auto"/>
              <w:right w:val="single" w:sz="4" w:space="0" w:color="auto"/>
            </w:tcBorders>
          </w:tcPr>
          <w:p w14:paraId="0CAC9ED4"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lastRenderedPageBreak/>
              <w:t>- O concurso de arte Beyond Boundaries 2020, da Divisão de Matemática, Física e Ciências da Vida (MPLS) para alunos da escola estadual de Oxfordshire nos anos 5, 6, 7 e 8, teve a proposta de criar arte inspirada por pesquisas de cientistas negros, asiáticos e de minorias étnicas e matemáticos.</w:t>
            </w:r>
          </w:p>
          <w:p w14:paraId="5555DE91" w14:textId="77777777" w:rsidR="00775044" w:rsidRPr="00485F85" w:rsidRDefault="00775044" w:rsidP="00DE19E1">
            <w:pPr>
              <w:spacing w:line="360" w:lineRule="auto"/>
              <w:jc w:val="both"/>
              <w:rPr>
                <w:rFonts w:asciiTheme="majorHAnsi" w:hAnsiTheme="majorHAnsi" w:cstheme="majorHAnsi"/>
              </w:rPr>
            </w:pPr>
          </w:p>
          <w:p w14:paraId="5A483951"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O concurso '50 palavras, criado em</w:t>
            </w:r>
            <w:r w:rsidRPr="00485F85">
              <w:rPr>
                <w:rFonts w:asciiTheme="majorHAnsi" w:hAnsiTheme="majorHAnsi" w:cstheme="majorHAnsi"/>
              </w:rPr>
              <w:tab/>
              <w:t xml:space="preserve">2021, proporcionou a interação de alunos ensino médio de Oxfordshire em um concurso de redação para explicar, em 50 palavras ou menos, “o que eles pensam quando pensam sobre pesquisa. </w:t>
            </w:r>
          </w:p>
          <w:p w14:paraId="1FCBADB2" w14:textId="77777777" w:rsidR="00775044" w:rsidRPr="00485F85" w:rsidRDefault="00775044" w:rsidP="00DE19E1">
            <w:pPr>
              <w:spacing w:line="360" w:lineRule="auto"/>
              <w:jc w:val="both"/>
              <w:rPr>
                <w:rFonts w:asciiTheme="majorHAnsi" w:hAnsiTheme="majorHAnsi" w:cstheme="majorHAnsi"/>
              </w:rPr>
            </w:pPr>
          </w:p>
          <w:p w14:paraId="63D35443"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O Oxford Sparks</w:t>
            </w:r>
            <w:r w:rsidRPr="00485F85">
              <w:rPr>
                <w:rFonts w:asciiTheme="majorHAnsi" w:hAnsiTheme="majorHAnsi" w:cstheme="majorHAnsi"/>
              </w:rPr>
              <w:tab/>
              <w:t xml:space="preserve">reúne recursos e informações  de toda a universidade para que a comunidade possa explorar e descobrir a pesquisa de Oxford. Ao todo, são mais de 400 exemplos de maneiras </w:t>
            </w:r>
            <w:r w:rsidRPr="00485F85">
              <w:rPr>
                <w:rFonts w:asciiTheme="majorHAnsi" w:hAnsiTheme="majorHAnsi" w:cstheme="majorHAnsi"/>
              </w:rPr>
              <w:lastRenderedPageBreak/>
              <w:t>pelas quais o cidadão pode acessar e se envolver com as pesquisas de Oxford, que foram projetadas especificamente para serem acessíveis e envolventes.</w:t>
            </w:r>
          </w:p>
          <w:p w14:paraId="3D547CEF" w14:textId="77777777" w:rsidR="00775044" w:rsidRPr="00485F85" w:rsidRDefault="00775044" w:rsidP="00DE19E1">
            <w:pPr>
              <w:spacing w:line="360" w:lineRule="auto"/>
              <w:jc w:val="both"/>
              <w:rPr>
                <w:rFonts w:asciiTheme="majorHAnsi" w:hAnsiTheme="majorHAnsi" w:cstheme="majorHAnsi"/>
              </w:rPr>
            </w:pPr>
          </w:p>
          <w:p w14:paraId="6D49BA8F" w14:textId="77777777" w:rsidR="00775044" w:rsidRPr="00485F85" w:rsidRDefault="00775044" w:rsidP="00DE19E1">
            <w:pPr>
              <w:spacing w:line="360" w:lineRule="auto"/>
              <w:jc w:val="both"/>
              <w:rPr>
                <w:rFonts w:asciiTheme="majorHAnsi" w:hAnsiTheme="majorHAnsi" w:cstheme="majorHAnsi"/>
              </w:rPr>
            </w:pPr>
          </w:p>
          <w:p w14:paraId="4086E2B4" w14:textId="77777777" w:rsidR="00775044" w:rsidRPr="00485F85" w:rsidRDefault="00775044" w:rsidP="00DE19E1">
            <w:pPr>
              <w:tabs>
                <w:tab w:val="clear" w:pos="1615"/>
              </w:tabs>
              <w:spacing w:line="360" w:lineRule="auto"/>
              <w:jc w:val="both"/>
              <w:rPr>
                <w:rFonts w:asciiTheme="majorHAnsi" w:hAnsiTheme="majorHAnsi" w:cstheme="majorHAnsi"/>
              </w:rPr>
            </w:pPr>
            <w:r w:rsidRPr="00485F85">
              <w:rPr>
                <w:rFonts w:asciiTheme="majorHAnsi" w:hAnsiTheme="majorHAnsi" w:cstheme="majorHAnsi"/>
              </w:rPr>
              <w:t>- Visitações aos jardins e parques Universitários acontecem desde 1864 Oxford convida a comunidade a participar de eventos como jogos, passeios, cantatas e muito mais.</w:t>
            </w:r>
          </w:p>
          <w:p w14:paraId="11B3FCD1" w14:textId="77777777" w:rsidR="00775044" w:rsidRPr="00485F85" w:rsidRDefault="00775044" w:rsidP="00DE19E1">
            <w:pPr>
              <w:spacing w:line="360" w:lineRule="auto"/>
              <w:jc w:val="both"/>
              <w:rPr>
                <w:rFonts w:asciiTheme="majorHAnsi" w:hAnsiTheme="majorHAnsi" w:cstheme="majorHAnsi"/>
              </w:rPr>
            </w:pPr>
          </w:p>
          <w:p w14:paraId="40F6A735"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Espaço para contato com o objetivo de colaborar com o a comunidade. No site de contato os alunos e professores podem trabalhar com projetos comunitários. Caso o interessado da comunidade achar que seu grupo ou projeto poderia explorar de maneira útil, a parceria poderia ser estabelecida; seja com mentor e aconselhamento, voluntariado e participação, compartilhamento de dados e experiência ou até mesmo um empreendimento comercial. O interessado deve entrar em contato pelo site com os departamentos específicos.</w:t>
            </w:r>
          </w:p>
          <w:p w14:paraId="51796875" w14:textId="77777777" w:rsidR="00775044" w:rsidRPr="00485F85" w:rsidRDefault="00775044" w:rsidP="00DE19E1">
            <w:pPr>
              <w:spacing w:line="360" w:lineRule="auto"/>
              <w:jc w:val="both"/>
              <w:rPr>
                <w:rFonts w:asciiTheme="majorHAnsi" w:hAnsiTheme="majorHAnsi" w:cstheme="majorHAnsi"/>
              </w:rPr>
            </w:pPr>
          </w:p>
          <w:p w14:paraId="39A91FEE" w14:textId="77777777" w:rsidR="00775044" w:rsidRPr="00485F85" w:rsidRDefault="00A515B3" w:rsidP="00DE19E1">
            <w:pPr>
              <w:spacing w:line="360" w:lineRule="auto"/>
              <w:jc w:val="both"/>
              <w:rPr>
                <w:rFonts w:asciiTheme="majorHAnsi" w:hAnsiTheme="majorHAnsi" w:cstheme="majorHAnsi"/>
              </w:rPr>
            </w:pPr>
            <w:hyperlink r:id="rId304" w:history="1">
              <w:r w:rsidR="00775044" w:rsidRPr="00485F85">
                <w:rPr>
                  <w:rStyle w:val="Hyperlink"/>
                  <w:rFonts w:asciiTheme="majorHAnsi" w:hAnsiTheme="majorHAnsi" w:cstheme="majorHAnsi"/>
                </w:rPr>
                <w:t>https://www.ox.ac.uk/local-community/small-community-grants/collaboration</w:t>
              </w:r>
            </w:hyperlink>
            <w:r w:rsidR="00775044" w:rsidRPr="00485F85">
              <w:rPr>
                <w:rFonts w:asciiTheme="majorHAnsi" w:hAnsiTheme="majorHAnsi" w:cstheme="majorHAnsi"/>
              </w:rPr>
              <w:t xml:space="preserve"> </w:t>
            </w:r>
          </w:p>
          <w:p w14:paraId="283AB59E" w14:textId="77777777" w:rsidR="00775044" w:rsidRPr="00485F85" w:rsidRDefault="00775044" w:rsidP="00DE19E1">
            <w:pPr>
              <w:spacing w:line="360" w:lineRule="auto"/>
              <w:jc w:val="both"/>
              <w:rPr>
                <w:rFonts w:asciiTheme="majorHAnsi" w:hAnsiTheme="majorHAnsi" w:cstheme="majorHAnsi"/>
              </w:rPr>
            </w:pPr>
          </w:p>
          <w:p w14:paraId="6F56452A" w14:textId="77777777" w:rsidR="00775044" w:rsidRPr="00485F85" w:rsidRDefault="00775044" w:rsidP="00DE19E1">
            <w:pPr>
              <w:spacing w:line="360" w:lineRule="auto"/>
              <w:rPr>
                <w:rFonts w:asciiTheme="majorHAnsi" w:hAnsiTheme="majorHAnsi" w:cstheme="majorHAnsi"/>
              </w:rPr>
            </w:pPr>
            <w:r w:rsidRPr="00485F85">
              <w:rPr>
                <w:rFonts w:asciiTheme="majorHAnsi" w:hAnsiTheme="majorHAnsi" w:cstheme="majorHAnsi"/>
              </w:rPr>
              <w:t>- Oxford também sugere a participação da comunidade em seus projetos de pesquisa, como voluntários ou colaboradores. Trata-</w:t>
            </w:r>
            <w:r w:rsidRPr="00485F85">
              <w:rPr>
                <w:rFonts w:asciiTheme="majorHAnsi" w:hAnsiTheme="majorHAnsi" w:cstheme="majorHAnsi"/>
              </w:rPr>
              <w:lastRenderedPageBreak/>
              <w:t xml:space="preserve">se de um espaço no site dedicado ao chamamento da Comunidade para participar ativamente como voluntários ou parceiros das pesquisas da universidade. Link: </w:t>
            </w:r>
            <w:hyperlink r:id="rId305" w:history="1">
              <w:r w:rsidRPr="00485F85">
                <w:rPr>
                  <w:rStyle w:val="Hyperlink"/>
                  <w:rFonts w:asciiTheme="majorHAnsi" w:hAnsiTheme="majorHAnsi" w:cstheme="majorHAnsi"/>
                </w:rPr>
                <w:t>https://www.ox.ac.uk/local-community/get-involved</w:t>
              </w:r>
            </w:hyperlink>
            <w:r w:rsidRPr="00485F85">
              <w:rPr>
                <w:rFonts w:asciiTheme="majorHAnsi" w:hAnsiTheme="majorHAnsi" w:cstheme="majorHAnsi"/>
              </w:rPr>
              <w:t xml:space="preserve"> </w:t>
            </w:r>
          </w:p>
          <w:p w14:paraId="5BA84322" w14:textId="77777777" w:rsidR="00775044" w:rsidRPr="00485F85" w:rsidRDefault="00775044" w:rsidP="00DE19E1">
            <w:pPr>
              <w:spacing w:line="360" w:lineRule="auto"/>
              <w:rPr>
                <w:rFonts w:asciiTheme="majorHAnsi" w:hAnsiTheme="majorHAnsi" w:cstheme="majorHAnsi"/>
              </w:rPr>
            </w:pPr>
          </w:p>
          <w:p w14:paraId="61245853" w14:textId="77777777" w:rsidR="00775044" w:rsidRPr="00485F85" w:rsidRDefault="00775044" w:rsidP="00DE19E1">
            <w:pPr>
              <w:spacing w:line="360" w:lineRule="auto"/>
              <w:rPr>
                <w:rFonts w:asciiTheme="majorHAnsi" w:hAnsiTheme="majorHAnsi" w:cstheme="majorHAnsi"/>
              </w:rPr>
            </w:pPr>
            <w:r w:rsidRPr="00485F85">
              <w:rPr>
                <w:rFonts w:asciiTheme="majorHAnsi" w:hAnsiTheme="majorHAnsi" w:cstheme="majorHAnsi"/>
              </w:rPr>
              <w:t>- A organização de eventos acadêmicos, de negócios até casamentos (</w:t>
            </w:r>
            <w:hyperlink r:id="rId306" w:history="1">
              <w:r w:rsidRPr="00485F85">
                <w:rPr>
                  <w:rStyle w:val="Hyperlink"/>
                  <w:rFonts w:asciiTheme="majorHAnsi" w:hAnsiTheme="majorHAnsi" w:cstheme="majorHAnsi"/>
                </w:rPr>
                <w:t>https://conference-oxford.com/about/weddings</w:t>
              </w:r>
            </w:hyperlink>
            <w:r w:rsidRPr="00485F85">
              <w:rPr>
                <w:rFonts w:asciiTheme="majorHAnsi" w:hAnsiTheme="majorHAnsi" w:cstheme="majorHAnsi"/>
              </w:rPr>
              <w:t>) é incentivada na Instituição e a comunidade pode frequentar seus espaços.</w:t>
            </w:r>
          </w:p>
          <w:p w14:paraId="4A5D5459" w14:textId="77777777" w:rsidR="00775044" w:rsidRPr="00485F85" w:rsidRDefault="00A515B3" w:rsidP="00DE19E1">
            <w:pPr>
              <w:spacing w:line="360" w:lineRule="auto"/>
              <w:rPr>
                <w:rFonts w:asciiTheme="majorHAnsi" w:hAnsiTheme="majorHAnsi" w:cstheme="majorHAnsi"/>
              </w:rPr>
            </w:pPr>
            <w:hyperlink r:id="rId307" w:history="1">
              <w:r w:rsidR="00775044" w:rsidRPr="00485F85">
                <w:rPr>
                  <w:rStyle w:val="Hyperlink"/>
                  <w:rFonts w:asciiTheme="majorHAnsi" w:hAnsiTheme="majorHAnsi" w:cstheme="majorHAnsi"/>
                </w:rPr>
                <w:t>https://www.ox.ac.uk/visitors</w:t>
              </w:r>
            </w:hyperlink>
            <w:r w:rsidR="00775044" w:rsidRPr="00485F85">
              <w:rPr>
                <w:rFonts w:asciiTheme="majorHAnsi" w:hAnsiTheme="majorHAnsi" w:cstheme="majorHAnsi"/>
              </w:rPr>
              <w:t xml:space="preserve"> </w:t>
            </w:r>
          </w:p>
          <w:p w14:paraId="7979BF42" w14:textId="77777777" w:rsidR="00775044" w:rsidRPr="00485F85" w:rsidRDefault="00775044" w:rsidP="00DE19E1">
            <w:pPr>
              <w:spacing w:line="360" w:lineRule="auto"/>
              <w:jc w:val="both"/>
              <w:rPr>
                <w:rFonts w:asciiTheme="majorHAnsi" w:hAnsiTheme="majorHAnsi" w:cstheme="majorHAnsi"/>
              </w:rPr>
            </w:pPr>
          </w:p>
          <w:p w14:paraId="4EAB3A84"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A divisão de educação Continuada é o melhor esforço da Universidade em se fazer presente e interagir com a comunidade. Para atingir esse objetivo oferece:</w:t>
            </w:r>
          </w:p>
          <w:p w14:paraId="19F0B764"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•Aulas semanais</w:t>
            </w:r>
          </w:p>
          <w:p w14:paraId="42B83E36"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•Cursos online</w:t>
            </w:r>
          </w:p>
          <w:p w14:paraId="31377103"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•Escolas diurnas e finais de semana</w:t>
            </w:r>
          </w:p>
          <w:p w14:paraId="36F7604C"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•Escolas de verão</w:t>
            </w:r>
          </w:p>
          <w:p w14:paraId="4B362624"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•Desenvolvimento profissional contínuo , incluindo treinamento personalizado para empresas</w:t>
            </w:r>
          </w:p>
          <w:p w14:paraId="77620772" w14:textId="77777777" w:rsidR="00775044" w:rsidRPr="00485F85" w:rsidRDefault="00A515B3" w:rsidP="00DE19E1">
            <w:pPr>
              <w:spacing w:line="360" w:lineRule="auto"/>
              <w:jc w:val="both"/>
              <w:rPr>
                <w:rFonts w:asciiTheme="majorHAnsi" w:hAnsiTheme="majorHAnsi" w:cstheme="majorHAnsi"/>
              </w:rPr>
            </w:pPr>
            <w:hyperlink r:id="rId308" w:anchor="/?s=&amp;sort=availability" w:history="1">
              <w:r w:rsidR="00775044" w:rsidRPr="00485F85">
                <w:rPr>
                  <w:rStyle w:val="Hyperlink"/>
                  <w:rFonts w:asciiTheme="majorHAnsi" w:hAnsiTheme="majorHAnsi" w:cstheme="majorHAnsi"/>
                </w:rPr>
                <w:t>https://www.conted.ox.ac.uk/search#/?s=&amp;sort=availability</w:t>
              </w:r>
            </w:hyperlink>
            <w:r w:rsidR="00775044" w:rsidRPr="00485F85">
              <w:rPr>
                <w:rFonts w:asciiTheme="majorHAnsi" w:hAnsiTheme="majorHAnsi" w:cstheme="majorHAnsi"/>
              </w:rPr>
              <w:t xml:space="preserve"> </w:t>
            </w:r>
          </w:p>
          <w:p w14:paraId="35D83933" w14:textId="77777777" w:rsidR="00775044" w:rsidRPr="00485F85" w:rsidRDefault="00775044" w:rsidP="00DE19E1">
            <w:pPr>
              <w:spacing w:line="360" w:lineRule="auto"/>
              <w:jc w:val="both"/>
              <w:rPr>
                <w:rFonts w:asciiTheme="majorHAnsi" w:hAnsiTheme="majorHAnsi" w:cstheme="majorHAnsi"/>
                <w:b/>
              </w:rPr>
            </w:pPr>
          </w:p>
        </w:tc>
      </w:tr>
      <w:tr w:rsidR="00775044" w:rsidRPr="00485F85" w14:paraId="6BB41369" w14:textId="77777777" w:rsidTr="00DE19E1">
        <w:tc>
          <w:tcPr>
            <w:tcW w:w="905" w:type="dxa"/>
            <w:tcBorders>
              <w:top w:val="single" w:sz="4" w:space="0" w:color="auto"/>
              <w:left w:val="single" w:sz="4" w:space="0" w:color="auto"/>
              <w:bottom w:val="single" w:sz="4" w:space="0" w:color="auto"/>
              <w:right w:val="single" w:sz="4" w:space="0" w:color="auto"/>
            </w:tcBorders>
          </w:tcPr>
          <w:p w14:paraId="238815BE" w14:textId="3ADA5C07" w:rsidR="00775044" w:rsidRPr="00485F85" w:rsidRDefault="00775044"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7. Financiament</w:t>
            </w:r>
            <w:r w:rsidRPr="00485F85">
              <w:rPr>
                <w:rFonts w:asciiTheme="majorHAnsi" w:hAnsiTheme="majorHAnsi" w:cstheme="majorHAnsi"/>
                <w:b/>
              </w:rPr>
              <w:lastRenderedPageBreak/>
              <w:t>o</w:t>
            </w:r>
          </w:p>
        </w:tc>
        <w:tc>
          <w:tcPr>
            <w:tcW w:w="3461" w:type="dxa"/>
            <w:tcBorders>
              <w:top w:val="single" w:sz="4" w:space="0" w:color="auto"/>
              <w:left w:val="single" w:sz="4" w:space="0" w:color="auto"/>
              <w:bottom w:val="single" w:sz="4" w:space="0" w:color="auto"/>
              <w:right w:val="single" w:sz="4" w:space="0" w:color="auto"/>
            </w:tcBorders>
          </w:tcPr>
          <w:p w14:paraId="2E9373B8"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xml:space="preserve">- Independência de matrículas dos alunos para saúde financeira. Parcerias e contratos de </w:t>
            </w:r>
            <w:r w:rsidRPr="00485F85">
              <w:rPr>
                <w:rFonts w:asciiTheme="majorHAnsi" w:hAnsiTheme="majorHAnsi" w:cstheme="majorHAnsi"/>
                <w:bCs/>
              </w:rPr>
              <w:lastRenderedPageBreak/>
              <w:t>pesquisa são a maior fonte de renda da universidade. (24,9% no período de 19/20)</w:t>
            </w:r>
          </w:p>
          <w:p w14:paraId="69CB1E7A"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Comitês e planejamento de alocação de recursos para a alocação financeira da Instituição</w:t>
            </w:r>
          </w:p>
          <w:p w14:paraId="305D16D9"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Um escritório dedicado a captação e doações para que sua missão caritativa se consolide. </w:t>
            </w:r>
          </w:p>
          <w:p w14:paraId="7E424537"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Transparência com o seu balanço financeiro.</w:t>
            </w:r>
          </w:p>
          <w:p w14:paraId="4F664CA2" w14:textId="77777777" w:rsidR="00775044" w:rsidRPr="00485F85" w:rsidRDefault="00775044" w:rsidP="00DE19E1">
            <w:pPr>
              <w:spacing w:after="160" w:line="360" w:lineRule="auto"/>
              <w:jc w:val="both"/>
              <w:rPr>
                <w:rFonts w:asciiTheme="majorHAnsi" w:hAnsiTheme="majorHAnsi" w:cstheme="majorHAnsi"/>
                <w:b/>
              </w:rPr>
            </w:pPr>
            <w:r w:rsidRPr="00485F85">
              <w:rPr>
                <w:rFonts w:asciiTheme="majorHAnsi" w:hAnsiTheme="majorHAnsi" w:cstheme="majorHAnsi"/>
                <w:bCs/>
              </w:rPr>
              <w:t>- Suas ações de execução financeira estão alinhadas com as propostas do</w:t>
            </w:r>
            <w:r w:rsidRPr="00485F85">
              <w:rPr>
                <w:rFonts w:asciiTheme="majorHAnsi" w:hAnsiTheme="majorHAnsi" w:cstheme="majorHAnsi"/>
                <w:b/>
              </w:rPr>
              <w:t xml:space="preserve"> </w:t>
            </w:r>
            <w:r w:rsidRPr="00485F85">
              <w:rPr>
                <w:rFonts w:asciiTheme="majorHAnsi" w:hAnsiTheme="majorHAnsi" w:cstheme="majorHAnsi"/>
                <w:bCs/>
              </w:rPr>
              <w:t>Planejamento Estratégico da Instituição.</w:t>
            </w:r>
            <w:r w:rsidRPr="00485F85">
              <w:rPr>
                <w:rFonts w:asciiTheme="majorHAnsi" w:hAnsiTheme="majorHAnsi" w:cstheme="majorHAnsi"/>
                <w:b/>
              </w:rPr>
              <w:t xml:space="preserve"> </w:t>
            </w:r>
          </w:p>
          <w:p w14:paraId="36B6E0D5" w14:textId="77777777" w:rsidR="00775044" w:rsidRPr="00485F85" w:rsidRDefault="00775044"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0F583B5E"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xml:space="preserve">- Os serviços de publicação da universidade relacionados à Oxford </w:t>
            </w:r>
            <w:r w:rsidRPr="00485F85">
              <w:rPr>
                <w:rFonts w:asciiTheme="majorHAnsi" w:hAnsiTheme="majorHAnsi" w:cstheme="majorHAnsi"/>
                <w:bCs/>
              </w:rPr>
              <w:lastRenderedPageBreak/>
              <w:t>University Press representam uma parte considerável da entrada de recurso de Oxford representando no período de 19/20 mais de 40% de sua renda.</w:t>
            </w:r>
          </w:p>
          <w:p w14:paraId="46EA4284" w14:textId="77777777" w:rsidR="00775044" w:rsidRPr="00485F85" w:rsidRDefault="00775044" w:rsidP="00DE19E1">
            <w:pPr>
              <w:spacing w:after="160" w:line="360" w:lineRule="auto"/>
              <w:jc w:val="both"/>
              <w:rPr>
                <w:rFonts w:asciiTheme="majorHAnsi" w:hAnsiTheme="majorHAnsi" w:cstheme="majorHAnsi"/>
                <w:b/>
              </w:rPr>
            </w:pPr>
          </w:p>
          <w:p w14:paraId="240692BA" w14:textId="77777777" w:rsidR="00775044" w:rsidRPr="00485F85" w:rsidRDefault="00775044"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Independência contábil entre a Universidade e seus Colleges que possuem relatórios financeiros distintos não possibilita ver de uma maneira agregada todos os recursos que circulam na Instituição. No relatório geral da Universidade  disponibilizado inclusive na HESA foi possível ver uma circulação de </w:t>
            </w:r>
            <w:r w:rsidRPr="00485F85">
              <w:rPr>
                <w:rFonts w:asciiTheme="majorHAnsi" w:hAnsiTheme="majorHAnsi" w:cstheme="majorHAnsi"/>
              </w:rPr>
              <w:t>£</w:t>
            </w:r>
            <w:r w:rsidRPr="00485F85">
              <w:rPr>
                <w:rFonts w:asciiTheme="majorHAnsi" w:eastAsia="Times New Roman" w:hAnsiTheme="majorHAnsi" w:cstheme="majorHAnsi"/>
                <w:color w:val="000000"/>
                <w:sz w:val="20"/>
                <w:szCs w:val="20"/>
                <w:lang w:eastAsia="pt-BR"/>
              </w:rPr>
              <w:t xml:space="preserve">2.536.311 </w:t>
            </w:r>
            <w:r w:rsidRPr="00485F85">
              <w:rPr>
                <w:rFonts w:asciiTheme="majorHAnsi" w:hAnsiTheme="majorHAnsi" w:cstheme="majorHAnsi"/>
                <w:bCs/>
              </w:rPr>
              <w:t xml:space="preserve">em libras no ano de 19/20 enquanto que nos Colleges foi possível encontrar números como </w:t>
            </w:r>
            <w:r w:rsidRPr="00485F85">
              <w:rPr>
                <w:rFonts w:asciiTheme="majorHAnsi" w:hAnsiTheme="majorHAnsi" w:cstheme="majorHAnsi"/>
              </w:rPr>
              <w:t>£</w:t>
            </w:r>
            <w:r w:rsidRPr="00485F85">
              <w:rPr>
                <w:rFonts w:asciiTheme="majorHAnsi" w:hAnsiTheme="majorHAnsi" w:cstheme="majorHAnsi"/>
                <w:bCs/>
              </w:rPr>
              <w:t>254 milhões de libras nos relatórios emitidos em 31 de julho de 2020.</w:t>
            </w:r>
          </w:p>
          <w:p w14:paraId="2B37BC11" w14:textId="77777777" w:rsidR="00775044" w:rsidRPr="00485F85" w:rsidRDefault="00775044" w:rsidP="00DE19E1">
            <w:pPr>
              <w:spacing w:after="160" w:line="360" w:lineRule="auto"/>
              <w:jc w:val="both"/>
              <w:rPr>
                <w:rFonts w:asciiTheme="majorHAnsi" w:hAnsiTheme="majorHAnsi" w:cstheme="majorHAnsi"/>
                <w:b/>
              </w:rPr>
            </w:pPr>
          </w:p>
          <w:p w14:paraId="1436B17E" w14:textId="77777777" w:rsidR="00775044" w:rsidRPr="00485F85" w:rsidRDefault="00775044" w:rsidP="00DE19E1">
            <w:pPr>
              <w:spacing w:after="160" w:line="360" w:lineRule="auto"/>
              <w:jc w:val="both"/>
              <w:rPr>
                <w:rFonts w:asciiTheme="majorHAnsi" w:hAnsiTheme="majorHAnsi" w:cstheme="majorHAnsi"/>
                <w:b/>
              </w:rPr>
            </w:pPr>
          </w:p>
          <w:p w14:paraId="20DC17CF" w14:textId="77777777" w:rsidR="00775044" w:rsidRPr="00485F85" w:rsidRDefault="00775044" w:rsidP="00DE19E1">
            <w:pPr>
              <w:spacing w:line="360" w:lineRule="auto"/>
              <w:jc w:val="both"/>
              <w:rPr>
                <w:rFonts w:asciiTheme="majorHAnsi" w:hAnsiTheme="majorHAnsi" w:cstheme="majorHAnsi"/>
                <w:b/>
              </w:rPr>
            </w:pPr>
          </w:p>
        </w:tc>
        <w:tc>
          <w:tcPr>
            <w:tcW w:w="4136" w:type="dxa"/>
            <w:tcBorders>
              <w:top w:val="single" w:sz="4" w:space="0" w:color="auto"/>
              <w:left w:val="single" w:sz="4" w:space="0" w:color="auto"/>
              <w:bottom w:val="single" w:sz="4" w:space="0" w:color="auto"/>
              <w:right w:val="single" w:sz="4" w:space="0" w:color="auto"/>
            </w:tcBorders>
          </w:tcPr>
          <w:p w14:paraId="774260C7"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lastRenderedPageBreak/>
              <w:t xml:space="preserve">- A partir das informações do site a Universidade se mostrou organizada com suas finanças e exibiu diversas formas de captação de recursos para suas atividades. </w:t>
            </w:r>
            <w:r w:rsidRPr="00485F85">
              <w:rPr>
                <w:rFonts w:asciiTheme="majorHAnsi" w:hAnsiTheme="majorHAnsi" w:cstheme="majorHAnsi"/>
              </w:rPr>
              <w:lastRenderedPageBreak/>
              <w:t>Foi observado que a maior parte de sua renda não advém de matrículas, por exemplo, mas de Bolsas e contratos de pesquisa no ano de 19/20.</w:t>
            </w:r>
          </w:p>
          <w:p w14:paraId="4887A442" w14:textId="77777777" w:rsidR="00775044" w:rsidRPr="00485F85" w:rsidRDefault="00775044" w:rsidP="00DE19E1">
            <w:pPr>
              <w:spacing w:line="360" w:lineRule="auto"/>
              <w:jc w:val="both"/>
              <w:rPr>
                <w:rFonts w:asciiTheme="majorHAnsi" w:hAnsiTheme="majorHAnsi" w:cstheme="majorHAnsi"/>
              </w:rPr>
            </w:pPr>
          </w:p>
          <w:p w14:paraId="16B55C75" w14:textId="77777777" w:rsidR="00775044" w:rsidRPr="00485F85" w:rsidRDefault="00775044" w:rsidP="00DE19E1">
            <w:pPr>
              <w:spacing w:line="360" w:lineRule="auto"/>
              <w:jc w:val="both"/>
              <w:rPr>
                <w:rFonts w:asciiTheme="majorHAnsi" w:hAnsiTheme="majorHAnsi" w:cstheme="majorHAnsi"/>
                <w:bCs/>
                <w:sz w:val="20"/>
                <w:szCs w:val="20"/>
              </w:rPr>
            </w:pPr>
            <w:r w:rsidRPr="00485F85">
              <w:rPr>
                <w:rFonts w:asciiTheme="majorHAnsi" w:hAnsiTheme="majorHAnsi" w:cstheme="majorHAnsi"/>
              </w:rPr>
              <w:t xml:space="preserve">- Foram encontrados indícios de que a alocação e priorização de recursos </w:t>
            </w:r>
            <w:r w:rsidRPr="00485F85">
              <w:rPr>
                <w:rFonts w:asciiTheme="majorHAnsi" w:hAnsiTheme="majorHAnsi" w:cstheme="majorHAnsi"/>
                <w:bCs/>
              </w:rPr>
              <w:t>em Oxford é conduzido com planejamento e organização uma vez que existem diversos comitês que auxiliam na fiscalização e proposição de alocação interna de recursos. Foram apurados mais de 10 comitês dedicados a isso. Seus registros, membros e atribuições estão no link</w:t>
            </w:r>
            <w:r w:rsidRPr="00485F85">
              <w:rPr>
                <w:rFonts w:asciiTheme="majorHAnsi" w:hAnsiTheme="majorHAnsi" w:cstheme="majorHAnsi"/>
                <w:bCs/>
                <w:sz w:val="20"/>
                <w:szCs w:val="20"/>
              </w:rPr>
              <w:t xml:space="preserve">: </w:t>
            </w:r>
            <w:hyperlink r:id="rId309" w:history="1">
              <w:r w:rsidRPr="00485F85">
                <w:rPr>
                  <w:rStyle w:val="Hyperlink"/>
                  <w:rFonts w:asciiTheme="majorHAnsi" w:hAnsiTheme="majorHAnsi" w:cstheme="majorHAnsi"/>
                  <w:bCs/>
                  <w:sz w:val="20"/>
                  <w:szCs w:val="20"/>
                </w:rPr>
                <w:t>https://governance.admin.ox.ac.uk/committees</w:t>
              </w:r>
            </w:hyperlink>
          </w:p>
          <w:p w14:paraId="46A8BE3C" w14:textId="77777777" w:rsidR="00775044" w:rsidRPr="00485F85" w:rsidRDefault="00775044" w:rsidP="00DE19E1">
            <w:pPr>
              <w:spacing w:line="360" w:lineRule="auto"/>
              <w:jc w:val="both"/>
              <w:rPr>
                <w:rFonts w:asciiTheme="majorHAnsi" w:hAnsiTheme="majorHAnsi" w:cstheme="majorHAnsi"/>
              </w:rPr>
            </w:pPr>
          </w:p>
          <w:p w14:paraId="5296D372"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Oxford possui um escritório somente com foco em receber e prospectar doações. Trata-se do “Development Office (UODO)” um escritório dedicado que busca arrecadar fundos para apoiar as prioridades acadêmicas da Universidade. A UODO colabora com colegas em toda a universidade colegiada para garantir doações em todos os aspectos do esforço acadêmico e estudantil. Sua arrecadação entre 1 de agosto de 2019 - 31 de julho de 2020 foi de £ 316 milhões de libras.</w:t>
            </w:r>
          </w:p>
          <w:p w14:paraId="7F3A9979" w14:textId="77777777" w:rsidR="00775044" w:rsidRPr="00485F85" w:rsidRDefault="00A515B3" w:rsidP="00DE19E1">
            <w:pPr>
              <w:spacing w:line="360" w:lineRule="auto"/>
              <w:jc w:val="both"/>
              <w:rPr>
                <w:rFonts w:asciiTheme="majorHAnsi" w:hAnsiTheme="majorHAnsi" w:cstheme="majorHAnsi"/>
                <w:sz w:val="20"/>
                <w:szCs w:val="20"/>
              </w:rPr>
            </w:pPr>
            <w:hyperlink r:id="rId310" w:history="1">
              <w:r w:rsidR="00775044" w:rsidRPr="00485F85">
                <w:rPr>
                  <w:rStyle w:val="Hyperlink"/>
                  <w:rFonts w:asciiTheme="majorHAnsi" w:hAnsiTheme="majorHAnsi" w:cstheme="majorHAnsi"/>
                  <w:sz w:val="20"/>
                  <w:szCs w:val="20"/>
                </w:rPr>
                <w:t>https://www.development.ox.ac.uk/fundraising-reports</w:t>
              </w:r>
            </w:hyperlink>
            <w:r w:rsidR="00775044" w:rsidRPr="00485F85">
              <w:rPr>
                <w:rFonts w:asciiTheme="majorHAnsi" w:hAnsiTheme="majorHAnsi" w:cstheme="majorHAnsi"/>
                <w:sz w:val="20"/>
                <w:szCs w:val="20"/>
              </w:rPr>
              <w:t xml:space="preserve"> </w:t>
            </w:r>
          </w:p>
          <w:p w14:paraId="061EA7BA"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p>
          <w:p w14:paraId="61154C48"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xml:space="preserve">- Balanços financeiros da universidade puderam ser encontrados no site da Instituição numa série histórica a partir de </w:t>
            </w:r>
            <w:r w:rsidRPr="00485F85">
              <w:rPr>
                <w:rFonts w:asciiTheme="majorHAnsi" w:hAnsiTheme="majorHAnsi" w:cstheme="majorHAnsi"/>
              </w:rPr>
              <w:lastRenderedPageBreak/>
              <w:t>2015, o que leva a crer que a transparência dos processos é uma de suas boas práticas. Sua estabilidade financeira e seus demonstrativos são suficientes para que ela atinja a sua missão com qualidade.</w:t>
            </w:r>
          </w:p>
          <w:p w14:paraId="091C4B77" w14:textId="77777777" w:rsidR="00775044" w:rsidRPr="00485F85" w:rsidRDefault="00A515B3" w:rsidP="00DE19E1">
            <w:pPr>
              <w:spacing w:after="160" w:line="360" w:lineRule="auto"/>
              <w:jc w:val="both"/>
              <w:rPr>
                <w:rStyle w:val="Hyperlink"/>
                <w:rFonts w:asciiTheme="majorHAnsi" w:hAnsiTheme="majorHAnsi" w:cstheme="majorHAnsi"/>
                <w:sz w:val="20"/>
                <w:szCs w:val="20"/>
              </w:rPr>
            </w:pPr>
            <w:hyperlink r:id="rId311" w:history="1">
              <w:r w:rsidR="00775044" w:rsidRPr="00485F85">
                <w:rPr>
                  <w:rStyle w:val="Hyperlink"/>
                  <w:rFonts w:asciiTheme="majorHAnsi" w:hAnsiTheme="majorHAnsi" w:cstheme="majorHAnsi"/>
                  <w:sz w:val="20"/>
                  <w:szCs w:val="20"/>
                </w:rPr>
                <w:t>https://www.ox.ac.uk/about/organisation/finance-and-funding</w:t>
              </w:r>
            </w:hyperlink>
            <w:r w:rsidR="00775044" w:rsidRPr="00485F85">
              <w:rPr>
                <w:rStyle w:val="Hyperlink"/>
                <w:rFonts w:asciiTheme="majorHAnsi" w:hAnsiTheme="majorHAnsi" w:cstheme="majorHAnsi"/>
                <w:sz w:val="20"/>
                <w:szCs w:val="20"/>
              </w:rPr>
              <w:t xml:space="preserve"> </w:t>
            </w:r>
          </w:p>
          <w:p w14:paraId="7A98585B" w14:textId="77777777" w:rsidR="00775044" w:rsidRPr="00485F85" w:rsidRDefault="00775044" w:rsidP="00DE19E1">
            <w:pPr>
              <w:spacing w:after="160" w:line="360" w:lineRule="auto"/>
              <w:jc w:val="both"/>
              <w:rPr>
                <w:rFonts w:asciiTheme="majorHAnsi" w:hAnsiTheme="majorHAnsi" w:cstheme="majorHAnsi"/>
              </w:rPr>
            </w:pPr>
            <w:r w:rsidRPr="00485F85">
              <w:rPr>
                <w:rFonts w:asciiTheme="majorHAnsi" w:hAnsiTheme="majorHAnsi" w:cstheme="majorHAnsi"/>
              </w:rPr>
              <w:t>- Uma dimensão do planejamento estratégico da Instituição é dedicada a dimensão financeira com uma régua simples e consiste para a administração dos recursos da Universidade. As principais prioridades são:</w:t>
            </w:r>
          </w:p>
          <w:p w14:paraId="4182A29B"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Diversificar as fontes de renda e investimento, inclusive por meio de parcerias com o setor privado, atividades comerciais, filantropia e a variedade de fontes de financiamento para pesquisa.</w:t>
            </w:r>
          </w:p>
          <w:p w14:paraId="4BA4DE6A" w14:textId="77777777" w:rsidR="00775044" w:rsidRPr="00485F85" w:rsidRDefault="00775044" w:rsidP="00DE19E1">
            <w:pPr>
              <w:spacing w:line="360" w:lineRule="auto"/>
              <w:jc w:val="both"/>
              <w:rPr>
                <w:rFonts w:asciiTheme="majorHAnsi" w:hAnsiTheme="majorHAnsi" w:cstheme="majorHAnsi"/>
              </w:rPr>
            </w:pPr>
          </w:p>
          <w:p w14:paraId="0EF554A3"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Por meio do programa Focus, forneça melhorias de serviço e processo para permitir o crescimento contínuo em pesquisa e educação sem um crescimento equivalente nos custos de serviço.</w:t>
            </w:r>
          </w:p>
          <w:p w14:paraId="74BCB9AB" w14:textId="77777777" w:rsidR="00775044" w:rsidRPr="00485F85" w:rsidRDefault="00775044" w:rsidP="00DE19E1">
            <w:pPr>
              <w:spacing w:line="360" w:lineRule="auto"/>
              <w:jc w:val="both"/>
              <w:rPr>
                <w:rFonts w:asciiTheme="majorHAnsi" w:hAnsiTheme="majorHAnsi" w:cstheme="majorHAnsi"/>
              </w:rPr>
            </w:pPr>
          </w:p>
          <w:p w14:paraId="072BC7C4"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Oferecer um programa de investimento de capital em propriedade e TI de pelo menos £ 500 milhões até 2023.</w:t>
            </w:r>
          </w:p>
          <w:p w14:paraId="359B5A62" w14:textId="77777777" w:rsidR="00775044" w:rsidRPr="00485F85" w:rsidRDefault="00775044" w:rsidP="00DE19E1">
            <w:pPr>
              <w:spacing w:line="360" w:lineRule="auto"/>
              <w:jc w:val="both"/>
              <w:rPr>
                <w:rFonts w:asciiTheme="majorHAnsi" w:hAnsiTheme="majorHAnsi" w:cstheme="majorHAnsi"/>
              </w:rPr>
            </w:pPr>
          </w:p>
          <w:p w14:paraId="23E73393" w14:textId="77777777" w:rsidR="00775044" w:rsidRPr="00485F85" w:rsidRDefault="00775044" w:rsidP="00DE19E1">
            <w:pPr>
              <w:spacing w:line="360" w:lineRule="auto"/>
              <w:jc w:val="both"/>
              <w:rPr>
                <w:rFonts w:asciiTheme="majorHAnsi" w:hAnsiTheme="majorHAnsi" w:cstheme="majorHAnsi"/>
              </w:rPr>
            </w:pPr>
            <w:r w:rsidRPr="00485F85">
              <w:rPr>
                <w:rFonts w:asciiTheme="majorHAnsi" w:hAnsiTheme="majorHAnsi" w:cstheme="majorHAnsi"/>
              </w:rPr>
              <w:t>- Até 2023, em parceria com o setor privado, ter iniciado a construção de pelo menos 1.000 novas moradias subsidiadas para universidades e funcionários de faculdades.</w:t>
            </w:r>
          </w:p>
          <w:p w14:paraId="77B25D4C" w14:textId="77777777" w:rsidR="00775044" w:rsidRPr="00485F85" w:rsidRDefault="00775044" w:rsidP="00DE19E1">
            <w:pPr>
              <w:spacing w:line="360" w:lineRule="auto"/>
              <w:jc w:val="both"/>
              <w:rPr>
                <w:rFonts w:asciiTheme="majorHAnsi" w:hAnsiTheme="majorHAnsi" w:cstheme="majorHAnsi"/>
              </w:rPr>
            </w:pPr>
          </w:p>
          <w:p w14:paraId="10B23714" w14:textId="77777777" w:rsidR="00775044" w:rsidRPr="00485F85" w:rsidRDefault="00775044" w:rsidP="00DE19E1">
            <w:pPr>
              <w:spacing w:after="160" w:line="360" w:lineRule="auto"/>
              <w:jc w:val="both"/>
              <w:rPr>
                <w:rFonts w:asciiTheme="majorHAnsi" w:hAnsiTheme="majorHAnsi" w:cstheme="majorHAnsi"/>
              </w:rPr>
            </w:pPr>
            <w:r w:rsidRPr="00485F85">
              <w:rPr>
                <w:rFonts w:asciiTheme="majorHAnsi" w:hAnsiTheme="majorHAnsi" w:cstheme="majorHAnsi"/>
              </w:rPr>
              <w:t>- Conceber e implementar uma estratégia de desenvolvimento, com recursos adequados, que corresponda à escala e ambição dos objectivos estratégicos da Universidade.</w:t>
            </w:r>
          </w:p>
          <w:p w14:paraId="1FF7C785" w14:textId="77777777" w:rsidR="00775044" w:rsidRPr="00485F85" w:rsidRDefault="00A515B3" w:rsidP="00DE19E1">
            <w:pPr>
              <w:spacing w:after="160" w:line="360" w:lineRule="auto"/>
              <w:jc w:val="both"/>
              <w:rPr>
                <w:rFonts w:asciiTheme="majorHAnsi" w:hAnsiTheme="majorHAnsi" w:cstheme="majorHAnsi"/>
              </w:rPr>
            </w:pPr>
            <w:hyperlink r:id="rId312" w:history="1">
              <w:r w:rsidR="00775044" w:rsidRPr="00485F85">
                <w:rPr>
                  <w:rStyle w:val="Hyperlink"/>
                  <w:rFonts w:asciiTheme="majorHAnsi" w:hAnsiTheme="majorHAnsi" w:cstheme="majorHAnsi"/>
                </w:rPr>
                <w:t>https://www.ox.ac.uk/about/organisation/strategic-plan-2018-23/resources</w:t>
              </w:r>
            </w:hyperlink>
            <w:r w:rsidR="00775044" w:rsidRPr="00485F85">
              <w:rPr>
                <w:rFonts w:asciiTheme="majorHAnsi" w:hAnsiTheme="majorHAnsi" w:cstheme="majorHAnsi"/>
              </w:rPr>
              <w:t xml:space="preserve"> </w:t>
            </w:r>
          </w:p>
          <w:p w14:paraId="368A1E2A" w14:textId="77777777" w:rsidR="00775044" w:rsidRPr="00485F85" w:rsidRDefault="00775044" w:rsidP="00DE19E1">
            <w:pPr>
              <w:spacing w:line="360" w:lineRule="auto"/>
              <w:jc w:val="both"/>
              <w:rPr>
                <w:rFonts w:asciiTheme="majorHAnsi" w:hAnsiTheme="majorHAnsi" w:cstheme="majorHAnsi"/>
                <w:b/>
              </w:rPr>
            </w:pPr>
          </w:p>
        </w:tc>
      </w:tr>
      <w:tr w:rsidR="008A2F73" w:rsidRPr="00485F85" w14:paraId="5BE3ADBB" w14:textId="77777777" w:rsidTr="00DE19E1">
        <w:tc>
          <w:tcPr>
            <w:tcW w:w="905" w:type="dxa"/>
            <w:tcBorders>
              <w:top w:val="single" w:sz="4" w:space="0" w:color="auto"/>
              <w:left w:val="single" w:sz="4" w:space="0" w:color="auto"/>
              <w:bottom w:val="single" w:sz="4" w:space="0" w:color="auto"/>
              <w:right w:val="single" w:sz="4" w:space="0" w:color="auto"/>
            </w:tcBorders>
          </w:tcPr>
          <w:p w14:paraId="051853DD" w14:textId="2F41AE8C" w:rsidR="008A2F73" w:rsidRPr="00485F85" w:rsidRDefault="008A2F73" w:rsidP="00DE19E1">
            <w:pPr>
              <w:spacing w:line="360" w:lineRule="auto"/>
              <w:jc w:val="both"/>
              <w:rPr>
                <w:rFonts w:asciiTheme="majorHAnsi" w:hAnsiTheme="majorHAnsi" w:cstheme="majorHAnsi"/>
                <w:b/>
              </w:rPr>
            </w:pPr>
            <w:bookmarkStart w:id="59" w:name="_Hlk79966517"/>
            <w:r w:rsidRPr="00485F85">
              <w:rPr>
                <w:rFonts w:asciiTheme="majorHAnsi" w:hAnsiTheme="majorHAnsi" w:cstheme="majorHAnsi"/>
                <w:b/>
              </w:rPr>
              <w:lastRenderedPageBreak/>
              <w:t>Dimensão 8. Política de relacionamento externo</w:t>
            </w:r>
            <w:bookmarkEnd w:id="59"/>
          </w:p>
        </w:tc>
        <w:tc>
          <w:tcPr>
            <w:tcW w:w="3461" w:type="dxa"/>
            <w:tcBorders>
              <w:top w:val="single" w:sz="4" w:space="0" w:color="auto"/>
              <w:left w:val="single" w:sz="4" w:space="0" w:color="auto"/>
              <w:bottom w:val="single" w:sz="4" w:space="0" w:color="auto"/>
              <w:right w:val="single" w:sz="4" w:space="0" w:color="auto"/>
            </w:tcBorders>
          </w:tcPr>
          <w:p w14:paraId="3F3054B2"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A busca por parcerias com as empresas acontece desde a esfera de pequenas empresas locais até grandes empresas internacionais. Assim empresas de diferentes portes e áreas têm espaço para participarem da comunidade de Oxford.</w:t>
            </w:r>
          </w:p>
          <w:p w14:paraId="4CDFEDD6"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O escritório de estágios oferece opções que contemplam todas as áreas de ensino da instituição.</w:t>
            </w:r>
          </w:p>
          <w:p w14:paraId="28625FCF"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Intercâmbios, oportunidades de viagens são incentivadas na Instituição com financiamentos, inclusive.</w:t>
            </w:r>
          </w:p>
          <w:p w14:paraId="2FFFB345"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Existe um processo de internacionalização bem </w:t>
            </w:r>
            <w:r w:rsidRPr="00485F85">
              <w:rPr>
                <w:rFonts w:asciiTheme="majorHAnsi" w:hAnsiTheme="majorHAnsi" w:cstheme="majorHAnsi"/>
                <w:bCs/>
              </w:rPr>
              <w:lastRenderedPageBreak/>
              <w:t xml:space="preserve">consolidado. </w:t>
            </w:r>
          </w:p>
          <w:p w14:paraId="62F22724"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A comunicação com a comunidade também acontece por meio de revistas e periódicos especializados.</w:t>
            </w:r>
          </w:p>
          <w:p w14:paraId="7ED469EA" w14:textId="77777777" w:rsidR="008A2F73" w:rsidRPr="00485F85" w:rsidRDefault="008A2F73" w:rsidP="00DE19E1">
            <w:pPr>
              <w:spacing w:after="160" w:line="360" w:lineRule="auto"/>
              <w:jc w:val="both"/>
              <w:rPr>
                <w:rFonts w:asciiTheme="majorHAnsi" w:hAnsiTheme="majorHAnsi" w:cstheme="majorHAnsi"/>
                <w:bCs/>
              </w:rPr>
            </w:pPr>
          </w:p>
          <w:p w14:paraId="35F02E0B" w14:textId="77777777" w:rsidR="008A2F73" w:rsidRPr="00485F85" w:rsidRDefault="008A2F73" w:rsidP="00DE19E1">
            <w:pPr>
              <w:spacing w:after="160" w:line="360" w:lineRule="auto"/>
              <w:jc w:val="both"/>
              <w:rPr>
                <w:rFonts w:asciiTheme="majorHAnsi" w:hAnsiTheme="majorHAnsi" w:cstheme="majorHAnsi"/>
                <w:bCs/>
              </w:rPr>
            </w:pPr>
          </w:p>
          <w:p w14:paraId="5A233589" w14:textId="77777777" w:rsidR="008A2F73" w:rsidRPr="00485F85" w:rsidRDefault="008A2F73" w:rsidP="00DE19E1">
            <w:pPr>
              <w:spacing w:after="160" w:line="360" w:lineRule="auto"/>
              <w:jc w:val="both"/>
              <w:rPr>
                <w:rFonts w:asciiTheme="majorHAnsi" w:hAnsiTheme="majorHAnsi" w:cstheme="majorHAnsi"/>
                <w:bCs/>
              </w:rPr>
            </w:pPr>
          </w:p>
          <w:p w14:paraId="1155E668" w14:textId="77777777" w:rsidR="008A2F73" w:rsidRPr="00485F85" w:rsidRDefault="008A2F73"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13C9A4EF"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Não há um centro que unifique todas as ações de parcerias com empresas internacionais e nacionais da universidade. Suas diferentes esferas são estimuladas a buscarem suas parcerias também de forma independente por isso tornou-se inviável consolidar os dados coletados nessa dimensão.</w:t>
            </w:r>
          </w:p>
          <w:p w14:paraId="751D37F7"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estrutura da Universidade é muto grande e impossível de ser simplificada em sua comunicação. O que necessita de muitos sites acessórios para serem atualizados com informações relevantes periodicamente, o que </w:t>
            </w:r>
            <w:r w:rsidRPr="00485F85">
              <w:rPr>
                <w:rFonts w:asciiTheme="majorHAnsi" w:hAnsiTheme="majorHAnsi" w:cstheme="majorHAnsi"/>
                <w:bCs/>
              </w:rPr>
              <w:lastRenderedPageBreak/>
              <w:t>pode ocasionar na desatualização de alguns detalhes informados.</w:t>
            </w:r>
          </w:p>
          <w:p w14:paraId="2774E233" w14:textId="7758E891" w:rsidR="008A2F73" w:rsidRPr="00485F85" w:rsidRDefault="008A2F73" w:rsidP="00DE19E1">
            <w:pPr>
              <w:spacing w:line="360" w:lineRule="auto"/>
              <w:jc w:val="both"/>
              <w:rPr>
                <w:rFonts w:asciiTheme="majorHAnsi" w:hAnsiTheme="majorHAnsi" w:cstheme="majorHAnsi"/>
                <w:b/>
              </w:rPr>
            </w:pPr>
            <w:r w:rsidRPr="00485F85">
              <w:rPr>
                <w:rFonts w:asciiTheme="majorHAnsi" w:hAnsiTheme="majorHAnsi" w:cstheme="majorHAnsi"/>
                <w:bCs/>
              </w:rPr>
              <w:t>- Notou-se que a grande maioria das parcerias com universidades é realizada com instituições públicas. Existem parcerias com instituições privadas mas elas são bem escassas diante do cenário global.</w:t>
            </w:r>
          </w:p>
        </w:tc>
        <w:tc>
          <w:tcPr>
            <w:tcW w:w="4136" w:type="dxa"/>
            <w:tcBorders>
              <w:top w:val="single" w:sz="4" w:space="0" w:color="auto"/>
              <w:left w:val="single" w:sz="4" w:space="0" w:color="auto"/>
              <w:bottom w:val="single" w:sz="4" w:space="0" w:color="auto"/>
              <w:right w:val="single" w:sz="4" w:space="0" w:color="auto"/>
            </w:tcBorders>
          </w:tcPr>
          <w:p w14:paraId="28DF0979" w14:textId="77777777" w:rsidR="008A2F73" w:rsidRPr="00485F85" w:rsidRDefault="008A2F73" w:rsidP="00DE19E1">
            <w:pPr>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Conforme pode ser observado na pesquisa, há indícios de que as estratégias de parceria com empresas são muitas e descentralizadas. Ao contrário, cada vertente da universidade é incentivada a buscar suas próprias parcerias e maneiras de associar com a indústria e a comunidade para que possam crescer. Assim observou iniciativas interessantes como: </w:t>
            </w:r>
          </w:p>
          <w:p w14:paraId="0F7B381C" w14:textId="77777777" w:rsidR="008A2F73" w:rsidRPr="00485F85" w:rsidRDefault="008A2F73" w:rsidP="00DE19E1">
            <w:pPr>
              <w:pStyle w:val="PargrafodaLista"/>
              <w:numPr>
                <w:ilvl w:val="0"/>
                <w:numId w:val="40"/>
              </w:numPr>
              <w:spacing w:line="360" w:lineRule="auto"/>
              <w:jc w:val="both"/>
              <w:rPr>
                <w:rFonts w:asciiTheme="majorHAnsi" w:hAnsiTheme="majorHAnsi" w:cstheme="majorHAnsi"/>
              </w:rPr>
            </w:pPr>
            <w:r w:rsidRPr="00485F85">
              <w:rPr>
                <w:rFonts w:asciiTheme="majorHAnsi" w:hAnsiTheme="majorHAnsi" w:cstheme="majorHAnsi"/>
              </w:rPr>
              <w:t xml:space="preserve">O próprio Planejamento estratégico trata a questão da parceria e do engajamento como um de seus 5 pilares prioritários: </w:t>
            </w:r>
            <w:hyperlink r:id="rId313" w:history="1">
              <w:r w:rsidRPr="00485F85">
                <w:rPr>
                  <w:rStyle w:val="Hyperlink"/>
                  <w:rFonts w:asciiTheme="majorHAnsi" w:hAnsiTheme="majorHAnsi" w:cstheme="majorHAnsi"/>
                </w:rPr>
                <w:t>https://www.ox.ac.uk/about/organisation/strategic-plan-2018-23/engagement-and-partnership</w:t>
              </w:r>
            </w:hyperlink>
            <w:r w:rsidRPr="00485F85">
              <w:rPr>
                <w:rFonts w:asciiTheme="majorHAnsi" w:hAnsiTheme="majorHAnsi" w:cstheme="majorHAnsi"/>
              </w:rPr>
              <w:t xml:space="preserve"> </w:t>
            </w:r>
          </w:p>
          <w:p w14:paraId="052432C9" w14:textId="77777777" w:rsidR="008A2F73" w:rsidRPr="00485F85" w:rsidRDefault="008A2F73" w:rsidP="00DE19E1">
            <w:pPr>
              <w:pStyle w:val="PargrafodaLista"/>
              <w:spacing w:line="360" w:lineRule="auto"/>
              <w:jc w:val="both"/>
              <w:rPr>
                <w:rFonts w:asciiTheme="majorHAnsi" w:hAnsiTheme="majorHAnsi" w:cstheme="majorHAnsi"/>
              </w:rPr>
            </w:pPr>
          </w:p>
          <w:p w14:paraId="58BD0DBA" w14:textId="77777777" w:rsidR="008A2F73" w:rsidRPr="00485F85" w:rsidRDefault="008A2F73" w:rsidP="00DE19E1">
            <w:pPr>
              <w:pStyle w:val="PargrafodaLista"/>
              <w:numPr>
                <w:ilvl w:val="0"/>
                <w:numId w:val="40"/>
              </w:numPr>
              <w:spacing w:line="360" w:lineRule="auto"/>
              <w:jc w:val="both"/>
              <w:rPr>
                <w:rFonts w:asciiTheme="majorHAnsi" w:hAnsiTheme="majorHAnsi" w:cstheme="majorHAnsi"/>
              </w:rPr>
            </w:pPr>
            <w:r w:rsidRPr="00485F85">
              <w:rPr>
                <w:rFonts w:asciiTheme="majorHAnsi" w:hAnsiTheme="majorHAnsi" w:cstheme="majorHAnsi"/>
              </w:rPr>
              <w:t>Pesquisa nos diversos times das divisões acadêmicas, principalmente MPLS (https://www.mpls.ox.ac.uk/our-team/industry-links)  e a Medical Science (</w:t>
            </w:r>
            <w:hyperlink r:id="rId314" w:history="1">
              <w:r w:rsidRPr="00485F85">
                <w:rPr>
                  <w:rStyle w:val="Hyperlink"/>
                  <w:rFonts w:asciiTheme="majorHAnsi" w:hAnsiTheme="majorHAnsi" w:cstheme="majorHAnsi"/>
                </w:rPr>
                <w:t>https://www.medsci.ox.ac.uk/divis</w:t>
              </w:r>
              <w:r w:rsidRPr="00485F85">
                <w:rPr>
                  <w:rStyle w:val="Hyperlink"/>
                  <w:rFonts w:asciiTheme="majorHAnsi" w:hAnsiTheme="majorHAnsi" w:cstheme="majorHAnsi"/>
                </w:rPr>
                <w:lastRenderedPageBreak/>
                <w:t>ional-services/support-services-1/business-partnerships-office</w:t>
              </w:r>
            </w:hyperlink>
            <w:r w:rsidRPr="00485F85">
              <w:rPr>
                <w:rFonts w:asciiTheme="majorHAnsi" w:hAnsiTheme="majorHAnsi" w:cstheme="majorHAnsi"/>
              </w:rPr>
              <w:t>)</w:t>
            </w:r>
          </w:p>
          <w:p w14:paraId="67C48810" w14:textId="77777777" w:rsidR="008A2F73" w:rsidRPr="00485F85" w:rsidRDefault="008A2F73" w:rsidP="00DE19E1">
            <w:pPr>
              <w:pStyle w:val="PargrafodaLista"/>
              <w:spacing w:line="360" w:lineRule="auto"/>
              <w:rPr>
                <w:rFonts w:asciiTheme="majorHAnsi" w:hAnsiTheme="majorHAnsi" w:cstheme="majorHAnsi"/>
              </w:rPr>
            </w:pPr>
          </w:p>
          <w:p w14:paraId="79A4B270" w14:textId="77777777" w:rsidR="008A2F73" w:rsidRPr="00485F85" w:rsidRDefault="008A2F73" w:rsidP="00DE19E1">
            <w:pPr>
              <w:pStyle w:val="PargrafodaLista"/>
              <w:numPr>
                <w:ilvl w:val="0"/>
                <w:numId w:val="40"/>
              </w:numPr>
              <w:spacing w:line="360" w:lineRule="auto"/>
              <w:jc w:val="both"/>
              <w:rPr>
                <w:rFonts w:asciiTheme="majorHAnsi" w:hAnsiTheme="majorHAnsi" w:cstheme="majorHAnsi"/>
              </w:rPr>
            </w:pPr>
            <w:r w:rsidRPr="00485F85">
              <w:rPr>
                <w:rFonts w:asciiTheme="majorHAnsi" w:hAnsiTheme="majorHAnsi" w:cstheme="majorHAnsi"/>
              </w:rPr>
              <w:t>Inovação por meio da Oxford University Innovation</w:t>
            </w:r>
          </w:p>
          <w:p w14:paraId="3E5E70B8" w14:textId="77777777" w:rsidR="008A2F73" w:rsidRPr="00485F85" w:rsidRDefault="008A2F73" w:rsidP="00DE19E1">
            <w:pPr>
              <w:spacing w:line="360" w:lineRule="auto"/>
              <w:jc w:val="both"/>
              <w:rPr>
                <w:rFonts w:asciiTheme="majorHAnsi" w:hAnsiTheme="majorHAnsi" w:cstheme="majorHAnsi"/>
              </w:rPr>
            </w:pPr>
          </w:p>
          <w:p w14:paraId="48170A66" w14:textId="77777777" w:rsidR="008A2F73" w:rsidRPr="00485F85" w:rsidRDefault="008A2F73" w:rsidP="00DE19E1">
            <w:pPr>
              <w:pStyle w:val="PargrafodaLista"/>
              <w:numPr>
                <w:ilvl w:val="0"/>
                <w:numId w:val="40"/>
              </w:numPr>
              <w:spacing w:line="360" w:lineRule="auto"/>
              <w:jc w:val="both"/>
              <w:rPr>
                <w:rFonts w:asciiTheme="majorHAnsi" w:hAnsiTheme="majorHAnsi" w:cstheme="majorHAnsi"/>
              </w:rPr>
            </w:pPr>
            <w:r w:rsidRPr="00485F85">
              <w:rPr>
                <w:rFonts w:asciiTheme="majorHAnsi" w:hAnsiTheme="majorHAnsi" w:cstheme="majorHAnsi"/>
              </w:rPr>
              <w:t xml:space="preserve">- Estágios por meio do departamento de carreiras com as parcerias na comunidade </w:t>
            </w:r>
            <w:hyperlink r:id="rId315" w:history="1">
              <w:r w:rsidRPr="00485F85">
                <w:rPr>
                  <w:rStyle w:val="Hyperlink"/>
                  <w:rFonts w:asciiTheme="majorHAnsi" w:hAnsiTheme="majorHAnsi" w:cstheme="majorHAnsi"/>
                </w:rPr>
                <w:t>https://www.careers.ox.ac.uk/partnerships-in-the-community</w:t>
              </w:r>
            </w:hyperlink>
          </w:p>
          <w:p w14:paraId="36F6D6CD" w14:textId="77777777" w:rsidR="008A2F73" w:rsidRPr="00485F85" w:rsidRDefault="008A2F73" w:rsidP="00DE19E1">
            <w:pPr>
              <w:pStyle w:val="PargrafodaLista"/>
              <w:spacing w:line="360" w:lineRule="auto"/>
              <w:jc w:val="both"/>
              <w:rPr>
                <w:rFonts w:asciiTheme="majorHAnsi" w:hAnsiTheme="majorHAnsi" w:cstheme="majorHAnsi"/>
              </w:rPr>
            </w:pPr>
          </w:p>
          <w:p w14:paraId="369B57F5" w14:textId="77777777" w:rsidR="008A2F73" w:rsidRPr="00485F85" w:rsidRDefault="008A2F73" w:rsidP="00DE19E1">
            <w:pPr>
              <w:pStyle w:val="PargrafodaLista"/>
              <w:numPr>
                <w:ilvl w:val="0"/>
                <w:numId w:val="40"/>
              </w:numPr>
              <w:spacing w:line="360" w:lineRule="auto"/>
              <w:jc w:val="both"/>
              <w:rPr>
                <w:rFonts w:asciiTheme="majorHAnsi" w:hAnsiTheme="majorHAnsi" w:cstheme="majorHAnsi"/>
                <w:lang w:val="en-US"/>
              </w:rPr>
            </w:pPr>
            <w:r w:rsidRPr="00485F85">
              <w:rPr>
                <w:rFonts w:asciiTheme="majorHAnsi" w:hAnsiTheme="majorHAnsi" w:cstheme="majorHAnsi"/>
                <w:lang w:val="en-US"/>
              </w:rPr>
              <w:t xml:space="preserve">Business por meio da Saïd Business School https://www.sbs.ox.ac.uk/about-us/support-us/corporate-partnerships </w:t>
            </w:r>
          </w:p>
          <w:p w14:paraId="008A118C" w14:textId="77777777" w:rsidR="008A2F73" w:rsidRPr="00485F85" w:rsidRDefault="008A2F73" w:rsidP="00DE19E1">
            <w:pPr>
              <w:spacing w:line="360" w:lineRule="auto"/>
              <w:jc w:val="both"/>
              <w:rPr>
                <w:rFonts w:asciiTheme="majorHAnsi" w:hAnsiTheme="majorHAnsi" w:cstheme="majorHAnsi"/>
                <w:lang w:val="en-US"/>
              </w:rPr>
            </w:pPr>
          </w:p>
          <w:p w14:paraId="4BCFDC89" w14:textId="77777777" w:rsidR="008A2F73" w:rsidRPr="00485F85" w:rsidRDefault="008A2F73" w:rsidP="00DE19E1">
            <w:pPr>
              <w:pStyle w:val="PargrafodaLista"/>
              <w:numPr>
                <w:ilvl w:val="0"/>
                <w:numId w:val="41"/>
              </w:numPr>
              <w:spacing w:line="360" w:lineRule="auto"/>
              <w:jc w:val="both"/>
              <w:rPr>
                <w:rFonts w:asciiTheme="majorHAnsi" w:hAnsiTheme="majorHAnsi" w:cstheme="majorHAnsi"/>
              </w:rPr>
            </w:pPr>
            <w:r w:rsidRPr="00485F85">
              <w:rPr>
                <w:rFonts w:asciiTheme="majorHAnsi" w:hAnsiTheme="majorHAnsi" w:cstheme="majorHAnsi"/>
              </w:rPr>
              <w:t xml:space="preserve">As próprias faculdades ou colleges também possuem espaços para busca de parcerias - </w:t>
            </w:r>
            <w:hyperlink r:id="rId316" w:history="1">
              <w:r w:rsidRPr="00485F85">
                <w:rPr>
                  <w:rStyle w:val="Hyperlink"/>
                  <w:rFonts w:asciiTheme="majorHAnsi" w:hAnsiTheme="majorHAnsi" w:cstheme="majorHAnsi"/>
                </w:rPr>
                <w:t>https://www.law.ox.ac.uk/support-oxford-law/corporate-partnerships</w:t>
              </w:r>
            </w:hyperlink>
            <w:r w:rsidRPr="00485F85">
              <w:rPr>
                <w:rFonts w:asciiTheme="majorHAnsi" w:hAnsiTheme="majorHAnsi" w:cstheme="majorHAnsi"/>
              </w:rPr>
              <w:t xml:space="preserve"> </w:t>
            </w:r>
          </w:p>
          <w:p w14:paraId="004C41DA" w14:textId="77777777" w:rsidR="008A2F73" w:rsidRPr="00485F85" w:rsidRDefault="008A2F73" w:rsidP="00DE19E1">
            <w:pPr>
              <w:spacing w:after="160" w:line="360" w:lineRule="auto"/>
              <w:jc w:val="both"/>
              <w:rPr>
                <w:rFonts w:asciiTheme="majorHAnsi" w:hAnsiTheme="majorHAnsi" w:cstheme="majorHAnsi"/>
              </w:rPr>
            </w:pPr>
          </w:p>
          <w:p w14:paraId="0886EB1E" w14:textId="77777777" w:rsidR="008A2F73" w:rsidRPr="00485F85" w:rsidRDefault="008A2F73" w:rsidP="00DE19E1">
            <w:pPr>
              <w:spacing w:after="160" w:line="360" w:lineRule="auto"/>
              <w:jc w:val="both"/>
              <w:rPr>
                <w:rFonts w:asciiTheme="majorHAnsi" w:hAnsiTheme="majorHAnsi" w:cstheme="majorHAnsi"/>
              </w:rPr>
            </w:pPr>
            <w:r w:rsidRPr="00485F85">
              <w:rPr>
                <w:rFonts w:asciiTheme="majorHAnsi" w:hAnsiTheme="majorHAnsi" w:cstheme="majorHAnsi"/>
              </w:rPr>
              <w:t xml:space="preserve">- Os escritórios de estágio além de possuírem opções para férias, microestágios, estágios remunerados e voluntários, também incentiva seus estudantes e compartilharem suas experiências por meio do site. Com a publicação </w:t>
            </w:r>
            <w:hyperlink r:id="rId317" w:anchor="/" w:history="1">
              <w:r w:rsidRPr="00485F85">
                <w:rPr>
                  <w:rStyle w:val="Hyperlink"/>
                  <w:rFonts w:asciiTheme="majorHAnsi" w:hAnsiTheme="majorHAnsi" w:cstheme="majorHAnsi"/>
                </w:rPr>
                <w:t>https://www.careers.ox.ac.uk/internship-experience#/</w:t>
              </w:r>
            </w:hyperlink>
            <w:r w:rsidRPr="00485F85">
              <w:rPr>
                <w:rFonts w:asciiTheme="majorHAnsi" w:hAnsiTheme="majorHAnsi" w:cstheme="majorHAnsi"/>
              </w:rPr>
              <w:t xml:space="preserve"> dos alunos que participaram </w:t>
            </w:r>
            <w:r w:rsidRPr="00485F85">
              <w:rPr>
                <w:rFonts w:asciiTheme="majorHAnsi" w:hAnsiTheme="majorHAnsi" w:cstheme="majorHAnsi"/>
              </w:rPr>
              <w:lastRenderedPageBreak/>
              <w:t>de estágios de verão</w:t>
            </w:r>
          </w:p>
          <w:p w14:paraId="3AF683BD" w14:textId="77777777" w:rsidR="008A2F73" w:rsidRPr="00485F85" w:rsidRDefault="008A2F73" w:rsidP="00DE19E1">
            <w:pPr>
              <w:spacing w:after="160" w:line="360" w:lineRule="auto"/>
              <w:jc w:val="both"/>
              <w:rPr>
                <w:rFonts w:asciiTheme="majorHAnsi" w:hAnsiTheme="majorHAnsi" w:cstheme="majorHAnsi"/>
              </w:rPr>
            </w:pPr>
            <w:r w:rsidRPr="00485F85">
              <w:rPr>
                <w:rFonts w:asciiTheme="majorHAnsi" w:hAnsiTheme="majorHAnsi" w:cstheme="majorHAnsi"/>
              </w:rPr>
              <w:t>- Foi possível observar que a rede de relacionamento de Oxford com seus ex-alunos oportuniza diversas vagas para estágios e que esse elo entre ex-alunos e alunos regulares é muito importante.</w:t>
            </w:r>
          </w:p>
          <w:p w14:paraId="1E28C777" w14:textId="77777777" w:rsidR="008A2F73" w:rsidRPr="00485F85" w:rsidRDefault="008A2F73" w:rsidP="00DE19E1">
            <w:pPr>
              <w:spacing w:after="160" w:line="360" w:lineRule="auto"/>
              <w:jc w:val="both"/>
              <w:rPr>
                <w:rFonts w:asciiTheme="majorHAnsi" w:hAnsiTheme="majorHAnsi" w:cstheme="majorHAnsi"/>
              </w:rPr>
            </w:pPr>
            <w:r w:rsidRPr="00485F85">
              <w:rPr>
                <w:rFonts w:asciiTheme="majorHAnsi" w:hAnsiTheme="majorHAnsi" w:cstheme="majorHAnsi"/>
              </w:rPr>
              <w:t>- Notou-se que o estabelecimento de parcerias com outras universidades se dá por meio de redes de cooperação mais amplas e que poucas vezes a parceria é direta. Salvo no caso de financiamento de bolsas de estudo. Desse modo, a Aliança Internacional de Universidades de Pesquisa, a Europaeum, ou a Liga das Universidades de Pesquisa Européias fazem parte de sua rede de parcerias.</w:t>
            </w:r>
          </w:p>
          <w:p w14:paraId="1D78D44F"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Intercâmbios, programas de verão e outras oportunidades de estudo no exterior são oferecidas aos estudantes com o objetivo de aprimorar seus estudos durante ou fora do período letivo. Algumas das oportunidades ofertadas são organizadas e financiadas pela Universidade de Oxford, enquanto outras são administradas por instituições afiliadas. São elas:</w:t>
            </w:r>
          </w:p>
          <w:p w14:paraId="3F759764"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•Oxford estudo no exterior / intercâmbios</w:t>
            </w:r>
          </w:p>
          <w:p w14:paraId="1D3DB61D"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•Bolsas de viagem e expedições</w:t>
            </w:r>
          </w:p>
          <w:p w14:paraId="638047C1"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•Programas de verão</w:t>
            </w:r>
          </w:p>
          <w:p w14:paraId="4B4DB36B"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•Outras oportunidades</w:t>
            </w:r>
          </w:p>
          <w:p w14:paraId="7EE8F6D2" w14:textId="77777777" w:rsidR="008A2F73" w:rsidRPr="00485F85" w:rsidRDefault="00A515B3" w:rsidP="00DE19E1">
            <w:pPr>
              <w:spacing w:after="160" w:line="360" w:lineRule="auto"/>
              <w:jc w:val="both"/>
              <w:rPr>
                <w:rFonts w:asciiTheme="majorHAnsi" w:hAnsiTheme="majorHAnsi" w:cstheme="majorHAnsi"/>
              </w:rPr>
            </w:pPr>
            <w:hyperlink r:id="rId318" w:history="1">
              <w:r w:rsidR="008A2F73" w:rsidRPr="00485F85">
                <w:rPr>
                  <w:rStyle w:val="Hyperlink"/>
                  <w:rFonts w:asciiTheme="majorHAnsi" w:hAnsiTheme="majorHAnsi" w:cstheme="majorHAnsi"/>
                </w:rPr>
                <w:t>https://www.ox.ac.uk/students/fees-funding/international/scholarships-exchanges</w:t>
              </w:r>
            </w:hyperlink>
            <w:r w:rsidR="008A2F73" w:rsidRPr="00485F85">
              <w:rPr>
                <w:rFonts w:asciiTheme="majorHAnsi" w:hAnsiTheme="majorHAnsi" w:cstheme="majorHAnsi"/>
              </w:rPr>
              <w:t xml:space="preserve"> </w:t>
            </w:r>
          </w:p>
          <w:p w14:paraId="4A51C628" w14:textId="77777777" w:rsidR="008A2F73" w:rsidRPr="00485F85" w:rsidRDefault="008A2F73" w:rsidP="00DE19E1">
            <w:pPr>
              <w:spacing w:after="160" w:line="360" w:lineRule="auto"/>
              <w:jc w:val="both"/>
              <w:rPr>
                <w:rFonts w:asciiTheme="majorHAnsi" w:hAnsiTheme="majorHAnsi" w:cstheme="majorHAnsi"/>
              </w:rPr>
            </w:pPr>
            <w:r w:rsidRPr="00485F85">
              <w:rPr>
                <w:rFonts w:asciiTheme="majorHAnsi" w:hAnsiTheme="majorHAnsi" w:cstheme="majorHAnsi"/>
              </w:rPr>
              <w:t xml:space="preserve">- Notou-se fortes indícios de </w:t>
            </w:r>
            <w:r w:rsidRPr="00485F85">
              <w:rPr>
                <w:rFonts w:asciiTheme="majorHAnsi" w:hAnsiTheme="majorHAnsi" w:cstheme="majorHAnsi"/>
              </w:rPr>
              <w:lastRenderedPageBreak/>
              <w:t xml:space="preserve">internacionalização com professores e docentes provenientes de várias partes do globo. </w:t>
            </w:r>
          </w:p>
          <w:p w14:paraId="3E2BCDB7" w14:textId="77777777" w:rsidR="008A2F73" w:rsidRPr="00485F85" w:rsidRDefault="00A515B3" w:rsidP="00DE19E1">
            <w:pPr>
              <w:spacing w:after="160" w:line="360" w:lineRule="auto"/>
              <w:jc w:val="both"/>
              <w:rPr>
                <w:rFonts w:asciiTheme="majorHAnsi" w:hAnsiTheme="majorHAnsi" w:cstheme="majorHAnsi"/>
              </w:rPr>
            </w:pPr>
            <w:hyperlink r:id="rId319" w:history="1">
              <w:r w:rsidR="008A2F73" w:rsidRPr="00485F85">
                <w:rPr>
                  <w:rStyle w:val="Hyperlink"/>
                  <w:rFonts w:asciiTheme="majorHAnsi" w:hAnsiTheme="majorHAnsi" w:cstheme="majorHAnsi"/>
                </w:rPr>
                <w:t>https://www.ox.ac.uk/about/international-oxford</w:t>
              </w:r>
            </w:hyperlink>
            <w:r w:rsidR="008A2F73" w:rsidRPr="00485F85">
              <w:rPr>
                <w:rFonts w:asciiTheme="majorHAnsi" w:hAnsiTheme="majorHAnsi" w:cstheme="majorHAnsi"/>
              </w:rPr>
              <w:t xml:space="preserve"> </w:t>
            </w:r>
          </w:p>
          <w:p w14:paraId="317FAF83" w14:textId="77777777" w:rsidR="008A2F73" w:rsidRPr="00485F85" w:rsidRDefault="008A2F73"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Ao todo pode-se observar que a coleção de Journals de OXFORD é extensa e possui 596 exemplares diferentes de journals das suas diversas áreas de pesquisa. </w:t>
            </w:r>
          </w:p>
          <w:p w14:paraId="0A7CF9C1" w14:textId="77777777" w:rsidR="008A2F73" w:rsidRPr="00485F85" w:rsidRDefault="008A2F73" w:rsidP="00DE19E1">
            <w:pPr>
              <w:spacing w:line="360" w:lineRule="auto"/>
              <w:jc w:val="both"/>
              <w:rPr>
                <w:rFonts w:asciiTheme="majorHAnsi" w:hAnsiTheme="majorHAnsi" w:cstheme="majorHAnsi"/>
                <w:bCs/>
              </w:rPr>
            </w:pPr>
            <w:r w:rsidRPr="00485F85">
              <w:rPr>
                <w:rFonts w:asciiTheme="majorHAnsi" w:hAnsiTheme="majorHAnsi" w:cstheme="majorHAnsi"/>
                <w:bCs/>
              </w:rPr>
              <w:t>Mais informações podem ser consultadas em: Journals de A-Z</w:t>
            </w:r>
          </w:p>
          <w:p w14:paraId="77860753" w14:textId="77777777" w:rsidR="008A2F73" w:rsidRPr="00485F85" w:rsidRDefault="00A515B3" w:rsidP="00DE19E1">
            <w:pPr>
              <w:spacing w:after="160" w:line="360" w:lineRule="auto"/>
              <w:jc w:val="both"/>
              <w:rPr>
                <w:rFonts w:asciiTheme="majorHAnsi" w:hAnsiTheme="majorHAnsi" w:cstheme="majorHAnsi"/>
                <w:bCs/>
              </w:rPr>
            </w:pPr>
            <w:hyperlink r:id="rId320" w:history="1">
              <w:r w:rsidR="008A2F73" w:rsidRPr="00485F85">
                <w:rPr>
                  <w:rStyle w:val="Hyperlink"/>
                  <w:rFonts w:asciiTheme="majorHAnsi" w:hAnsiTheme="majorHAnsi" w:cstheme="majorHAnsi"/>
                  <w:bCs/>
                </w:rPr>
                <w:t>https://academic.oup.com/journals/pages/journals_a_to_z</w:t>
              </w:r>
            </w:hyperlink>
            <w:r w:rsidR="008A2F73" w:rsidRPr="00485F85">
              <w:rPr>
                <w:rFonts w:asciiTheme="majorHAnsi" w:hAnsiTheme="majorHAnsi" w:cstheme="majorHAnsi"/>
                <w:bCs/>
              </w:rPr>
              <w:t xml:space="preserve"> </w:t>
            </w:r>
          </w:p>
          <w:p w14:paraId="4A167DC4" w14:textId="77BA3588" w:rsidR="008A2F73" w:rsidRPr="00485F85" w:rsidRDefault="008A2F73" w:rsidP="00DE19E1">
            <w:pPr>
              <w:spacing w:line="360" w:lineRule="auto"/>
              <w:jc w:val="both"/>
              <w:rPr>
                <w:rFonts w:asciiTheme="majorHAnsi" w:hAnsiTheme="majorHAnsi" w:cstheme="majorHAnsi"/>
                <w:b/>
              </w:rPr>
            </w:pPr>
          </w:p>
        </w:tc>
      </w:tr>
      <w:tr w:rsidR="008A2F73" w:rsidRPr="00485F85" w14:paraId="00249637" w14:textId="77777777" w:rsidTr="00DE19E1">
        <w:tc>
          <w:tcPr>
            <w:tcW w:w="905" w:type="dxa"/>
            <w:tcBorders>
              <w:top w:val="single" w:sz="4" w:space="0" w:color="auto"/>
              <w:left w:val="single" w:sz="4" w:space="0" w:color="auto"/>
              <w:bottom w:val="single" w:sz="4" w:space="0" w:color="auto"/>
              <w:right w:val="single" w:sz="4" w:space="0" w:color="auto"/>
            </w:tcBorders>
          </w:tcPr>
          <w:p w14:paraId="26E3D298" w14:textId="05A86D59" w:rsidR="008A2F73" w:rsidRPr="00485F85" w:rsidRDefault="008A2F73"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9. Vinculação com a Educação Básica</w:t>
            </w:r>
          </w:p>
        </w:tc>
        <w:tc>
          <w:tcPr>
            <w:tcW w:w="3461" w:type="dxa"/>
            <w:tcBorders>
              <w:top w:val="single" w:sz="4" w:space="0" w:color="auto"/>
              <w:left w:val="single" w:sz="4" w:space="0" w:color="auto"/>
              <w:bottom w:val="single" w:sz="4" w:space="0" w:color="auto"/>
              <w:right w:val="single" w:sz="4" w:space="0" w:color="auto"/>
            </w:tcBorders>
          </w:tcPr>
          <w:p w14:paraId="0D12E36B" w14:textId="05F091AF" w:rsidR="008A2F73" w:rsidRPr="00485F85" w:rsidRDefault="008A2F73" w:rsidP="00DE19E1">
            <w:pPr>
              <w:spacing w:line="360" w:lineRule="auto"/>
              <w:jc w:val="both"/>
              <w:rPr>
                <w:rFonts w:asciiTheme="majorHAnsi" w:hAnsiTheme="majorHAnsi" w:cstheme="majorHAnsi"/>
                <w:b/>
              </w:rPr>
            </w:pPr>
            <w:r w:rsidRPr="00485F85">
              <w:rPr>
                <w:rFonts w:asciiTheme="majorHAnsi" w:hAnsiTheme="majorHAnsi" w:cstheme="majorHAnsi"/>
                <w:bCs/>
              </w:rPr>
              <w:t>- Projetos que atendem em alguma medida as demandas da comunidade</w:t>
            </w:r>
          </w:p>
        </w:tc>
        <w:tc>
          <w:tcPr>
            <w:tcW w:w="1641" w:type="dxa"/>
            <w:tcBorders>
              <w:top w:val="single" w:sz="4" w:space="0" w:color="auto"/>
              <w:left w:val="single" w:sz="4" w:space="0" w:color="auto"/>
              <w:bottom w:val="single" w:sz="4" w:space="0" w:color="auto"/>
              <w:right w:val="single" w:sz="4" w:space="0" w:color="auto"/>
            </w:tcBorders>
          </w:tcPr>
          <w:p w14:paraId="35F05822"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 Universidade não demonstrou uma preocupação de voltada para parcerias mais consolidadas com a educação básica. </w:t>
            </w:r>
          </w:p>
          <w:p w14:paraId="0C57B54E"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As ações propostas são pontuais e pouco sistematizadas.</w:t>
            </w:r>
          </w:p>
          <w:p w14:paraId="28AB3D50" w14:textId="370EC2E0"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É importante que a Universidade entenda as expectativas dos jovens, sobretudo os recém-formados. Na coleta de dados foi possível observa que a procura pela graduação é grande apesar desse nível de </w:t>
            </w:r>
            <w:r w:rsidRPr="00485F85">
              <w:rPr>
                <w:rFonts w:asciiTheme="majorHAnsi" w:hAnsiTheme="majorHAnsi" w:cstheme="majorHAnsi"/>
                <w:bCs/>
              </w:rPr>
              <w:lastRenderedPageBreak/>
              <w:t>titulação não contemplar a maior quantidade de vagas ofertadas. O que demonstra uma lacuna informacional de interesses entre a organização e esses jovens.</w:t>
            </w:r>
          </w:p>
        </w:tc>
        <w:tc>
          <w:tcPr>
            <w:tcW w:w="4136" w:type="dxa"/>
            <w:tcBorders>
              <w:top w:val="single" w:sz="4" w:space="0" w:color="auto"/>
              <w:left w:val="single" w:sz="4" w:space="0" w:color="auto"/>
              <w:bottom w:val="single" w:sz="4" w:space="0" w:color="auto"/>
              <w:right w:val="single" w:sz="4" w:space="0" w:color="auto"/>
            </w:tcBorders>
          </w:tcPr>
          <w:p w14:paraId="5286AB4B" w14:textId="77777777" w:rsidR="008A2F73" w:rsidRPr="00485F85" w:rsidRDefault="008A2F73" w:rsidP="00DE19E1">
            <w:pPr>
              <w:spacing w:line="360" w:lineRule="auto"/>
              <w:jc w:val="both"/>
              <w:rPr>
                <w:rFonts w:asciiTheme="majorHAnsi" w:hAnsiTheme="majorHAnsi" w:cstheme="majorHAnsi"/>
                <w:bCs/>
              </w:rPr>
            </w:pPr>
            <w:r w:rsidRPr="00485F85">
              <w:rPr>
                <w:rFonts w:asciiTheme="majorHAnsi" w:hAnsiTheme="majorHAnsi" w:cstheme="majorHAnsi"/>
                <w:bCs/>
              </w:rPr>
              <w:lastRenderedPageBreak/>
              <w:t>- Ações pontuais foram observadas como investimentos para treinar lideranças das escolas primárias na cidade de Oxford. Trata-se uma iniciativa conjunta patrocinada pelo Oxford City Council. Chamado de 'Programa de Liderança para Aprendizagem', ele será executado em ciclos de dois anos com até 40 participantes cada ano das 11 escolas.</w:t>
            </w:r>
          </w:p>
          <w:p w14:paraId="13662C59" w14:textId="77777777" w:rsidR="008A2F73" w:rsidRPr="00485F85" w:rsidRDefault="00A515B3" w:rsidP="00DE19E1">
            <w:pPr>
              <w:spacing w:line="360" w:lineRule="auto"/>
              <w:jc w:val="both"/>
              <w:rPr>
                <w:rFonts w:asciiTheme="majorHAnsi" w:hAnsiTheme="majorHAnsi" w:cstheme="majorHAnsi"/>
                <w:bCs/>
              </w:rPr>
            </w:pPr>
            <w:hyperlink r:id="rId321" w:history="1">
              <w:r w:rsidR="008A2F73" w:rsidRPr="00485F85">
                <w:rPr>
                  <w:rStyle w:val="Hyperlink"/>
                  <w:rFonts w:asciiTheme="majorHAnsi" w:hAnsiTheme="majorHAnsi" w:cstheme="majorHAnsi"/>
                  <w:bCs/>
                </w:rPr>
                <w:t>https://www.ox.ac.uk/news/2013-01-17-supporting-leadership-development-primary-schools</w:t>
              </w:r>
            </w:hyperlink>
          </w:p>
          <w:p w14:paraId="51C00C7A" w14:textId="77777777" w:rsidR="008A2F73" w:rsidRPr="00485F85" w:rsidRDefault="008A2F73" w:rsidP="00DE19E1">
            <w:pPr>
              <w:spacing w:line="360" w:lineRule="auto"/>
              <w:jc w:val="both"/>
              <w:rPr>
                <w:rFonts w:asciiTheme="majorHAnsi" w:hAnsiTheme="majorHAnsi" w:cstheme="majorHAnsi"/>
                <w:bCs/>
              </w:rPr>
            </w:pPr>
          </w:p>
          <w:p w14:paraId="4FAB7C5C" w14:textId="77777777" w:rsidR="008A2F73" w:rsidRPr="00485F85" w:rsidRDefault="008A2F73"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- 80 alunos voluntários do Christ Church e University College contribuem mentoria, apoio acadêmico e programas de construção de aspirações para 900 alunos. A equipe trabalha em estreita colaboração com escolas locais e organizações </w:t>
            </w:r>
            <w:r w:rsidRPr="00485F85">
              <w:rPr>
                <w:rFonts w:asciiTheme="majorHAnsi" w:hAnsiTheme="majorHAnsi" w:cstheme="majorHAnsi"/>
                <w:bCs/>
              </w:rPr>
              <w:lastRenderedPageBreak/>
              <w:t xml:space="preserve">comunitárias para apoiar alunos a partir de sete anos com seus deveres de casa e para fornecer orientação e aconselhamento sobre inscrições para universidades e escolhas de disciplinas para GCSE e A-level. </w:t>
            </w:r>
          </w:p>
          <w:p w14:paraId="4C5BFDCE" w14:textId="00CEBFAD" w:rsidR="008A2F73" w:rsidRPr="00485F85" w:rsidRDefault="00A515B3" w:rsidP="00DE19E1">
            <w:pPr>
              <w:spacing w:line="360" w:lineRule="auto"/>
              <w:jc w:val="both"/>
              <w:rPr>
                <w:rFonts w:asciiTheme="majorHAnsi" w:hAnsiTheme="majorHAnsi" w:cstheme="majorHAnsi"/>
                <w:b/>
              </w:rPr>
            </w:pPr>
            <w:hyperlink r:id="rId322" w:history="1">
              <w:r w:rsidR="008A2F73" w:rsidRPr="00485F85">
                <w:rPr>
                  <w:rStyle w:val="Hyperlink"/>
                  <w:rFonts w:asciiTheme="majorHAnsi" w:hAnsiTheme="majorHAnsi" w:cstheme="majorHAnsi"/>
                  <w:bCs/>
                </w:rPr>
                <w:t>https://www.ox.ac.uk/local-community/engagement/enhancing-oxford/learning</w:t>
              </w:r>
            </w:hyperlink>
            <w:r w:rsidR="008A2F73" w:rsidRPr="00485F85">
              <w:rPr>
                <w:rFonts w:asciiTheme="majorHAnsi" w:hAnsiTheme="majorHAnsi" w:cstheme="majorHAnsi"/>
                <w:bCs/>
              </w:rPr>
              <w:t xml:space="preserve"> </w:t>
            </w:r>
          </w:p>
        </w:tc>
      </w:tr>
      <w:tr w:rsidR="008A2F73" w:rsidRPr="00485F85" w14:paraId="3D44ECDF" w14:textId="77777777" w:rsidTr="00DE19E1">
        <w:tc>
          <w:tcPr>
            <w:tcW w:w="905" w:type="dxa"/>
            <w:tcBorders>
              <w:top w:val="single" w:sz="4" w:space="0" w:color="auto"/>
              <w:left w:val="single" w:sz="4" w:space="0" w:color="auto"/>
              <w:bottom w:val="single" w:sz="4" w:space="0" w:color="auto"/>
              <w:right w:val="single" w:sz="4" w:space="0" w:color="auto"/>
            </w:tcBorders>
          </w:tcPr>
          <w:p w14:paraId="0AB68209" w14:textId="6B975C7C" w:rsidR="008A2F73" w:rsidRPr="00485F85" w:rsidRDefault="008A2F73" w:rsidP="00DE19E1">
            <w:pPr>
              <w:spacing w:line="360" w:lineRule="auto"/>
              <w:jc w:val="both"/>
              <w:rPr>
                <w:rFonts w:asciiTheme="majorHAnsi" w:hAnsiTheme="majorHAnsi" w:cstheme="majorHAnsi"/>
                <w:b/>
              </w:rPr>
            </w:pPr>
            <w:bookmarkStart w:id="60" w:name="_Hlk79966711"/>
            <w:r w:rsidRPr="00485F85">
              <w:rPr>
                <w:rFonts w:asciiTheme="majorHAnsi" w:hAnsiTheme="majorHAnsi" w:cstheme="majorHAnsi"/>
                <w:b/>
              </w:rPr>
              <w:lastRenderedPageBreak/>
              <w:t>Dimensão 10. Impacto na Indústria/Setor produtivo</w:t>
            </w:r>
            <w:bookmarkEnd w:id="60"/>
          </w:p>
        </w:tc>
        <w:tc>
          <w:tcPr>
            <w:tcW w:w="3461" w:type="dxa"/>
            <w:tcBorders>
              <w:top w:val="single" w:sz="4" w:space="0" w:color="auto"/>
              <w:left w:val="single" w:sz="4" w:space="0" w:color="auto"/>
              <w:bottom w:val="single" w:sz="4" w:space="0" w:color="auto"/>
              <w:right w:val="single" w:sz="4" w:space="0" w:color="auto"/>
            </w:tcBorders>
          </w:tcPr>
          <w:p w14:paraId="43B6ED76"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Empresa subsidiária integral dedicada à inovação com foco na indústria e setor produtivo</w:t>
            </w:r>
          </w:p>
          <w:p w14:paraId="5BC0A84C"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Impacto financeiro positivo e empregabilidade de pessoas.</w:t>
            </w:r>
          </w:p>
          <w:p w14:paraId="0905630C"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Empresa de consultoria parceria da Instituição: Oxentia</w:t>
            </w:r>
          </w:p>
          <w:p w14:paraId="2EB58B5E"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Ambiente empreendedor accessível à comunidade</w:t>
            </w:r>
          </w:p>
          <w:p w14:paraId="05B05DFC"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Ecossistema de inovação e empreendedorismo com foco em empresas locais no condado de </w:t>
            </w:r>
            <w:r w:rsidRPr="00485F85">
              <w:rPr>
                <w:rFonts w:asciiTheme="majorHAnsi" w:hAnsiTheme="majorHAnsi" w:cstheme="majorHAnsi"/>
              </w:rPr>
              <w:t>Oxfordshire.</w:t>
            </w:r>
            <w:r w:rsidRPr="00485F85">
              <w:rPr>
                <w:rFonts w:asciiTheme="majorHAnsi" w:hAnsiTheme="majorHAnsi" w:cstheme="majorHAnsi"/>
                <w:bCs/>
              </w:rPr>
              <w:t xml:space="preserve"> </w:t>
            </w:r>
          </w:p>
          <w:p w14:paraId="16A7555C" w14:textId="5A122EF0" w:rsidR="008A2F73" w:rsidRPr="00485F85" w:rsidRDefault="008A2F73" w:rsidP="00DE19E1">
            <w:pPr>
              <w:spacing w:line="360" w:lineRule="auto"/>
              <w:jc w:val="both"/>
              <w:rPr>
                <w:rFonts w:asciiTheme="majorHAnsi" w:hAnsiTheme="majorHAnsi" w:cstheme="majorHAnsi"/>
                <w:b/>
              </w:rPr>
            </w:pPr>
            <w:r w:rsidRPr="00485F85">
              <w:rPr>
                <w:rFonts w:asciiTheme="majorHAnsi" w:hAnsiTheme="majorHAnsi" w:cstheme="majorHAnsi"/>
                <w:bCs/>
              </w:rPr>
              <w:t xml:space="preserve">- Oferta de oportunidades isoladas de aprender sobre inovação e empreendedorismo nas </w:t>
            </w:r>
            <w:r w:rsidRPr="00485F85">
              <w:rPr>
                <w:rFonts w:asciiTheme="majorHAnsi" w:hAnsiTheme="majorHAnsi" w:cstheme="majorHAnsi"/>
                <w:bCs/>
              </w:rPr>
              <w:lastRenderedPageBreak/>
              <w:t>empresas por meio dos departamentos, faculties e divisões acadêmcias.</w:t>
            </w:r>
          </w:p>
        </w:tc>
        <w:tc>
          <w:tcPr>
            <w:tcW w:w="1641" w:type="dxa"/>
            <w:tcBorders>
              <w:top w:val="single" w:sz="4" w:space="0" w:color="auto"/>
              <w:left w:val="single" w:sz="4" w:space="0" w:color="auto"/>
              <w:bottom w:val="single" w:sz="4" w:space="0" w:color="auto"/>
              <w:right w:val="single" w:sz="4" w:space="0" w:color="auto"/>
            </w:tcBorders>
          </w:tcPr>
          <w:p w14:paraId="069F9557"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Apesar da oferta de apoio para pequenas empresas, não foi detectado nenhum tipo de acolhimento/aproximação para que o contato acontecesse de forma simplificada ou dieta. Assim que empresas menores não teriam o acompanhamento necessário nem para o primeiro contato com a universidade se não dominarem ferramentas com a internet, por exemplo. Até para se inteirarem sobre o que é ofertado de possibilidade à elas.</w:t>
            </w:r>
          </w:p>
          <w:p w14:paraId="3330F084" w14:textId="77777777" w:rsidR="008A2F73" w:rsidRPr="00485F85" w:rsidRDefault="008A2F73" w:rsidP="00DE19E1">
            <w:pPr>
              <w:spacing w:after="160" w:line="360" w:lineRule="auto"/>
              <w:jc w:val="both"/>
              <w:rPr>
                <w:rFonts w:asciiTheme="majorHAnsi" w:hAnsiTheme="majorHAnsi" w:cstheme="majorHAnsi"/>
                <w:bCs/>
              </w:rPr>
            </w:pPr>
          </w:p>
          <w:p w14:paraId="7787BD7C" w14:textId="77777777" w:rsidR="008A2F73" w:rsidRPr="00485F85" w:rsidRDefault="008A2F73"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w:t>
            </w:r>
          </w:p>
          <w:p w14:paraId="2C8265D7" w14:textId="77777777" w:rsidR="008A2F73" w:rsidRPr="00485F85" w:rsidRDefault="008A2F73" w:rsidP="00DE19E1">
            <w:pPr>
              <w:spacing w:line="360" w:lineRule="auto"/>
              <w:jc w:val="both"/>
              <w:rPr>
                <w:rFonts w:asciiTheme="majorHAnsi" w:hAnsiTheme="majorHAnsi" w:cstheme="majorHAnsi"/>
                <w:b/>
              </w:rPr>
            </w:pPr>
          </w:p>
        </w:tc>
        <w:tc>
          <w:tcPr>
            <w:tcW w:w="4136" w:type="dxa"/>
            <w:tcBorders>
              <w:top w:val="single" w:sz="4" w:space="0" w:color="auto"/>
              <w:left w:val="single" w:sz="4" w:space="0" w:color="auto"/>
              <w:bottom w:val="single" w:sz="4" w:space="0" w:color="auto"/>
              <w:right w:val="single" w:sz="4" w:space="0" w:color="auto"/>
            </w:tcBorders>
          </w:tcPr>
          <w:p w14:paraId="36460BF7"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Foi observado que a Universidade de Oxford colabora com o setor produtivo a partir de inovações, consultorias acadêmicas, patentes e invenções por meio da OXFORD UNIVERSITY INNOVATION. Trata-se de uma empresa subsidiária integral da Universidade de Oxford, supervisionada por um conselho formado por funcionários seniores da Universidade e membros externos com ampla experiência no setor.</w:t>
            </w:r>
          </w:p>
          <w:p w14:paraId="3845E57D" w14:textId="77777777" w:rsidR="008A2F73" w:rsidRPr="00485F85" w:rsidRDefault="00A515B3" w:rsidP="00DE19E1">
            <w:pPr>
              <w:spacing w:line="360" w:lineRule="auto"/>
              <w:jc w:val="both"/>
              <w:rPr>
                <w:rFonts w:asciiTheme="majorHAnsi" w:hAnsiTheme="majorHAnsi" w:cstheme="majorHAnsi"/>
              </w:rPr>
            </w:pPr>
            <w:hyperlink r:id="rId323" w:history="1">
              <w:r w:rsidR="008A2F73" w:rsidRPr="00485F85">
                <w:rPr>
                  <w:rStyle w:val="Hyperlink"/>
                  <w:rFonts w:asciiTheme="majorHAnsi" w:hAnsiTheme="majorHAnsi" w:cstheme="majorHAnsi"/>
                </w:rPr>
                <w:t>https://innovation.ox.ac.uk/about/</w:t>
              </w:r>
            </w:hyperlink>
            <w:r w:rsidR="008A2F73" w:rsidRPr="00485F85">
              <w:rPr>
                <w:rFonts w:asciiTheme="majorHAnsi" w:hAnsiTheme="majorHAnsi" w:cstheme="majorHAnsi"/>
              </w:rPr>
              <w:t xml:space="preserve"> </w:t>
            </w:r>
          </w:p>
          <w:p w14:paraId="6C81AF52"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p>
          <w:p w14:paraId="462FBE7F" w14:textId="77777777" w:rsidR="008A2F73" w:rsidRPr="00485F85" w:rsidRDefault="008A2F73" w:rsidP="00DE19E1">
            <w:pPr>
              <w:spacing w:line="360" w:lineRule="auto"/>
              <w:jc w:val="both"/>
              <w:rPr>
                <w:rFonts w:asciiTheme="majorHAnsi" w:hAnsiTheme="majorHAnsi" w:cstheme="majorHAnsi"/>
                <w:bCs/>
              </w:rPr>
            </w:pPr>
            <w:r w:rsidRPr="00485F85">
              <w:rPr>
                <w:rFonts w:asciiTheme="majorHAnsi" w:hAnsiTheme="majorHAnsi" w:cstheme="majorHAnsi"/>
              </w:rPr>
              <w:t xml:space="preserve">- A partir dos dados obtidos com a consultoria de foi possível observar que apenas com as consultorias prestadas em 2020ª renda foi de </w:t>
            </w:r>
            <w:r w:rsidRPr="00485F85">
              <w:rPr>
                <w:rFonts w:asciiTheme="majorHAnsi" w:hAnsiTheme="majorHAnsi" w:cstheme="majorHAnsi"/>
                <w:bCs/>
              </w:rPr>
              <w:t xml:space="preserve"> £ 4,49 milhões de libras. Houve também </w:t>
            </w:r>
            <w:r w:rsidRPr="00485F85">
              <w:rPr>
                <w:rFonts w:asciiTheme="majorHAnsi" w:hAnsiTheme="majorHAnsi" w:cstheme="majorHAnsi"/>
              </w:rPr>
              <w:t xml:space="preserve">Impacto positivo na empregabilidade com cerca de 2.300 consultores registrados e mais de 500 negócios consolidados somente em 2020 </w:t>
            </w:r>
          </w:p>
          <w:p w14:paraId="30ABE295" w14:textId="77777777" w:rsidR="008A2F73" w:rsidRPr="00485F85" w:rsidRDefault="008A2F73" w:rsidP="00DE19E1">
            <w:pPr>
              <w:spacing w:line="360" w:lineRule="auto"/>
              <w:jc w:val="both"/>
              <w:rPr>
                <w:rFonts w:asciiTheme="majorHAnsi" w:hAnsiTheme="majorHAnsi" w:cstheme="majorHAnsi"/>
              </w:rPr>
            </w:pPr>
          </w:p>
          <w:p w14:paraId="4D203CCE"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xml:space="preserve">- Governos, empresas e universidades em todo o mundo podem acessar suporte e know-how para gestão de inovação por meio da Oxentia (agora uma empresa </w:t>
            </w:r>
            <w:r w:rsidRPr="00485F85">
              <w:rPr>
                <w:rFonts w:asciiTheme="majorHAnsi" w:hAnsiTheme="majorHAnsi" w:cstheme="majorHAnsi"/>
              </w:rPr>
              <w:lastRenderedPageBreak/>
              <w:t xml:space="preserve">separada, anteriormente conhecida como Isis Enterprise). </w:t>
            </w:r>
            <w:hyperlink r:id="rId324" w:history="1">
              <w:r w:rsidRPr="00485F85">
                <w:rPr>
                  <w:rStyle w:val="Hyperlink"/>
                  <w:rFonts w:asciiTheme="majorHAnsi" w:hAnsiTheme="majorHAnsi" w:cstheme="majorHAnsi"/>
                </w:rPr>
                <w:t>https://www.oxentia.com/</w:t>
              </w:r>
            </w:hyperlink>
            <w:r w:rsidRPr="00485F85">
              <w:rPr>
                <w:rFonts w:asciiTheme="majorHAnsi" w:hAnsiTheme="majorHAnsi" w:cstheme="majorHAnsi"/>
              </w:rPr>
              <w:t xml:space="preserve"> </w:t>
            </w:r>
          </w:p>
          <w:p w14:paraId="68C97A08" w14:textId="77777777" w:rsidR="008A2F73" w:rsidRPr="00485F85" w:rsidRDefault="008A2F73" w:rsidP="00DE19E1">
            <w:pPr>
              <w:spacing w:line="360" w:lineRule="auto"/>
              <w:jc w:val="both"/>
              <w:rPr>
                <w:rFonts w:asciiTheme="majorHAnsi" w:hAnsiTheme="majorHAnsi" w:cstheme="majorHAnsi"/>
              </w:rPr>
            </w:pPr>
          </w:p>
          <w:p w14:paraId="145B84E3"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Foi detectado um ambiente de empreendedorismo na universidade por meio de práticas de suporte à comunidade como:</w:t>
            </w:r>
          </w:p>
          <w:p w14:paraId="1605B53C"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construção flexível e aluguel no Oxford Science Park</w:t>
            </w:r>
          </w:p>
          <w:p w14:paraId="74067E2F"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instalações flexíveis em um ambiente de pesquisa exclusivo no Begbroke Science Park e no BioEscalator</w:t>
            </w:r>
          </w:p>
          <w:p w14:paraId="3823C48A"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engajamento com empreendedores, acadêmicos e alunos do Centro de Empreendedorismo</w:t>
            </w:r>
          </w:p>
          <w:p w14:paraId="4F37B886"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instalações para inovação e empresas baseadas em ciência e tecnologia no campus The Harwell Science &amp; Innovation</w:t>
            </w:r>
          </w:p>
          <w:p w14:paraId="27AED714"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espaço de escritório e serviços especializados de apoio empresarial no Culham Science Center</w:t>
            </w:r>
          </w:p>
          <w:p w14:paraId="797DF167" w14:textId="77777777" w:rsidR="008A2F73" w:rsidRPr="00485F85" w:rsidRDefault="008A2F73" w:rsidP="00DE19E1">
            <w:pPr>
              <w:pStyle w:val="PargrafodaLista"/>
              <w:numPr>
                <w:ilvl w:val="0"/>
                <w:numId w:val="37"/>
              </w:numPr>
              <w:spacing w:line="360" w:lineRule="auto"/>
              <w:jc w:val="both"/>
              <w:rPr>
                <w:rFonts w:asciiTheme="majorHAnsi" w:hAnsiTheme="majorHAnsi" w:cstheme="majorHAnsi"/>
                <w:bCs/>
              </w:rPr>
            </w:pPr>
            <w:r w:rsidRPr="00485F85">
              <w:rPr>
                <w:rFonts w:asciiTheme="majorHAnsi" w:hAnsiTheme="majorHAnsi" w:cstheme="majorHAnsi"/>
                <w:bCs/>
              </w:rPr>
              <w:t xml:space="preserve">redes locais, apoio governamental regional e nacional para empresas locais   </w:t>
            </w:r>
          </w:p>
          <w:p w14:paraId="6FA30622" w14:textId="77777777" w:rsidR="008A2F73" w:rsidRPr="00485F85" w:rsidRDefault="008A2F73" w:rsidP="00DE19E1">
            <w:pPr>
              <w:spacing w:line="360" w:lineRule="auto"/>
              <w:jc w:val="both"/>
              <w:rPr>
                <w:rFonts w:asciiTheme="majorHAnsi" w:hAnsiTheme="majorHAnsi" w:cstheme="majorHAnsi"/>
              </w:rPr>
            </w:pPr>
          </w:p>
          <w:p w14:paraId="5C2F4128"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 xml:space="preserve">- A Universidade trabalha em estreita colaboração com a Oxfordshire Local Enterprise Partnership  (OxLEP), cujo papel é defender o potencial econômico de Oxfordshire e impulsionar o crescimento </w:t>
            </w:r>
            <w:r w:rsidRPr="00485F85">
              <w:rPr>
                <w:rFonts w:asciiTheme="majorHAnsi" w:hAnsiTheme="majorHAnsi" w:cstheme="majorHAnsi"/>
              </w:rPr>
              <w:lastRenderedPageBreak/>
              <w:t>dos negócios, incluindo investimento interno por meio de investimentos em Oxfordshire . Ele também oferece um serviço gratuito de Suporte a Negócios em Oxfordshire .</w:t>
            </w:r>
          </w:p>
          <w:p w14:paraId="1BE390A6" w14:textId="77777777" w:rsidR="008A2F73" w:rsidRPr="00485F85" w:rsidRDefault="008A2F73" w:rsidP="00DE19E1">
            <w:pPr>
              <w:spacing w:line="360" w:lineRule="auto"/>
              <w:jc w:val="both"/>
              <w:rPr>
                <w:rFonts w:asciiTheme="majorHAnsi" w:hAnsiTheme="majorHAnsi" w:cstheme="majorHAnsi"/>
              </w:rPr>
            </w:pPr>
            <w:r w:rsidRPr="00485F85">
              <w:rPr>
                <w:rFonts w:asciiTheme="majorHAnsi" w:hAnsiTheme="majorHAnsi" w:cstheme="majorHAnsi"/>
              </w:rPr>
              <w:t>A Universidade está envolvida nas redes regionais de negócios:</w:t>
            </w:r>
          </w:p>
          <w:p w14:paraId="0430E01D" w14:textId="77777777" w:rsidR="008A2F73" w:rsidRPr="00485F85" w:rsidRDefault="00A515B3" w:rsidP="00DE19E1">
            <w:pPr>
              <w:spacing w:line="360" w:lineRule="auto"/>
              <w:jc w:val="both"/>
              <w:rPr>
                <w:rFonts w:asciiTheme="majorHAnsi" w:hAnsiTheme="majorHAnsi" w:cstheme="majorHAnsi"/>
              </w:rPr>
            </w:pPr>
            <w:hyperlink r:id="rId325" w:history="1">
              <w:r w:rsidR="008A2F73" w:rsidRPr="00485F85">
                <w:rPr>
                  <w:rStyle w:val="Hyperlink"/>
                  <w:rFonts w:asciiTheme="majorHAnsi" w:hAnsiTheme="majorHAnsi" w:cstheme="majorHAnsi"/>
                </w:rPr>
                <w:t>https://venturefestoxford.com</w:t>
              </w:r>
            </w:hyperlink>
            <w:r w:rsidR="008A2F73" w:rsidRPr="00485F85">
              <w:rPr>
                <w:rFonts w:asciiTheme="majorHAnsi" w:hAnsiTheme="majorHAnsi" w:cstheme="majorHAnsi"/>
              </w:rPr>
              <w:t xml:space="preserve"> </w:t>
            </w:r>
          </w:p>
          <w:p w14:paraId="621267AA" w14:textId="77777777" w:rsidR="008A2F73" w:rsidRPr="00485F85" w:rsidRDefault="00A515B3" w:rsidP="00DE19E1">
            <w:pPr>
              <w:spacing w:line="360" w:lineRule="auto"/>
              <w:jc w:val="both"/>
              <w:rPr>
                <w:rFonts w:asciiTheme="majorHAnsi" w:hAnsiTheme="majorHAnsi" w:cstheme="majorHAnsi"/>
              </w:rPr>
            </w:pPr>
            <w:hyperlink r:id="rId326" w:history="1">
              <w:r w:rsidR="008A2F73" w:rsidRPr="00485F85">
                <w:rPr>
                  <w:rStyle w:val="Hyperlink"/>
                  <w:rFonts w:asciiTheme="majorHAnsi" w:hAnsiTheme="majorHAnsi" w:cstheme="majorHAnsi"/>
                </w:rPr>
                <w:t>https://www.businessinoxford.com</w:t>
              </w:r>
            </w:hyperlink>
            <w:r w:rsidR="008A2F73" w:rsidRPr="00485F85">
              <w:rPr>
                <w:rFonts w:asciiTheme="majorHAnsi" w:hAnsiTheme="majorHAnsi" w:cstheme="majorHAnsi"/>
              </w:rPr>
              <w:t xml:space="preserve">  </w:t>
            </w:r>
          </w:p>
          <w:p w14:paraId="771FC842" w14:textId="77777777" w:rsidR="008A2F73" w:rsidRPr="00485F85" w:rsidRDefault="00A515B3" w:rsidP="00DE19E1">
            <w:pPr>
              <w:spacing w:line="360" w:lineRule="auto"/>
              <w:jc w:val="both"/>
              <w:rPr>
                <w:rFonts w:asciiTheme="majorHAnsi" w:hAnsiTheme="majorHAnsi" w:cstheme="majorHAnsi"/>
              </w:rPr>
            </w:pPr>
            <w:hyperlink r:id="rId327" w:history="1">
              <w:r w:rsidR="008A2F73" w:rsidRPr="00485F85">
                <w:rPr>
                  <w:rStyle w:val="Hyperlink"/>
                  <w:rFonts w:asciiTheme="majorHAnsi" w:hAnsiTheme="majorHAnsi" w:cstheme="majorHAnsi"/>
                </w:rPr>
                <w:t>http://obn.org.uk</w:t>
              </w:r>
            </w:hyperlink>
            <w:r w:rsidR="008A2F73" w:rsidRPr="00485F85">
              <w:rPr>
                <w:rFonts w:asciiTheme="majorHAnsi" w:hAnsiTheme="majorHAnsi" w:cstheme="majorHAnsi"/>
              </w:rPr>
              <w:t xml:space="preserve"> </w:t>
            </w:r>
          </w:p>
          <w:p w14:paraId="19529493" w14:textId="77777777" w:rsidR="008A2F73" w:rsidRPr="00485F85" w:rsidRDefault="00A515B3" w:rsidP="00DE19E1">
            <w:pPr>
              <w:spacing w:line="360" w:lineRule="auto"/>
              <w:jc w:val="both"/>
              <w:rPr>
                <w:rFonts w:asciiTheme="majorHAnsi" w:hAnsiTheme="majorHAnsi" w:cstheme="majorHAnsi"/>
              </w:rPr>
            </w:pPr>
            <w:hyperlink r:id="rId328" w:history="1">
              <w:r w:rsidR="008A2F73" w:rsidRPr="00485F85">
                <w:rPr>
                  <w:rStyle w:val="Hyperlink"/>
                  <w:rFonts w:asciiTheme="majorHAnsi" w:hAnsiTheme="majorHAnsi" w:cstheme="majorHAnsi"/>
                </w:rPr>
                <w:t>https://otmn.co.uk</w:t>
              </w:r>
            </w:hyperlink>
            <w:r w:rsidR="008A2F73" w:rsidRPr="00485F85">
              <w:rPr>
                <w:rFonts w:asciiTheme="majorHAnsi" w:hAnsiTheme="majorHAnsi" w:cstheme="majorHAnsi"/>
              </w:rPr>
              <w:t xml:space="preserve"> </w:t>
            </w:r>
          </w:p>
          <w:p w14:paraId="101A83FA" w14:textId="77777777" w:rsidR="008A2F73" w:rsidRPr="00485F85" w:rsidRDefault="00A515B3" w:rsidP="00DE19E1">
            <w:pPr>
              <w:spacing w:line="360" w:lineRule="auto"/>
              <w:jc w:val="both"/>
              <w:rPr>
                <w:rFonts w:asciiTheme="majorHAnsi" w:hAnsiTheme="majorHAnsi" w:cstheme="majorHAnsi"/>
              </w:rPr>
            </w:pPr>
            <w:hyperlink r:id="rId329" w:history="1">
              <w:r w:rsidR="008A2F73" w:rsidRPr="00485F85">
                <w:rPr>
                  <w:rStyle w:val="Hyperlink"/>
                  <w:rFonts w:asciiTheme="majorHAnsi" w:hAnsiTheme="majorHAnsi" w:cstheme="majorHAnsi"/>
                </w:rPr>
                <w:t>https://www.ox.ac.uk/research/innovation-and-partnership/resources-facilities/grow-your-business-oxford</w:t>
              </w:r>
            </w:hyperlink>
            <w:r w:rsidR="008A2F73" w:rsidRPr="00485F85">
              <w:rPr>
                <w:rFonts w:asciiTheme="majorHAnsi" w:hAnsiTheme="majorHAnsi" w:cstheme="majorHAnsi"/>
              </w:rPr>
              <w:t xml:space="preserve"> </w:t>
            </w:r>
          </w:p>
          <w:p w14:paraId="2189C485" w14:textId="77777777" w:rsidR="008A2F73" w:rsidRPr="00485F85" w:rsidRDefault="008A2F73" w:rsidP="00DE19E1">
            <w:pPr>
              <w:spacing w:line="360" w:lineRule="auto"/>
              <w:jc w:val="both"/>
              <w:rPr>
                <w:rFonts w:asciiTheme="majorHAnsi" w:hAnsiTheme="majorHAnsi" w:cstheme="majorHAnsi"/>
                <w:b/>
              </w:rPr>
            </w:pPr>
          </w:p>
        </w:tc>
      </w:tr>
      <w:tr w:rsidR="009A156E" w:rsidRPr="00485F85" w14:paraId="4EE6CD24" w14:textId="77777777" w:rsidTr="00DE19E1">
        <w:tc>
          <w:tcPr>
            <w:tcW w:w="905" w:type="dxa"/>
            <w:tcBorders>
              <w:top w:val="single" w:sz="4" w:space="0" w:color="auto"/>
              <w:left w:val="single" w:sz="4" w:space="0" w:color="auto"/>
              <w:bottom w:val="single" w:sz="4" w:space="0" w:color="auto"/>
              <w:right w:val="single" w:sz="4" w:space="0" w:color="auto"/>
            </w:tcBorders>
          </w:tcPr>
          <w:p w14:paraId="19197521" w14:textId="0894C82D" w:rsidR="009A156E" w:rsidRPr="00485F85" w:rsidRDefault="009A156E" w:rsidP="00DE19E1">
            <w:pPr>
              <w:spacing w:line="360" w:lineRule="auto"/>
              <w:jc w:val="both"/>
              <w:rPr>
                <w:rFonts w:asciiTheme="majorHAnsi" w:hAnsiTheme="majorHAnsi" w:cstheme="majorHAnsi"/>
                <w:b/>
              </w:rPr>
            </w:pPr>
            <w:r w:rsidRPr="00485F85">
              <w:rPr>
                <w:rFonts w:asciiTheme="majorHAnsi" w:hAnsiTheme="majorHAnsi" w:cstheme="majorHAnsi"/>
                <w:b/>
              </w:rPr>
              <w:lastRenderedPageBreak/>
              <w:t>Dimensão 11. Impacto para a comunidade local</w:t>
            </w:r>
          </w:p>
        </w:tc>
        <w:tc>
          <w:tcPr>
            <w:tcW w:w="3461" w:type="dxa"/>
            <w:tcBorders>
              <w:top w:val="single" w:sz="4" w:space="0" w:color="auto"/>
              <w:left w:val="single" w:sz="4" w:space="0" w:color="auto"/>
              <w:bottom w:val="single" w:sz="4" w:space="0" w:color="auto"/>
              <w:right w:val="single" w:sz="4" w:space="0" w:color="auto"/>
            </w:tcBorders>
          </w:tcPr>
          <w:p w14:paraId="5AE9D969"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De 2016 a 2020, foi possível observar que Oxford dobrou a admissão de alunos socioeconomicamente menos favorecidos.</w:t>
            </w:r>
          </w:p>
          <w:p w14:paraId="58468A14"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Presença de estratégias de inclusão e políticas afirmativas. A preocupação com alunos BME também ganhou destaque nos últimos 5 anos.</w:t>
            </w:r>
          </w:p>
          <w:p w14:paraId="252C018D"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Aumento da população feminina na Universidade.</w:t>
            </w:r>
          </w:p>
          <w:p w14:paraId="00AF1FBA" w14:textId="2444415C" w:rsidR="009A156E" w:rsidRPr="00485F85" w:rsidRDefault="009A156E" w:rsidP="00DE19E1">
            <w:pPr>
              <w:spacing w:line="360" w:lineRule="auto"/>
              <w:jc w:val="both"/>
              <w:rPr>
                <w:rFonts w:asciiTheme="majorHAnsi" w:hAnsiTheme="majorHAnsi" w:cstheme="majorHAnsi"/>
                <w:b/>
              </w:rPr>
            </w:pPr>
            <w:r w:rsidRPr="00485F85">
              <w:rPr>
                <w:rFonts w:asciiTheme="majorHAnsi" w:hAnsiTheme="majorHAnsi" w:cstheme="majorHAnsi"/>
                <w:bCs/>
              </w:rPr>
              <w:t xml:space="preserve">-  Impacto na economia local de Oxfordshire e da </w:t>
            </w:r>
            <w:r w:rsidRPr="00485F85">
              <w:rPr>
                <w:rFonts w:asciiTheme="majorHAnsi" w:hAnsiTheme="majorHAnsi" w:cstheme="majorHAnsi"/>
                <w:bCs/>
              </w:rPr>
              <w:lastRenderedPageBreak/>
              <w:t>própria Inglaterra.</w:t>
            </w:r>
          </w:p>
        </w:tc>
        <w:tc>
          <w:tcPr>
            <w:tcW w:w="1641" w:type="dxa"/>
            <w:tcBorders>
              <w:top w:val="single" w:sz="4" w:space="0" w:color="auto"/>
              <w:left w:val="single" w:sz="4" w:space="0" w:color="auto"/>
              <w:bottom w:val="single" w:sz="4" w:space="0" w:color="auto"/>
              <w:right w:val="single" w:sz="4" w:space="0" w:color="auto"/>
            </w:tcBorders>
          </w:tcPr>
          <w:p w14:paraId="698C36AB"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lastRenderedPageBreak/>
              <w:t>- Os programas de Equality Charters são contratados externamente, mas com a capacidade intelectual e inovadora do quadro, interno seria possível desenvolver práticas mais ajustadas a realidade da instituição e não programas já enlatados que nem sempre suprem todas as necessidades a serem trabalhadas.</w:t>
            </w:r>
          </w:p>
          <w:p w14:paraId="431A2C91"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 Apesar do crescimento dos dados de inclusão de pessoas socioeconomicamente menos favorecidas, </w:t>
            </w:r>
            <w:r w:rsidRPr="00485F85">
              <w:rPr>
                <w:rFonts w:asciiTheme="majorHAnsi" w:hAnsiTheme="majorHAnsi" w:cstheme="majorHAnsi"/>
                <w:bCs/>
              </w:rPr>
              <w:lastRenderedPageBreak/>
              <w:t>mulheres e BMEs o número desses grupos frente aos “homens brancos” ainda é maior devido a toda história da instituição.</w:t>
            </w:r>
          </w:p>
          <w:p w14:paraId="5E2C8679"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Apesar de políticas estabelecidas, houve uma pequena queda na admissão de alunos 30 anos mais na Universidade desde 2016. (Redução de 404.030 (2016) para 398.235 (2021)</w:t>
            </w:r>
          </w:p>
          <w:p w14:paraId="6D2FBAF4" w14:textId="77777777" w:rsidR="009A156E" w:rsidRPr="00485F85" w:rsidRDefault="009A156E" w:rsidP="00DE19E1">
            <w:pPr>
              <w:spacing w:after="160" w:line="360" w:lineRule="auto"/>
              <w:jc w:val="both"/>
              <w:rPr>
                <w:rFonts w:asciiTheme="majorHAnsi" w:hAnsiTheme="majorHAnsi" w:cstheme="majorHAnsi"/>
                <w:bCs/>
              </w:rPr>
            </w:pPr>
          </w:p>
          <w:p w14:paraId="5960C08A" w14:textId="77777777" w:rsidR="009A156E" w:rsidRPr="00485F85" w:rsidRDefault="009A156E" w:rsidP="00DE19E1">
            <w:pPr>
              <w:spacing w:line="360" w:lineRule="auto"/>
              <w:jc w:val="both"/>
              <w:rPr>
                <w:rFonts w:asciiTheme="majorHAnsi" w:hAnsiTheme="majorHAnsi" w:cstheme="majorHAnsi"/>
                <w:b/>
              </w:rPr>
            </w:pPr>
          </w:p>
        </w:tc>
        <w:tc>
          <w:tcPr>
            <w:tcW w:w="4136" w:type="dxa"/>
            <w:tcBorders>
              <w:top w:val="single" w:sz="4" w:space="0" w:color="auto"/>
              <w:left w:val="single" w:sz="4" w:space="0" w:color="auto"/>
              <w:bottom w:val="single" w:sz="4" w:space="0" w:color="auto"/>
              <w:right w:val="single" w:sz="4" w:space="0" w:color="auto"/>
            </w:tcBorders>
          </w:tcPr>
          <w:p w14:paraId="5B240B2A" w14:textId="77777777" w:rsidR="009A156E" w:rsidRPr="00485F85" w:rsidRDefault="009A156E" w:rsidP="00DE19E1">
            <w:pPr>
              <w:spacing w:after="160" w:line="360" w:lineRule="auto"/>
              <w:jc w:val="both"/>
              <w:rPr>
                <w:rFonts w:asciiTheme="majorHAnsi" w:hAnsiTheme="majorHAnsi" w:cstheme="majorHAnsi"/>
                <w:b/>
              </w:rPr>
            </w:pPr>
            <w:r w:rsidRPr="00485F85">
              <w:rPr>
                <w:rFonts w:asciiTheme="majorHAnsi" w:hAnsiTheme="majorHAnsi" w:cstheme="majorHAnsi"/>
                <w:color w:val="212529"/>
                <w:shd w:val="clear" w:color="auto" w:fill="FFFFFF"/>
              </w:rPr>
              <w:lastRenderedPageBreak/>
              <w:t>- Como boa prática para a inclusão de negros britânicos, está a bolsa para alunos de graduação do Reino Unido com herança negra africana e caribenha de origens desfavorecidas, com o primeiro bolsista tendo recentemente iniciado seus estudos em Oxford.</w:t>
            </w:r>
          </w:p>
          <w:p w14:paraId="10CD3316" w14:textId="77777777" w:rsidR="009A156E" w:rsidRPr="00485F85" w:rsidRDefault="00A515B3" w:rsidP="00DE19E1">
            <w:pPr>
              <w:spacing w:after="160" w:line="360" w:lineRule="auto"/>
              <w:jc w:val="both"/>
              <w:rPr>
                <w:rFonts w:asciiTheme="majorHAnsi" w:hAnsiTheme="majorHAnsi" w:cstheme="majorHAnsi"/>
                <w:bCs/>
              </w:rPr>
            </w:pPr>
            <w:hyperlink r:id="rId330" w:history="1">
              <w:r w:rsidR="009A156E" w:rsidRPr="00485F85">
                <w:rPr>
                  <w:rStyle w:val="Hyperlink"/>
                  <w:rFonts w:asciiTheme="majorHAnsi" w:hAnsiTheme="majorHAnsi" w:cstheme="majorHAnsi"/>
                  <w:bCs/>
                </w:rPr>
                <w:t>https://www.development.ox.ac.uk/report2019-20/creating-opportunities-for-black-british-students</w:t>
              </w:r>
            </w:hyperlink>
            <w:r w:rsidR="009A156E" w:rsidRPr="00485F85">
              <w:rPr>
                <w:rFonts w:asciiTheme="majorHAnsi" w:hAnsiTheme="majorHAnsi" w:cstheme="majorHAnsi"/>
                <w:bCs/>
              </w:rPr>
              <w:t xml:space="preserve"> </w:t>
            </w:r>
          </w:p>
          <w:p w14:paraId="2B2D8AE4" w14:textId="77777777" w:rsidR="009A156E" w:rsidRPr="00485F85" w:rsidRDefault="009A156E" w:rsidP="00DE19E1">
            <w:pPr>
              <w:spacing w:line="360" w:lineRule="auto"/>
              <w:jc w:val="both"/>
              <w:rPr>
                <w:rFonts w:asciiTheme="majorHAnsi" w:hAnsiTheme="majorHAnsi" w:cstheme="majorHAnsi"/>
                <w:bCs/>
                <w:lang w:val="en-US"/>
              </w:rPr>
            </w:pPr>
            <w:r w:rsidRPr="00485F85">
              <w:rPr>
                <w:rFonts w:asciiTheme="majorHAnsi" w:hAnsiTheme="majorHAnsi" w:cstheme="majorHAnsi"/>
                <w:bCs/>
              </w:rPr>
              <w:t xml:space="preserve">- A pesquisadora pode observar no plano estratégico (2018/2023) da Universidade a intenção em ampliar a entrada de estudantes estrangeiros e aqueles considerados minorias étnicas também. Segue o trecho do documento. Trata-se do aspecto “Pessoas”. </w:t>
            </w:r>
            <w:r w:rsidRPr="00485F85">
              <w:rPr>
                <w:rFonts w:asciiTheme="majorHAnsi" w:hAnsiTheme="majorHAnsi" w:cstheme="majorHAnsi"/>
                <w:bCs/>
                <w:lang w:val="en-US"/>
              </w:rPr>
              <w:t xml:space="preserve">Compromisso geral 13. </w:t>
            </w:r>
          </w:p>
          <w:p w14:paraId="0D3613A4" w14:textId="77777777" w:rsidR="009A156E" w:rsidRPr="00485F85" w:rsidRDefault="009A156E" w:rsidP="00DE19E1">
            <w:pPr>
              <w:spacing w:line="360" w:lineRule="auto"/>
              <w:jc w:val="both"/>
              <w:rPr>
                <w:rFonts w:asciiTheme="majorHAnsi" w:hAnsiTheme="majorHAnsi" w:cstheme="majorHAnsi"/>
                <w:bCs/>
                <w:lang w:val="en-US"/>
              </w:rPr>
            </w:pPr>
          </w:p>
          <w:p w14:paraId="6E9C20A4" w14:textId="77777777" w:rsidR="009A156E" w:rsidRPr="00485F85" w:rsidRDefault="009A156E" w:rsidP="00DE19E1">
            <w:pPr>
              <w:spacing w:line="360" w:lineRule="auto"/>
              <w:jc w:val="both"/>
              <w:rPr>
                <w:rFonts w:asciiTheme="majorHAnsi" w:hAnsiTheme="majorHAnsi" w:cstheme="majorHAnsi"/>
                <w:bCs/>
                <w:lang w:val="en-US"/>
              </w:rPr>
            </w:pPr>
            <w:r w:rsidRPr="00485F85">
              <w:rPr>
                <w:rFonts w:asciiTheme="majorHAnsi" w:hAnsiTheme="majorHAnsi" w:cstheme="majorHAnsi"/>
                <w:bCs/>
                <w:lang w:val="en-US"/>
              </w:rPr>
              <w:lastRenderedPageBreak/>
              <w:t>13. Embed a supportive, inclusive culture and increase the diversity of University staff at all levels through the</w:t>
            </w:r>
          </w:p>
          <w:p w14:paraId="769D17E7" w14:textId="77777777" w:rsidR="009A156E" w:rsidRPr="00485F85" w:rsidRDefault="009A156E" w:rsidP="00DE19E1">
            <w:pPr>
              <w:spacing w:line="360" w:lineRule="auto"/>
              <w:jc w:val="both"/>
              <w:rPr>
                <w:rFonts w:asciiTheme="majorHAnsi" w:hAnsiTheme="majorHAnsi" w:cstheme="majorHAnsi"/>
                <w:bCs/>
                <w:lang w:val="en-US"/>
              </w:rPr>
            </w:pPr>
            <w:r w:rsidRPr="00485F85">
              <w:rPr>
                <w:rFonts w:asciiTheme="majorHAnsi" w:hAnsiTheme="majorHAnsi" w:cstheme="majorHAnsi"/>
                <w:bCs/>
                <w:lang w:val="en-US"/>
              </w:rPr>
              <w:t>implementation of our action plans such as Athena SWAN, the Race Equality Charter, the Stonewall Workplace Equality</w:t>
            </w:r>
          </w:p>
          <w:p w14:paraId="03AB0184"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Index and Mindful Employer.</w:t>
            </w:r>
          </w:p>
          <w:p w14:paraId="5265DD86" w14:textId="77777777" w:rsidR="009A156E" w:rsidRPr="00485F85" w:rsidRDefault="009A156E" w:rsidP="00DE19E1">
            <w:pPr>
              <w:spacing w:after="160" w:line="360" w:lineRule="auto"/>
              <w:jc w:val="both"/>
              <w:rPr>
                <w:rFonts w:asciiTheme="majorHAnsi" w:hAnsiTheme="majorHAnsi" w:cstheme="majorHAnsi"/>
                <w:bCs/>
              </w:rPr>
            </w:pPr>
            <w:r w:rsidRPr="00485F85">
              <w:rPr>
                <w:rFonts w:asciiTheme="majorHAnsi" w:hAnsiTheme="majorHAnsi" w:cstheme="majorHAnsi"/>
                <w:bCs/>
              </w:rPr>
              <w:t xml:space="preserve">O documento pode ser acessado na íntegra pelo link: </w:t>
            </w:r>
            <w:hyperlink r:id="rId331" w:history="1">
              <w:r w:rsidRPr="00485F85">
                <w:rPr>
                  <w:rStyle w:val="Hyperlink"/>
                  <w:rFonts w:asciiTheme="majorHAnsi" w:hAnsiTheme="majorHAnsi" w:cstheme="majorHAnsi"/>
                  <w:bCs/>
                </w:rPr>
                <w:t>https://www.ox.ac.uk/about/organisation/strategic-plan-2018-23</w:t>
              </w:r>
            </w:hyperlink>
            <w:r w:rsidRPr="00485F85">
              <w:rPr>
                <w:rFonts w:asciiTheme="majorHAnsi" w:hAnsiTheme="majorHAnsi" w:cstheme="majorHAnsi"/>
                <w:bCs/>
              </w:rPr>
              <w:t xml:space="preserve"> </w:t>
            </w:r>
          </w:p>
          <w:p w14:paraId="28F03CD7" w14:textId="77777777" w:rsidR="009A156E" w:rsidRPr="00485F85" w:rsidRDefault="009A156E" w:rsidP="00DE19E1">
            <w:pPr>
              <w:spacing w:after="160" w:line="360" w:lineRule="auto"/>
              <w:jc w:val="both"/>
              <w:rPr>
                <w:rFonts w:asciiTheme="majorHAnsi" w:hAnsiTheme="majorHAnsi" w:cstheme="majorHAnsi"/>
              </w:rPr>
            </w:pPr>
            <w:r w:rsidRPr="00485F85">
              <w:rPr>
                <w:rFonts w:asciiTheme="majorHAnsi" w:hAnsiTheme="majorHAnsi" w:cstheme="majorHAnsi"/>
                <w:bCs/>
              </w:rPr>
              <w:t>- Políticas de “</w:t>
            </w:r>
            <w:r w:rsidRPr="00485F85">
              <w:rPr>
                <w:rFonts w:asciiTheme="majorHAnsi" w:hAnsiTheme="majorHAnsi" w:cstheme="majorHAnsi"/>
              </w:rPr>
              <w:t>Equality Charters” também foram percebidas pela pesquisadora e podem ser consideradas boas práticas já que se propõem a alcançar metas como:</w:t>
            </w:r>
          </w:p>
          <w:p w14:paraId="235AD1CF" w14:textId="77777777" w:rsidR="009A156E" w:rsidRPr="00485F85" w:rsidRDefault="009A156E" w:rsidP="00DE19E1">
            <w:pPr>
              <w:spacing w:line="360" w:lineRule="auto"/>
              <w:jc w:val="both"/>
              <w:rPr>
                <w:rFonts w:asciiTheme="majorHAnsi" w:hAnsiTheme="majorHAnsi" w:cstheme="majorHAnsi"/>
              </w:rPr>
            </w:pPr>
            <w:r w:rsidRPr="00485F85">
              <w:rPr>
                <w:rFonts w:asciiTheme="majorHAnsi" w:hAnsiTheme="majorHAnsi" w:cstheme="majorHAnsi"/>
                <w:b/>
                <w:bCs/>
              </w:rPr>
              <w:t>Athena SWAN</w:t>
            </w:r>
            <w:r w:rsidRPr="00485F85">
              <w:rPr>
                <w:rFonts w:asciiTheme="majorHAnsi" w:hAnsiTheme="majorHAnsi" w:cstheme="majorHAnsi"/>
              </w:rPr>
              <w:t xml:space="preserve"> – igualdade de gênero</w:t>
            </w:r>
          </w:p>
          <w:p w14:paraId="6E2FB389" w14:textId="77777777" w:rsidR="009A156E" w:rsidRPr="00485F85" w:rsidRDefault="009A156E" w:rsidP="00DE19E1">
            <w:pPr>
              <w:spacing w:line="360" w:lineRule="auto"/>
              <w:jc w:val="both"/>
              <w:rPr>
                <w:rFonts w:asciiTheme="majorHAnsi" w:hAnsiTheme="majorHAnsi" w:cstheme="majorHAnsi"/>
              </w:rPr>
            </w:pPr>
            <w:r w:rsidRPr="00485F85">
              <w:rPr>
                <w:rFonts w:asciiTheme="majorHAnsi" w:hAnsiTheme="majorHAnsi" w:cstheme="majorHAnsi"/>
                <w:b/>
                <w:bCs/>
              </w:rPr>
              <w:t>Race Equality Charter</w:t>
            </w:r>
            <w:r w:rsidRPr="00485F85">
              <w:rPr>
                <w:rFonts w:asciiTheme="majorHAnsi" w:hAnsiTheme="majorHAnsi" w:cstheme="majorHAnsi"/>
              </w:rPr>
              <w:t xml:space="preserve"> – diversidade (já com qualificação bronze em menos de 10 anos de implantação</w:t>
            </w:r>
          </w:p>
          <w:p w14:paraId="37077798" w14:textId="77777777" w:rsidR="009A156E" w:rsidRPr="00485F85" w:rsidRDefault="009A156E" w:rsidP="00DE19E1">
            <w:pPr>
              <w:spacing w:line="360" w:lineRule="auto"/>
              <w:jc w:val="both"/>
              <w:rPr>
                <w:rFonts w:asciiTheme="majorHAnsi" w:hAnsiTheme="majorHAnsi" w:cstheme="majorHAnsi"/>
                <w:b/>
                <w:bCs/>
              </w:rPr>
            </w:pPr>
            <w:r w:rsidRPr="00485F85">
              <w:rPr>
                <w:rFonts w:asciiTheme="majorHAnsi" w:hAnsiTheme="majorHAnsi" w:cstheme="majorHAnsi"/>
                <w:b/>
                <w:bCs/>
              </w:rPr>
              <w:t>Stonewall Workplace Index</w:t>
            </w:r>
          </w:p>
          <w:p w14:paraId="3483E08E" w14:textId="77777777" w:rsidR="009A156E" w:rsidRPr="00485F85" w:rsidRDefault="009A156E" w:rsidP="00DE19E1">
            <w:pPr>
              <w:spacing w:line="360" w:lineRule="auto"/>
              <w:jc w:val="both"/>
              <w:rPr>
                <w:rFonts w:asciiTheme="majorHAnsi" w:hAnsiTheme="majorHAnsi" w:cstheme="majorHAnsi"/>
              </w:rPr>
            </w:pPr>
            <w:r w:rsidRPr="00485F85">
              <w:rPr>
                <w:rFonts w:asciiTheme="majorHAnsi" w:hAnsiTheme="majorHAnsi" w:cstheme="majorHAnsi"/>
              </w:rPr>
              <w:t>Compromisso para a inclusão de pessoas LGBTQIA+</w:t>
            </w:r>
          </w:p>
          <w:p w14:paraId="424A755D" w14:textId="77777777" w:rsidR="009A156E" w:rsidRPr="00485F85" w:rsidRDefault="009A156E" w:rsidP="00DE19E1">
            <w:pPr>
              <w:spacing w:line="360" w:lineRule="auto"/>
              <w:jc w:val="both"/>
              <w:rPr>
                <w:rFonts w:asciiTheme="majorHAnsi" w:hAnsiTheme="majorHAnsi" w:cstheme="majorHAnsi"/>
                <w:b/>
                <w:bCs/>
              </w:rPr>
            </w:pPr>
            <w:r w:rsidRPr="00485F85">
              <w:rPr>
                <w:rFonts w:asciiTheme="majorHAnsi" w:hAnsiTheme="majorHAnsi" w:cstheme="majorHAnsi"/>
                <w:b/>
                <w:bCs/>
              </w:rPr>
              <w:t>Mindful Employer</w:t>
            </w:r>
          </w:p>
          <w:p w14:paraId="3D853917"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Melhoria da Saúde mental no local de trabalho</w:t>
            </w:r>
          </w:p>
          <w:p w14:paraId="3AEC0C0F" w14:textId="77777777" w:rsidR="009A156E" w:rsidRPr="00485F85" w:rsidRDefault="009A156E" w:rsidP="00DE19E1">
            <w:pPr>
              <w:spacing w:line="360" w:lineRule="auto"/>
              <w:jc w:val="both"/>
              <w:rPr>
                <w:rFonts w:asciiTheme="majorHAnsi" w:hAnsiTheme="majorHAnsi" w:cstheme="majorHAnsi"/>
                <w:bCs/>
              </w:rPr>
            </w:pPr>
          </w:p>
          <w:p w14:paraId="0C977A16" w14:textId="77777777" w:rsidR="009A156E" w:rsidRPr="00485F85" w:rsidRDefault="009A156E" w:rsidP="00DE19E1">
            <w:pPr>
              <w:spacing w:line="360" w:lineRule="auto"/>
              <w:jc w:val="both"/>
              <w:rPr>
                <w:rFonts w:asciiTheme="majorHAnsi" w:hAnsiTheme="majorHAnsi" w:cstheme="majorHAnsi"/>
                <w:bCs/>
              </w:rPr>
            </w:pPr>
          </w:p>
          <w:p w14:paraId="2A336148" w14:textId="77777777" w:rsidR="009A156E" w:rsidRPr="00485F85" w:rsidRDefault="009A156E" w:rsidP="00DE19E1">
            <w:pPr>
              <w:spacing w:line="360" w:lineRule="auto"/>
              <w:jc w:val="both"/>
              <w:rPr>
                <w:rFonts w:asciiTheme="majorHAnsi" w:hAnsiTheme="majorHAnsi" w:cstheme="majorHAnsi"/>
              </w:rPr>
            </w:pPr>
            <w:r w:rsidRPr="00485F85">
              <w:rPr>
                <w:rFonts w:asciiTheme="majorHAnsi" w:hAnsiTheme="majorHAnsi" w:cstheme="majorHAnsi"/>
              </w:rPr>
              <w:t xml:space="preserve">- Em OXFORD, a presença de spin-off acadêmicas (ou spinout como são chamadas na Universidade) se dá em diversas áreas do conhecimento. Ela acontece por meio da Oxford University Innovation/Oxford Sciences Innovation. </w:t>
            </w:r>
            <w:r w:rsidRPr="00485F85">
              <w:rPr>
                <w:rFonts w:asciiTheme="majorHAnsi" w:hAnsiTheme="majorHAnsi" w:cstheme="majorHAnsi"/>
              </w:rPr>
              <w:lastRenderedPageBreak/>
              <w:t>Trata-se de um fundo de £ 600 milhões formado em 2015 para investir em spinouts dos laboratórios da Universidade de Oxford, Harwell e Culham. Ela investe em empresas spinout novas e existentes, trabalhando inclusive com outros investidores</w:t>
            </w:r>
          </w:p>
          <w:p w14:paraId="1027BEFB" w14:textId="77777777" w:rsidR="009A156E" w:rsidRPr="00485F85" w:rsidRDefault="009A156E" w:rsidP="00DE19E1">
            <w:pPr>
              <w:spacing w:line="360" w:lineRule="auto"/>
              <w:jc w:val="both"/>
              <w:rPr>
                <w:rFonts w:asciiTheme="majorHAnsi" w:hAnsiTheme="majorHAnsi" w:cstheme="majorHAnsi"/>
              </w:rPr>
            </w:pPr>
          </w:p>
          <w:p w14:paraId="5FD66305" w14:textId="77777777" w:rsidR="009A156E" w:rsidRPr="00485F85" w:rsidRDefault="009A156E" w:rsidP="00DE19E1">
            <w:pPr>
              <w:spacing w:line="360" w:lineRule="auto"/>
              <w:jc w:val="both"/>
              <w:rPr>
                <w:rFonts w:asciiTheme="majorHAnsi" w:hAnsiTheme="majorHAnsi" w:cstheme="majorHAnsi"/>
              </w:rPr>
            </w:pPr>
            <w:r w:rsidRPr="00485F85">
              <w:rPr>
                <w:rFonts w:asciiTheme="majorHAnsi" w:hAnsiTheme="majorHAnsi" w:cstheme="majorHAnsi"/>
              </w:rPr>
              <w:t>- Um exemplo interessante é o do NQIT – Network Quantum Information Technologies. (</w:t>
            </w:r>
            <w:hyperlink r:id="rId332" w:history="1">
              <w:r w:rsidRPr="00485F85">
                <w:rPr>
                  <w:rStyle w:val="Hyperlink"/>
                  <w:rFonts w:asciiTheme="majorHAnsi" w:hAnsiTheme="majorHAnsi" w:cstheme="majorHAnsi"/>
                </w:rPr>
                <w:t>https://nqit.ox.ac.uk/content/spin-out-technologies.html</w:t>
              </w:r>
            </w:hyperlink>
            <w:r w:rsidRPr="00485F85">
              <w:rPr>
                <w:rFonts w:asciiTheme="majorHAnsi" w:hAnsiTheme="majorHAnsi" w:cstheme="majorHAnsi"/>
              </w:rPr>
              <w:t>. Eles desenvolveram o demonstrador de computador quântico Q20: 20 , e ainda fornecem tecnologias derivadas do trabalho, incluindo tecnologias que podem ser úteis para o trabalho de outros Centros de Tecnologia Quântica</w:t>
            </w:r>
          </w:p>
          <w:p w14:paraId="3EA1ADBA" w14:textId="77777777" w:rsidR="009A156E" w:rsidRPr="00485F85" w:rsidRDefault="00A515B3" w:rsidP="00DE19E1">
            <w:pPr>
              <w:spacing w:line="360" w:lineRule="auto"/>
              <w:jc w:val="both"/>
              <w:rPr>
                <w:rFonts w:asciiTheme="majorHAnsi" w:hAnsiTheme="majorHAnsi" w:cstheme="majorHAnsi"/>
              </w:rPr>
            </w:pPr>
            <w:hyperlink r:id="rId333" w:history="1">
              <w:r w:rsidR="009A156E" w:rsidRPr="00485F85">
                <w:rPr>
                  <w:rStyle w:val="Hyperlink"/>
                  <w:rFonts w:asciiTheme="majorHAnsi" w:hAnsiTheme="majorHAnsi" w:cstheme="majorHAnsi"/>
                </w:rPr>
                <w:t>https://innovation.ox.ac.uk/wp-content/uploads/2014/04/Spin-out-Researcher-Booklet.pdf</w:t>
              </w:r>
            </w:hyperlink>
            <w:r w:rsidR="009A156E" w:rsidRPr="00485F85">
              <w:rPr>
                <w:rFonts w:asciiTheme="majorHAnsi" w:hAnsiTheme="majorHAnsi" w:cstheme="majorHAnsi"/>
              </w:rPr>
              <w:t xml:space="preserve"> </w:t>
            </w:r>
          </w:p>
          <w:p w14:paraId="5B929C86" w14:textId="77777777" w:rsidR="009A156E" w:rsidRPr="00485F85" w:rsidRDefault="009A156E" w:rsidP="00DE19E1">
            <w:pPr>
              <w:spacing w:line="360" w:lineRule="auto"/>
              <w:jc w:val="both"/>
              <w:rPr>
                <w:rFonts w:asciiTheme="majorHAnsi" w:hAnsiTheme="majorHAnsi" w:cstheme="majorHAnsi"/>
                <w:bCs/>
              </w:rPr>
            </w:pPr>
          </w:p>
          <w:p w14:paraId="228BA65C" w14:textId="77777777" w:rsidR="009A156E" w:rsidRPr="00485F85" w:rsidRDefault="009A156E" w:rsidP="00DE19E1">
            <w:pPr>
              <w:spacing w:line="360" w:lineRule="auto"/>
              <w:jc w:val="both"/>
              <w:rPr>
                <w:rFonts w:asciiTheme="majorHAnsi" w:hAnsiTheme="majorHAnsi" w:cstheme="majorHAnsi"/>
                <w:bCs/>
              </w:rPr>
            </w:pPr>
          </w:p>
          <w:p w14:paraId="6279DD8E"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Políticas de admissão que resultaram em aumento da proporção de alunos admitidos em Oxford vindos do setor estadual do Reino Unido. Em 2020, 68,6% dos alunos de Oxford já são de escolas estaduais do Reino Unido.</w:t>
            </w:r>
          </w:p>
          <w:p w14:paraId="78356B05" w14:textId="77777777" w:rsidR="009A156E" w:rsidRPr="00485F85" w:rsidRDefault="009A156E" w:rsidP="00DE19E1">
            <w:pPr>
              <w:spacing w:line="360" w:lineRule="auto"/>
              <w:jc w:val="both"/>
              <w:rPr>
                <w:rFonts w:asciiTheme="majorHAnsi" w:hAnsiTheme="majorHAnsi" w:cstheme="majorHAnsi"/>
                <w:bCs/>
              </w:rPr>
            </w:pPr>
          </w:p>
          <w:p w14:paraId="3457A83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De acordo com seu site, a Universidade de Oxford contribui com cerca de £ 5,8 bilhões para a economia do Reino Unido e mantém </w:t>
            </w:r>
            <w:r w:rsidRPr="00485F85">
              <w:rPr>
                <w:rFonts w:asciiTheme="majorHAnsi" w:hAnsiTheme="majorHAnsi" w:cstheme="majorHAnsi"/>
                <w:bCs/>
              </w:rPr>
              <w:lastRenderedPageBreak/>
              <w:t xml:space="preserve">mais de 50.000 empregos em tempo integral. Globalmente, o impacto é de £ 7,1 bilhões. </w:t>
            </w:r>
            <w:hyperlink r:id="rId334" w:history="1">
              <w:r w:rsidRPr="00485F85">
                <w:rPr>
                  <w:rStyle w:val="Hyperlink"/>
                  <w:rFonts w:asciiTheme="majorHAnsi" w:hAnsiTheme="majorHAnsi" w:cstheme="majorHAnsi"/>
                  <w:bCs/>
                </w:rPr>
                <w:t>https://www.ox.ac.uk/about/facts-and-figures/economic-impact</w:t>
              </w:r>
            </w:hyperlink>
            <w:r w:rsidRPr="00485F85">
              <w:rPr>
                <w:rFonts w:asciiTheme="majorHAnsi" w:hAnsiTheme="majorHAnsi" w:cstheme="majorHAnsi"/>
                <w:bCs/>
              </w:rPr>
              <w:t xml:space="preserve"> </w:t>
            </w:r>
          </w:p>
          <w:p w14:paraId="21DDE4B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 </w:t>
            </w:r>
          </w:p>
          <w:p w14:paraId="589CB917"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 A Universidade é responsável pela circulação do capital em oxfordshire e na própria Inglaterra.</w:t>
            </w:r>
          </w:p>
          <w:p w14:paraId="0F759B6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•gastos básicos, incluindo gastos com pessoal (contribuindo com £ 2,2 bilhões por ano em todo o país)</w:t>
            </w:r>
          </w:p>
          <w:p w14:paraId="2DD83F93"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•gastos, trabalho e voluntariado dos alunos (£ 80 milhões)</w:t>
            </w:r>
          </w:p>
          <w:p w14:paraId="5C0BACDD"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•comercialização de pesquisas da Universidade de Oxford (£ 320 milhões)</w:t>
            </w:r>
          </w:p>
          <w:p w14:paraId="46F3788B"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•parceria com empresas e indústria, incluindo nossos parques científicos (£ 439 milhões)</w:t>
            </w:r>
          </w:p>
          <w:p w14:paraId="056459A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•turismo e contribuição cultural (£ 58 milhões)</w:t>
            </w:r>
          </w:p>
          <w:p w14:paraId="75D0C18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•Oxford University Press (£ 383 milhões)</w:t>
            </w:r>
          </w:p>
          <w:p w14:paraId="649DFC30"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•ganhos adicionais de graduação (£ 432 milhões)</w:t>
            </w:r>
          </w:p>
          <w:p w14:paraId="1BE09FA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•contribuição para a saúde (£ 1,8 bilhão)</w:t>
            </w:r>
          </w:p>
          <w:p w14:paraId="135A41FC"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 xml:space="preserve">No geral, o relatório descobiu que cada £ 1 da renda da Universidade retorna £ 3,30 para a economia da Inglaterra em geral. Acesse o relatório: </w:t>
            </w:r>
            <w:hyperlink r:id="rId335" w:history="1">
              <w:r w:rsidRPr="00485F85">
                <w:rPr>
                  <w:rStyle w:val="Hyperlink"/>
                  <w:rFonts w:asciiTheme="majorHAnsi" w:hAnsiTheme="majorHAnsi" w:cstheme="majorHAnsi"/>
                  <w:bCs/>
                </w:rPr>
                <w:t>https://www.ox.ac.uk/sites/files/oxford/8%20Economic%20Impact%20Commercialisation.pdf</w:t>
              </w:r>
            </w:hyperlink>
            <w:r w:rsidRPr="00485F85">
              <w:rPr>
                <w:rFonts w:asciiTheme="majorHAnsi" w:hAnsiTheme="majorHAnsi" w:cstheme="majorHAnsi"/>
                <w:bCs/>
              </w:rPr>
              <w:t xml:space="preserve"> </w:t>
            </w:r>
          </w:p>
          <w:p w14:paraId="08A21261" w14:textId="77777777" w:rsidR="009A156E" w:rsidRPr="00485F85" w:rsidRDefault="009A156E" w:rsidP="00DE19E1">
            <w:pPr>
              <w:spacing w:line="360" w:lineRule="auto"/>
              <w:jc w:val="both"/>
              <w:rPr>
                <w:rFonts w:asciiTheme="majorHAnsi" w:hAnsiTheme="majorHAnsi" w:cstheme="majorHAnsi"/>
                <w:bCs/>
              </w:rPr>
            </w:pPr>
          </w:p>
          <w:p w14:paraId="4CA7BEB2" w14:textId="77777777" w:rsidR="009A156E" w:rsidRPr="00485F85" w:rsidRDefault="009A156E" w:rsidP="00DE19E1">
            <w:pPr>
              <w:spacing w:line="360" w:lineRule="auto"/>
              <w:jc w:val="both"/>
              <w:rPr>
                <w:rFonts w:asciiTheme="majorHAnsi" w:hAnsiTheme="majorHAnsi" w:cstheme="majorHAnsi"/>
                <w:bCs/>
              </w:rPr>
            </w:pPr>
          </w:p>
          <w:p w14:paraId="5A4B99FD" w14:textId="77777777" w:rsidR="009A156E" w:rsidRPr="00485F85" w:rsidRDefault="009A156E" w:rsidP="00DE19E1">
            <w:pPr>
              <w:spacing w:line="360" w:lineRule="auto"/>
              <w:jc w:val="both"/>
              <w:rPr>
                <w:rFonts w:asciiTheme="majorHAnsi" w:hAnsiTheme="majorHAnsi" w:cstheme="majorHAnsi"/>
                <w:bCs/>
              </w:rPr>
            </w:pPr>
            <w:r w:rsidRPr="00485F85">
              <w:rPr>
                <w:rFonts w:asciiTheme="majorHAnsi" w:hAnsiTheme="majorHAnsi" w:cstheme="majorHAnsi"/>
                <w:bCs/>
              </w:rPr>
              <w:t>- Depoimentos da Vice-Chancellor e da Pró-</w:t>
            </w:r>
            <w:r w:rsidRPr="00485F85">
              <w:rPr>
                <w:rFonts w:asciiTheme="majorHAnsi" w:hAnsiTheme="majorHAnsi" w:cstheme="majorHAnsi"/>
                <w:bCs/>
              </w:rPr>
              <w:lastRenderedPageBreak/>
              <w:t xml:space="preserve">Vice-Chancellor da instituição foram usadas na página da internet com foco na comunidade para mostrar uma aproximação com a comunidade relatando os benefícios da Universidade para a comunidade e indicando a necessidade de um diálogo aproximado. O material pode ser conferido em </w:t>
            </w:r>
            <w:hyperlink r:id="rId336" w:history="1">
              <w:r w:rsidRPr="00485F85">
                <w:rPr>
                  <w:rStyle w:val="Hyperlink"/>
                  <w:rFonts w:asciiTheme="majorHAnsi" w:hAnsiTheme="majorHAnsi" w:cstheme="majorHAnsi"/>
                  <w:bCs/>
                </w:rPr>
                <w:t>https://www.ox.ac.uk/local-community/engagement/introduction</w:t>
              </w:r>
            </w:hyperlink>
            <w:r w:rsidRPr="00485F85">
              <w:rPr>
                <w:rFonts w:asciiTheme="majorHAnsi" w:hAnsiTheme="majorHAnsi" w:cstheme="majorHAnsi"/>
                <w:bCs/>
              </w:rPr>
              <w:t xml:space="preserve"> </w:t>
            </w:r>
          </w:p>
          <w:p w14:paraId="6FC76125" w14:textId="77777777" w:rsidR="009A156E" w:rsidRPr="00485F85" w:rsidRDefault="009A156E" w:rsidP="00DE19E1">
            <w:pPr>
              <w:spacing w:line="360" w:lineRule="auto"/>
              <w:jc w:val="both"/>
              <w:rPr>
                <w:rFonts w:asciiTheme="majorHAnsi" w:hAnsiTheme="majorHAnsi" w:cstheme="majorHAnsi"/>
                <w:b/>
              </w:rPr>
            </w:pPr>
          </w:p>
        </w:tc>
      </w:tr>
      <w:tr w:rsidR="00AF287E" w:rsidRPr="00485F85" w14:paraId="62AF31D7" w14:textId="77777777" w:rsidTr="00DE19E1">
        <w:tc>
          <w:tcPr>
            <w:tcW w:w="905" w:type="dxa"/>
            <w:tcBorders>
              <w:top w:val="single" w:sz="4" w:space="0" w:color="auto"/>
              <w:left w:val="single" w:sz="4" w:space="0" w:color="auto"/>
              <w:bottom w:val="single" w:sz="4" w:space="0" w:color="auto"/>
              <w:right w:val="single" w:sz="4" w:space="0" w:color="auto"/>
            </w:tcBorders>
          </w:tcPr>
          <w:p w14:paraId="281E4776" w14:textId="16C619E7" w:rsidR="00AF287E" w:rsidRPr="00485F85" w:rsidRDefault="00AF287E" w:rsidP="00DE19E1">
            <w:pPr>
              <w:spacing w:line="360" w:lineRule="auto"/>
              <w:jc w:val="both"/>
              <w:rPr>
                <w:rFonts w:asciiTheme="majorHAnsi" w:hAnsiTheme="majorHAnsi" w:cstheme="majorHAnsi"/>
                <w:b/>
              </w:rPr>
            </w:pPr>
            <w:bookmarkStart w:id="61" w:name="_Hlk79966986"/>
            <w:r w:rsidRPr="00485F85">
              <w:rPr>
                <w:rFonts w:asciiTheme="majorHAnsi" w:hAnsiTheme="majorHAnsi" w:cstheme="majorHAnsi"/>
                <w:b/>
              </w:rPr>
              <w:lastRenderedPageBreak/>
              <w:t>Dimensão 12. Autoconhecimento e Usos na Gestão</w:t>
            </w:r>
            <w:bookmarkEnd w:id="61"/>
          </w:p>
        </w:tc>
        <w:tc>
          <w:tcPr>
            <w:tcW w:w="3461" w:type="dxa"/>
            <w:tcBorders>
              <w:top w:val="single" w:sz="4" w:space="0" w:color="auto"/>
              <w:left w:val="single" w:sz="4" w:space="0" w:color="auto"/>
              <w:bottom w:val="single" w:sz="4" w:space="0" w:color="auto"/>
              <w:right w:val="single" w:sz="4" w:space="0" w:color="auto"/>
            </w:tcBorders>
          </w:tcPr>
          <w:p w14:paraId="52A363BD" w14:textId="7EC071DD"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A universidade utiliza-se de indicadores para acompanhar seus resultados acadêmicos e financeiros.</w:t>
            </w:r>
          </w:p>
          <w:p w14:paraId="74B1FA88" w14:textId="5948D5E1"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Há uma preocupação em disponibilizar as informações no site e outras ferramentas de transparência</w:t>
            </w:r>
            <w:r w:rsidR="007F7253" w:rsidRPr="00485F85">
              <w:rPr>
                <w:rFonts w:asciiTheme="majorHAnsi" w:hAnsiTheme="majorHAnsi" w:cstheme="majorHAnsi"/>
              </w:rPr>
              <w:t xml:space="preserve"> interna e externamente</w:t>
            </w:r>
            <w:r w:rsidRPr="00485F85">
              <w:rPr>
                <w:rFonts w:asciiTheme="majorHAnsi" w:hAnsiTheme="majorHAnsi" w:cstheme="majorHAnsi"/>
              </w:rPr>
              <w:t>.</w:t>
            </w:r>
          </w:p>
          <w:p w14:paraId="74B7C7E6" w14:textId="77777777"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Os documentos de planejamento são sucintos e consistentes e suas propostas.</w:t>
            </w:r>
          </w:p>
          <w:p w14:paraId="537350C6" w14:textId="76D59EB9"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xml:space="preserve"> </w:t>
            </w:r>
            <w:r w:rsidR="009B69C9" w:rsidRPr="00485F85">
              <w:rPr>
                <w:rFonts w:asciiTheme="majorHAnsi" w:hAnsiTheme="majorHAnsi" w:cstheme="majorHAnsi"/>
              </w:rPr>
              <w:t xml:space="preserve">- </w:t>
            </w:r>
            <w:r w:rsidRPr="00485F85">
              <w:rPr>
                <w:rFonts w:asciiTheme="majorHAnsi" w:hAnsiTheme="majorHAnsi" w:cstheme="majorHAnsi"/>
              </w:rPr>
              <w:t>Existência de documentos modernos que ajudam no monitoramento das metas dos documentos globais da instituição.</w:t>
            </w:r>
          </w:p>
          <w:p w14:paraId="20F1985F" w14:textId="77777777"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xml:space="preserve">- Planos de governança e </w:t>
            </w:r>
            <w:r w:rsidRPr="00485F85">
              <w:rPr>
                <w:rFonts w:asciiTheme="majorHAnsi" w:hAnsiTheme="majorHAnsi" w:cstheme="majorHAnsi"/>
              </w:rPr>
              <w:lastRenderedPageBreak/>
              <w:t>compliance definidos.</w:t>
            </w:r>
          </w:p>
          <w:p w14:paraId="46DE003C" w14:textId="5A41F44D"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-Existe a preocupação com a autoavaliação sistematizada.</w:t>
            </w:r>
          </w:p>
          <w:p w14:paraId="2F460677" w14:textId="73C15613" w:rsidR="007F7253" w:rsidRPr="00485F85" w:rsidRDefault="007F7253" w:rsidP="00DE19E1">
            <w:pPr>
              <w:spacing w:after="160" w:line="360" w:lineRule="auto"/>
              <w:jc w:val="both"/>
              <w:rPr>
                <w:rFonts w:asciiTheme="majorHAnsi" w:hAnsiTheme="majorHAnsi" w:cstheme="majorHAnsi"/>
              </w:rPr>
            </w:pPr>
          </w:p>
          <w:p w14:paraId="2CA8464C" w14:textId="77777777" w:rsidR="00AF287E" w:rsidRPr="00485F85" w:rsidRDefault="00AF287E" w:rsidP="00DE19E1">
            <w:pPr>
              <w:spacing w:line="360" w:lineRule="auto"/>
              <w:jc w:val="both"/>
              <w:rPr>
                <w:rFonts w:asciiTheme="majorHAnsi" w:hAnsiTheme="majorHAnsi" w:cstheme="majorHAnsi"/>
                <w:b/>
              </w:rPr>
            </w:pPr>
          </w:p>
        </w:tc>
        <w:tc>
          <w:tcPr>
            <w:tcW w:w="1641" w:type="dxa"/>
            <w:tcBorders>
              <w:top w:val="single" w:sz="4" w:space="0" w:color="auto"/>
              <w:left w:val="single" w:sz="4" w:space="0" w:color="auto"/>
              <w:bottom w:val="single" w:sz="4" w:space="0" w:color="auto"/>
              <w:right w:val="single" w:sz="4" w:space="0" w:color="auto"/>
            </w:tcBorders>
          </w:tcPr>
          <w:p w14:paraId="3C5A6238" w14:textId="77777777"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lastRenderedPageBreak/>
              <w:t xml:space="preserve">- Devido a quantidade de departamentos, Colleges e divisões acadêmicas as publicações de anuários de pesquisa e extensão não se encontram consolidados. A desagregação dos materiais não proporciona uma visão global e consolidada das áreas já que cada um publica o seu documento.  </w:t>
            </w:r>
          </w:p>
          <w:p w14:paraId="7276E4D8" w14:textId="77777777" w:rsidR="00AF287E" w:rsidRPr="00485F85" w:rsidRDefault="00AF287E" w:rsidP="00DE19E1">
            <w:pPr>
              <w:spacing w:after="160" w:line="360" w:lineRule="auto"/>
              <w:jc w:val="both"/>
              <w:rPr>
                <w:rFonts w:asciiTheme="majorHAnsi" w:hAnsiTheme="majorHAnsi" w:cstheme="majorHAnsi"/>
              </w:rPr>
            </w:pPr>
          </w:p>
          <w:p w14:paraId="4E9D8F93" w14:textId="77777777" w:rsidR="00AF287E" w:rsidRPr="00485F85" w:rsidRDefault="00AF287E" w:rsidP="00DE19E1">
            <w:pPr>
              <w:spacing w:line="360" w:lineRule="auto"/>
              <w:jc w:val="both"/>
              <w:rPr>
                <w:rFonts w:asciiTheme="majorHAnsi" w:hAnsiTheme="majorHAnsi" w:cstheme="majorHAnsi"/>
                <w:b/>
              </w:rPr>
            </w:pPr>
          </w:p>
        </w:tc>
        <w:tc>
          <w:tcPr>
            <w:tcW w:w="4136" w:type="dxa"/>
            <w:tcBorders>
              <w:top w:val="single" w:sz="4" w:space="0" w:color="auto"/>
              <w:left w:val="single" w:sz="4" w:space="0" w:color="auto"/>
              <w:bottom w:val="single" w:sz="4" w:space="0" w:color="auto"/>
              <w:right w:val="single" w:sz="4" w:space="0" w:color="auto"/>
            </w:tcBorders>
          </w:tcPr>
          <w:p w14:paraId="754BE45F" w14:textId="77777777"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O indicador educacional da Universidade é fornecido pela HESA para que possa haver comparabilidade e agregação de dados entre as instituições de ensino superior do Reino Unido.</w:t>
            </w:r>
          </w:p>
          <w:p w14:paraId="382A4D78" w14:textId="77777777" w:rsidR="00AF287E" w:rsidRPr="00485F85" w:rsidRDefault="00AF287E" w:rsidP="00DE19E1">
            <w:pPr>
              <w:spacing w:after="160" w:line="360" w:lineRule="auto"/>
              <w:jc w:val="both"/>
              <w:rPr>
                <w:rFonts w:asciiTheme="majorHAnsi" w:hAnsiTheme="majorHAnsi" w:cstheme="majorHAnsi"/>
              </w:rPr>
            </w:pPr>
            <w:r w:rsidRPr="00485F85">
              <w:rPr>
                <w:rFonts w:asciiTheme="majorHAnsi" w:hAnsiTheme="majorHAnsi" w:cstheme="majorHAnsi"/>
              </w:rPr>
              <w:t>- A universidade possui uma espécie de diário oficial que registra documentos importantes e comunicados oficiais.</w:t>
            </w:r>
          </w:p>
          <w:p w14:paraId="49EAD7B9" w14:textId="77777777" w:rsidR="00AF287E" w:rsidRPr="00485F85" w:rsidRDefault="00A515B3" w:rsidP="00DE19E1">
            <w:pPr>
              <w:spacing w:after="160" w:line="360" w:lineRule="auto"/>
              <w:jc w:val="both"/>
              <w:rPr>
                <w:rFonts w:asciiTheme="majorHAnsi" w:hAnsiTheme="majorHAnsi" w:cstheme="majorHAnsi"/>
              </w:rPr>
            </w:pPr>
            <w:hyperlink r:id="rId337" w:history="1">
              <w:r w:rsidR="00AF287E" w:rsidRPr="00485F85">
                <w:rPr>
                  <w:rStyle w:val="Hyperlink"/>
                  <w:rFonts w:asciiTheme="majorHAnsi" w:hAnsiTheme="majorHAnsi" w:cstheme="majorHAnsi"/>
                </w:rPr>
                <w:t>https://gazette.web.ox.ac.uk/register-of-congregation-2020/21</w:t>
              </w:r>
            </w:hyperlink>
            <w:r w:rsidR="00AF287E" w:rsidRPr="00485F85">
              <w:rPr>
                <w:rFonts w:asciiTheme="majorHAnsi" w:hAnsiTheme="majorHAnsi" w:cstheme="majorHAnsi"/>
              </w:rPr>
              <w:t xml:space="preserve"> </w:t>
            </w:r>
          </w:p>
          <w:p w14:paraId="67D706D2" w14:textId="77777777" w:rsidR="00AF287E" w:rsidRPr="00485F85" w:rsidRDefault="000D48ED"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r w:rsidR="009B69C9" w:rsidRPr="00485F85">
              <w:rPr>
                <w:rFonts w:asciiTheme="majorHAnsi" w:hAnsiTheme="majorHAnsi" w:cstheme="majorHAnsi"/>
              </w:rPr>
              <w:t>S</w:t>
            </w:r>
            <w:r w:rsidRPr="00485F85">
              <w:rPr>
                <w:rFonts w:asciiTheme="majorHAnsi" w:hAnsiTheme="majorHAnsi" w:cstheme="majorHAnsi"/>
              </w:rPr>
              <w:t xml:space="preserve">ite central da Universidade interligado com centenas de subsites com informações </w:t>
            </w:r>
            <w:r w:rsidR="009B69C9" w:rsidRPr="00485F85">
              <w:rPr>
                <w:rFonts w:asciiTheme="majorHAnsi" w:hAnsiTheme="majorHAnsi" w:cstheme="majorHAnsi"/>
              </w:rPr>
              <w:t>e a maioria delas atualizadas.</w:t>
            </w:r>
          </w:p>
          <w:p w14:paraId="5284A209" w14:textId="77777777" w:rsidR="009B69C9" w:rsidRPr="00485F85" w:rsidRDefault="009B69C9" w:rsidP="00DE19E1">
            <w:pPr>
              <w:spacing w:line="360" w:lineRule="auto"/>
              <w:jc w:val="both"/>
              <w:rPr>
                <w:rFonts w:asciiTheme="majorHAnsi" w:hAnsiTheme="majorHAnsi" w:cstheme="majorHAnsi"/>
              </w:rPr>
            </w:pPr>
          </w:p>
          <w:p w14:paraId="417F6632" w14:textId="1E48DC70" w:rsidR="009B69C9" w:rsidRPr="00485F85" w:rsidRDefault="009B69C9" w:rsidP="00DE19E1">
            <w:pPr>
              <w:spacing w:line="360" w:lineRule="auto"/>
              <w:jc w:val="both"/>
              <w:rPr>
                <w:rFonts w:asciiTheme="majorHAnsi" w:hAnsiTheme="majorHAnsi" w:cstheme="majorHAnsi"/>
              </w:rPr>
            </w:pPr>
            <w:r w:rsidRPr="00485F85">
              <w:rPr>
                <w:rFonts w:asciiTheme="majorHAnsi" w:hAnsiTheme="majorHAnsi" w:cstheme="majorHAnsi"/>
              </w:rPr>
              <w:t>- Na página de Compliance é possível observar diversas frentes de preocupação da instituição que vão desde a governança de dados, privacidade até tratamento de informações até suborno e fraudes.</w:t>
            </w:r>
          </w:p>
          <w:p w14:paraId="11CAF244" w14:textId="77777777" w:rsidR="009B69C9" w:rsidRPr="00485F85" w:rsidRDefault="00A515B3" w:rsidP="00DE19E1">
            <w:pPr>
              <w:spacing w:line="360" w:lineRule="auto"/>
              <w:jc w:val="both"/>
              <w:rPr>
                <w:rFonts w:asciiTheme="majorHAnsi" w:hAnsiTheme="majorHAnsi" w:cstheme="majorHAnsi"/>
              </w:rPr>
            </w:pPr>
            <w:hyperlink r:id="rId338" w:anchor="/" w:history="1">
              <w:r w:rsidR="009B69C9" w:rsidRPr="00485F85">
                <w:rPr>
                  <w:rStyle w:val="Hyperlink"/>
                  <w:rFonts w:asciiTheme="majorHAnsi" w:hAnsiTheme="majorHAnsi" w:cstheme="majorHAnsi"/>
                </w:rPr>
                <w:t>https://compliance.admin.ox.ac.uk/#/</w:t>
              </w:r>
            </w:hyperlink>
            <w:r w:rsidR="009B69C9" w:rsidRPr="00485F85">
              <w:rPr>
                <w:rFonts w:asciiTheme="majorHAnsi" w:hAnsiTheme="majorHAnsi" w:cstheme="majorHAnsi"/>
              </w:rPr>
              <w:t xml:space="preserve"> </w:t>
            </w:r>
          </w:p>
          <w:p w14:paraId="35A5B0B5" w14:textId="77777777" w:rsidR="009B69C9" w:rsidRPr="00485F85" w:rsidRDefault="009B69C9" w:rsidP="00DE19E1">
            <w:pPr>
              <w:spacing w:line="360" w:lineRule="auto"/>
              <w:jc w:val="both"/>
              <w:rPr>
                <w:rFonts w:asciiTheme="majorHAnsi" w:hAnsiTheme="majorHAnsi" w:cstheme="majorHAnsi"/>
              </w:rPr>
            </w:pPr>
          </w:p>
          <w:p w14:paraId="6E4EB852" w14:textId="6A7CDE4F" w:rsidR="009B69C9" w:rsidRPr="00485F85" w:rsidRDefault="007F7253" w:rsidP="00DE19E1">
            <w:pPr>
              <w:spacing w:line="360" w:lineRule="auto"/>
              <w:jc w:val="both"/>
              <w:rPr>
                <w:rFonts w:asciiTheme="majorHAnsi" w:hAnsiTheme="majorHAnsi" w:cstheme="majorHAnsi"/>
              </w:rPr>
            </w:pPr>
            <w:r w:rsidRPr="00485F85">
              <w:rPr>
                <w:rFonts w:asciiTheme="majorHAnsi" w:hAnsiTheme="majorHAnsi" w:cstheme="majorHAnsi"/>
              </w:rPr>
              <w:t xml:space="preserve">- </w:t>
            </w:r>
            <w:r w:rsidR="009B69C9" w:rsidRPr="00485F85">
              <w:rPr>
                <w:rFonts w:asciiTheme="majorHAnsi" w:hAnsiTheme="majorHAnsi" w:cstheme="majorHAnsi"/>
              </w:rPr>
              <w:t xml:space="preserve">No departamento de Governança e </w:t>
            </w:r>
            <w:r w:rsidR="009B69C9" w:rsidRPr="00485F85">
              <w:rPr>
                <w:rFonts w:asciiTheme="majorHAnsi" w:hAnsiTheme="majorHAnsi" w:cstheme="majorHAnsi"/>
              </w:rPr>
              <w:lastRenderedPageBreak/>
              <w:t>Planejamento é possível encontrar documentado todas as informações sobre a gestão da organização, estatutos, conselhos entre outros.</w:t>
            </w:r>
          </w:p>
          <w:p w14:paraId="72E559B5" w14:textId="77777777" w:rsidR="009B69C9" w:rsidRPr="00485F85" w:rsidRDefault="00A515B3" w:rsidP="00DE19E1">
            <w:pPr>
              <w:spacing w:line="360" w:lineRule="auto"/>
              <w:jc w:val="both"/>
              <w:rPr>
                <w:rFonts w:asciiTheme="majorHAnsi" w:hAnsiTheme="majorHAnsi" w:cstheme="majorHAnsi"/>
              </w:rPr>
            </w:pPr>
            <w:hyperlink r:id="rId339" w:anchor="/" w:history="1">
              <w:r w:rsidR="007F7253" w:rsidRPr="00485F85">
                <w:rPr>
                  <w:rStyle w:val="Hyperlink"/>
                  <w:rFonts w:asciiTheme="majorHAnsi" w:hAnsiTheme="majorHAnsi" w:cstheme="majorHAnsi"/>
                </w:rPr>
                <w:t>https://governance.admin.ox.ac.uk/governance#/</w:t>
              </w:r>
            </w:hyperlink>
            <w:r w:rsidR="007F7253" w:rsidRPr="00485F85">
              <w:rPr>
                <w:rFonts w:asciiTheme="majorHAnsi" w:hAnsiTheme="majorHAnsi" w:cstheme="majorHAnsi"/>
              </w:rPr>
              <w:t xml:space="preserve"> </w:t>
            </w:r>
          </w:p>
          <w:p w14:paraId="5D1E0D10" w14:textId="77777777" w:rsidR="007F7253" w:rsidRPr="00485F85" w:rsidRDefault="007F7253" w:rsidP="00DE19E1">
            <w:pPr>
              <w:spacing w:line="360" w:lineRule="auto"/>
              <w:jc w:val="both"/>
              <w:rPr>
                <w:rFonts w:asciiTheme="majorHAnsi" w:hAnsiTheme="majorHAnsi" w:cstheme="majorHAnsi"/>
              </w:rPr>
            </w:pPr>
          </w:p>
          <w:p w14:paraId="0D99DC90" w14:textId="2AD74A26" w:rsidR="007F7253" w:rsidRPr="00485F85" w:rsidRDefault="007F7253" w:rsidP="00DE19E1">
            <w:pPr>
              <w:spacing w:line="360" w:lineRule="auto"/>
              <w:jc w:val="both"/>
              <w:rPr>
                <w:rFonts w:asciiTheme="majorHAnsi" w:hAnsiTheme="majorHAnsi" w:cstheme="majorHAnsi"/>
              </w:rPr>
            </w:pPr>
            <w:r w:rsidRPr="00485F85">
              <w:rPr>
                <w:rFonts w:asciiTheme="majorHAnsi" w:hAnsiTheme="majorHAnsi" w:cstheme="majorHAnsi"/>
              </w:rPr>
              <w:t xml:space="preserve">-Percebeu-se que o RH da Universidade é muito atuante e a modernização de processos de pessoas são concentradas nesse departamento.  </w:t>
            </w:r>
            <w:hyperlink r:id="rId340" w:anchor="/" w:history="1">
              <w:r w:rsidRPr="00485F85">
                <w:rPr>
                  <w:rStyle w:val="Hyperlink"/>
                  <w:rFonts w:asciiTheme="majorHAnsi" w:hAnsiTheme="majorHAnsi" w:cstheme="majorHAnsi"/>
                </w:rPr>
                <w:t>https://hr.admin.ox.ac.uk/#/</w:t>
              </w:r>
            </w:hyperlink>
            <w:r w:rsidRPr="00485F85">
              <w:rPr>
                <w:rFonts w:asciiTheme="majorHAnsi" w:hAnsiTheme="majorHAnsi" w:cstheme="majorHAnsi"/>
              </w:rPr>
              <w:t xml:space="preserve"> </w:t>
            </w:r>
          </w:p>
        </w:tc>
      </w:tr>
    </w:tbl>
    <w:p w14:paraId="1532B2B0" w14:textId="368422D5" w:rsidR="00EF5971" w:rsidRPr="00485F85" w:rsidRDefault="00EF5971">
      <w:pPr>
        <w:tabs>
          <w:tab w:val="clear" w:pos="1615"/>
        </w:tabs>
        <w:spacing w:line="259" w:lineRule="auto"/>
        <w:rPr>
          <w:rFonts w:asciiTheme="majorHAnsi" w:hAnsiTheme="majorHAnsi" w:cstheme="majorHAnsi"/>
          <w:color w:val="222222"/>
          <w:sz w:val="20"/>
          <w:szCs w:val="20"/>
          <w:shd w:val="clear" w:color="auto" w:fill="FFFFFF"/>
        </w:rPr>
      </w:pPr>
    </w:p>
    <w:p w14:paraId="06390F90" w14:textId="77777777" w:rsidR="00EF5971" w:rsidRPr="00485F85" w:rsidRDefault="00EF5971">
      <w:pPr>
        <w:tabs>
          <w:tab w:val="clear" w:pos="1615"/>
        </w:tabs>
        <w:spacing w:line="259" w:lineRule="auto"/>
        <w:rPr>
          <w:rFonts w:asciiTheme="majorHAnsi" w:hAnsiTheme="majorHAnsi" w:cstheme="majorHAnsi"/>
          <w:color w:val="222222"/>
          <w:sz w:val="20"/>
          <w:szCs w:val="20"/>
          <w:shd w:val="clear" w:color="auto" w:fill="FFFFFF"/>
        </w:rPr>
      </w:pPr>
    </w:p>
    <w:p w14:paraId="49CB9E07" w14:textId="62D4A8B0" w:rsidR="00364DB5" w:rsidRPr="00485F85" w:rsidRDefault="00EF5971">
      <w:pPr>
        <w:tabs>
          <w:tab w:val="clear" w:pos="1615"/>
        </w:tabs>
        <w:spacing w:line="259" w:lineRule="auto"/>
        <w:rPr>
          <w:rFonts w:asciiTheme="majorHAnsi" w:hAnsiTheme="majorHAnsi" w:cstheme="majorHAnsi"/>
          <w:b/>
          <w:color w:val="222222"/>
          <w:sz w:val="20"/>
          <w:szCs w:val="20"/>
          <w:shd w:val="clear" w:color="auto" w:fill="FFFFFF"/>
        </w:rPr>
      </w:pPr>
      <w:r w:rsidRPr="00485F85">
        <w:rPr>
          <w:rFonts w:asciiTheme="majorHAnsi" w:hAnsiTheme="majorHAnsi" w:cstheme="majorHAnsi"/>
          <w:color w:val="222222"/>
          <w:sz w:val="20"/>
          <w:szCs w:val="20"/>
          <w:shd w:val="clear" w:color="auto" w:fill="FFFFFF"/>
        </w:rPr>
        <w:br w:type="page"/>
      </w:r>
    </w:p>
    <w:p w14:paraId="66CADC9F" w14:textId="0F109E63" w:rsidR="00364DB5" w:rsidRPr="00485F85" w:rsidRDefault="00DE19E1" w:rsidP="00364DB5">
      <w:pPr>
        <w:pStyle w:val="Ttulo1"/>
        <w:rPr>
          <w:rFonts w:asciiTheme="majorHAnsi" w:hAnsiTheme="majorHAnsi" w:cstheme="majorHAnsi"/>
        </w:rPr>
      </w:pPr>
      <w:bookmarkStart w:id="62" w:name="_Toc82101336"/>
      <w:r w:rsidRPr="00485F85">
        <w:rPr>
          <w:rFonts w:asciiTheme="majorHAnsi" w:hAnsiTheme="majorHAnsi" w:cstheme="majorHAnsi"/>
        </w:rPr>
        <w:lastRenderedPageBreak/>
        <w:t>ANEXOS</w:t>
      </w:r>
      <w:bookmarkEnd w:id="62"/>
    </w:p>
    <w:p w14:paraId="7545987B" w14:textId="0A9BAFA6" w:rsidR="002571BD" w:rsidRPr="00485F85" w:rsidRDefault="00364DB5" w:rsidP="002571BD">
      <w:pPr>
        <w:pStyle w:val="Ttulo2"/>
        <w:rPr>
          <w:rFonts w:asciiTheme="majorHAnsi" w:hAnsiTheme="majorHAnsi" w:cstheme="majorHAnsi"/>
        </w:rPr>
      </w:pPr>
      <w:bookmarkStart w:id="63" w:name="_Toc82101337"/>
      <w:r w:rsidRPr="00485F85">
        <w:rPr>
          <w:rFonts w:asciiTheme="majorHAnsi" w:hAnsiTheme="majorHAnsi" w:cstheme="majorHAnsi"/>
        </w:rPr>
        <w:t xml:space="preserve">ANEXO 1 </w:t>
      </w:r>
      <w:r w:rsidR="000C1853" w:rsidRPr="00485F85">
        <w:rPr>
          <w:rFonts w:asciiTheme="majorHAnsi" w:hAnsiTheme="majorHAnsi" w:cstheme="majorHAnsi"/>
        </w:rPr>
        <w:t>–</w:t>
      </w:r>
      <w:r w:rsidR="00C71F33">
        <w:rPr>
          <w:rFonts w:asciiTheme="majorHAnsi" w:hAnsiTheme="majorHAnsi" w:cstheme="majorHAnsi"/>
        </w:rPr>
        <w:t xml:space="preserve"> </w:t>
      </w:r>
      <w:r w:rsidR="000C1853" w:rsidRPr="00485F85">
        <w:rPr>
          <w:rFonts w:asciiTheme="majorHAnsi" w:hAnsiTheme="majorHAnsi" w:cstheme="majorHAnsi"/>
        </w:rPr>
        <w:t xml:space="preserve">REVISTAS </w:t>
      </w:r>
      <w:r w:rsidR="000A5D31" w:rsidRPr="00485F85">
        <w:rPr>
          <w:rFonts w:asciiTheme="majorHAnsi" w:hAnsiTheme="majorHAnsi" w:cstheme="majorHAnsi"/>
        </w:rPr>
        <w:t>SCOPUS</w:t>
      </w:r>
      <w:bookmarkEnd w:id="63"/>
    </w:p>
    <w:p w14:paraId="30FEA52B" w14:textId="5CC91597" w:rsidR="00364DB5" w:rsidRPr="00485F85" w:rsidRDefault="000A5D31" w:rsidP="00364DB5">
      <w:pPr>
        <w:rPr>
          <w:rFonts w:asciiTheme="majorHAnsi" w:hAnsiTheme="majorHAnsi" w:cstheme="majorHAnsi"/>
        </w:rPr>
      </w:pPr>
      <w:r w:rsidRPr="00485F85">
        <w:rPr>
          <w:rFonts w:asciiTheme="majorHAnsi" w:hAnsiTheme="majorHAnsi" w:cstheme="majorHAnsi"/>
          <w:noProof/>
          <w:lang w:eastAsia="pt-BR"/>
        </w:rPr>
        <w:drawing>
          <wp:inline distT="0" distB="0" distL="0" distR="0" wp14:anchorId="294E230A" wp14:editId="3323EDA0">
            <wp:extent cx="5553075" cy="7877175"/>
            <wp:effectExtent l="0" t="0" r="9525" b="9525"/>
            <wp:docPr id="9" name="Imagem 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abela&#10;&#10;Descrição gerada automaticamente"/>
                    <pic:cNvPicPr/>
                  </pic:nvPicPr>
                  <pic:blipFill>
                    <a:blip r:embed="rId341">
                      <a:extLst>
                        <a:ext uri="{28A0092B-C50C-407E-A947-70E740481C1C}">
                          <a14:useLocalDpi xmlns:a14="http://schemas.microsoft.com/office/drawing/2010/main" val="0"/>
                        </a:ext>
                      </a:extLst>
                    </a:blip>
                    <a:stretch>
                      <a:fillRect/>
                    </a:stretch>
                  </pic:blipFill>
                  <pic:spPr>
                    <a:xfrm>
                      <a:off x="0" y="0"/>
                      <a:ext cx="5553075" cy="7877175"/>
                    </a:xfrm>
                    <a:prstGeom prst="rect">
                      <a:avLst/>
                    </a:prstGeom>
                  </pic:spPr>
                </pic:pic>
              </a:graphicData>
            </a:graphic>
          </wp:inline>
        </w:drawing>
      </w:r>
    </w:p>
    <w:p w14:paraId="7E974B75" w14:textId="746CBD00" w:rsidR="00364DB5" w:rsidRPr="00C71F33" w:rsidRDefault="00364DB5" w:rsidP="00364DB5">
      <w:pPr>
        <w:pStyle w:val="Ttulo2"/>
        <w:rPr>
          <w:rFonts w:asciiTheme="majorHAnsi" w:hAnsiTheme="majorHAnsi" w:cstheme="majorHAnsi"/>
          <w:lang w:val="en-US"/>
        </w:rPr>
      </w:pPr>
      <w:r w:rsidRPr="00C71F33">
        <w:rPr>
          <w:rFonts w:asciiTheme="majorHAnsi" w:hAnsiTheme="majorHAnsi" w:cstheme="majorHAnsi"/>
          <w:lang w:val="en-US"/>
        </w:rPr>
        <w:br w:type="page"/>
      </w:r>
      <w:bookmarkStart w:id="64" w:name="_Toc82101338"/>
      <w:r w:rsidRPr="00C71F33">
        <w:rPr>
          <w:rFonts w:asciiTheme="majorHAnsi" w:hAnsiTheme="majorHAnsi" w:cstheme="majorHAnsi"/>
          <w:lang w:val="en-US"/>
        </w:rPr>
        <w:lastRenderedPageBreak/>
        <w:t>ANEXO 2</w:t>
      </w:r>
      <w:r w:rsidR="000A5D31" w:rsidRPr="00C71F33">
        <w:rPr>
          <w:rFonts w:asciiTheme="majorHAnsi" w:hAnsiTheme="majorHAnsi" w:cstheme="majorHAnsi"/>
          <w:lang w:val="en-US"/>
        </w:rPr>
        <w:t xml:space="preserve"> – </w:t>
      </w:r>
      <w:r w:rsidR="000C1853" w:rsidRPr="00C71F33">
        <w:rPr>
          <w:rFonts w:asciiTheme="majorHAnsi" w:hAnsiTheme="majorHAnsi" w:cstheme="majorHAnsi"/>
          <w:lang w:val="en-US"/>
        </w:rPr>
        <w:t xml:space="preserve">REVISTAS </w:t>
      </w:r>
      <w:r w:rsidR="000A5D31" w:rsidRPr="00C71F33">
        <w:rPr>
          <w:rFonts w:asciiTheme="majorHAnsi" w:hAnsiTheme="majorHAnsi" w:cstheme="majorHAnsi"/>
          <w:lang w:val="en-US"/>
        </w:rPr>
        <w:t>WEB OF SCIENCE</w:t>
      </w:r>
      <w:bookmarkEnd w:id="64"/>
    </w:p>
    <w:p w14:paraId="3D8A55EA" w14:textId="7F0EB6B7" w:rsidR="000C1853" w:rsidRPr="00C71F33" w:rsidRDefault="000C1853" w:rsidP="000C1853">
      <w:pPr>
        <w:rPr>
          <w:rFonts w:asciiTheme="majorHAnsi" w:hAnsiTheme="majorHAnsi" w:cstheme="majorHAnsi"/>
          <w:lang w:val="en-US"/>
        </w:rPr>
      </w:pPr>
    </w:p>
    <w:p w14:paraId="728479F9" w14:textId="6E8365BB" w:rsidR="000C1853" w:rsidRPr="00485F85" w:rsidRDefault="000C1853" w:rsidP="000C1853">
      <w:pPr>
        <w:rPr>
          <w:rFonts w:asciiTheme="majorHAnsi" w:hAnsiTheme="majorHAnsi" w:cstheme="majorHAnsi"/>
        </w:rPr>
      </w:pPr>
      <w:r w:rsidRPr="00485F85">
        <w:rPr>
          <w:rFonts w:asciiTheme="majorHAnsi" w:hAnsiTheme="majorHAnsi" w:cstheme="majorHAnsi"/>
          <w:noProof/>
          <w:lang w:eastAsia="pt-BR"/>
        </w:rPr>
        <w:drawing>
          <wp:inline distT="0" distB="0" distL="0" distR="0" wp14:anchorId="41E2ABAC" wp14:editId="7FAAE675">
            <wp:extent cx="6120130" cy="2997835"/>
            <wp:effectExtent l="0" t="0" r="0" b="0"/>
            <wp:docPr id="10" name="Imagem 10" descr="Gráfico, Gráfico de mapa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mapa de árvore&#10;&#10;Descrição gerada automaticamente"/>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6120130" cy="2997835"/>
                    </a:xfrm>
                    <a:prstGeom prst="rect">
                      <a:avLst/>
                    </a:prstGeom>
                  </pic:spPr>
                </pic:pic>
              </a:graphicData>
            </a:graphic>
          </wp:inline>
        </w:drawing>
      </w:r>
    </w:p>
    <w:p w14:paraId="6A750A68" w14:textId="271D14B2" w:rsidR="00364DB5" w:rsidRPr="00485F85" w:rsidRDefault="00364DB5" w:rsidP="00364DB5">
      <w:pPr>
        <w:rPr>
          <w:rFonts w:asciiTheme="majorHAnsi" w:hAnsiTheme="majorHAnsi" w:cstheme="majorHAnsi"/>
        </w:rPr>
      </w:pPr>
    </w:p>
    <w:p w14:paraId="1534D25C" w14:textId="77777777" w:rsidR="00DE19E1" w:rsidRDefault="00DE19E1">
      <w:pPr>
        <w:tabs>
          <w:tab w:val="clear" w:pos="1615"/>
        </w:tabs>
        <w:spacing w:line="259" w:lineRule="auto"/>
        <w:rPr>
          <w:rFonts w:asciiTheme="majorHAnsi" w:eastAsia="Calibri" w:hAnsiTheme="majorHAnsi" w:cstheme="majorHAnsi"/>
          <w:color w:val="3B3B3A"/>
          <w:sz w:val="20"/>
          <w:szCs w:val="20"/>
        </w:rPr>
      </w:pPr>
      <w:bookmarkStart w:id="65" w:name="_Toc22826312"/>
      <w:r>
        <w:rPr>
          <w:rFonts w:asciiTheme="majorHAnsi" w:eastAsia="Calibri" w:hAnsiTheme="majorHAnsi" w:cstheme="majorHAnsi"/>
          <w:color w:val="3B3B3A"/>
          <w:sz w:val="20"/>
          <w:szCs w:val="20"/>
        </w:rPr>
        <w:br w:type="page"/>
      </w:r>
    </w:p>
    <w:p w14:paraId="0512A71A" w14:textId="7682DBBD" w:rsidR="00021081" w:rsidRPr="00485F85" w:rsidRDefault="00021081" w:rsidP="00C13EE2">
      <w:pPr>
        <w:tabs>
          <w:tab w:val="clear" w:pos="1615"/>
        </w:tabs>
        <w:spacing w:line="259" w:lineRule="auto"/>
        <w:rPr>
          <w:rFonts w:asciiTheme="majorHAnsi" w:eastAsia="Calibri" w:hAnsiTheme="majorHAnsi" w:cstheme="majorHAnsi"/>
          <w:color w:val="3B3B3A"/>
          <w:sz w:val="20"/>
          <w:szCs w:val="20"/>
        </w:rPr>
      </w:pPr>
      <w:r w:rsidRPr="00485F85">
        <w:rPr>
          <w:rFonts w:asciiTheme="majorHAnsi" w:eastAsia="Calibri" w:hAnsiTheme="majorHAnsi" w:cstheme="majorHAnsi"/>
          <w:color w:val="3B3B3A"/>
          <w:sz w:val="20"/>
          <w:szCs w:val="20"/>
        </w:rPr>
        <w:lastRenderedPageBreak/>
        <w:t>© Cebraspe, 20</w:t>
      </w:r>
      <w:r w:rsidR="007526EF" w:rsidRPr="00485F85">
        <w:rPr>
          <w:rFonts w:asciiTheme="majorHAnsi" w:eastAsia="Calibri" w:hAnsiTheme="majorHAnsi" w:cstheme="majorHAnsi"/>
          <w:color w:val="3B3B3A"/>
          <w:sz w:val="20"/>
          <w:szCs w:val="20"/>
        </w:rPr>
        <w:t>21</w:t>
      </w:r>
      <w:r w:rsidRPr="00485F85">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485F85" w:rsidRDefault="00021081" w:rsidP="00B67F21">
      <w:pPr>
        <w:jc w:val="both"/>
        <w:rPr>
          <w:rFonts w:asciiTheme="majorHAnsi" w:hAnsiTheme="majorHAnsi" w:cstheme="majorHAnsi"/>
        </w:rPr>
      </w:pPr>
      <w:r w:rsidRPr="00485F85">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1"/>
      <w:bookmarkEnd w:id="65"/>
    </w:p>
    <w:sectPr w:rsidR="00A54802" w:rsidRPr="00485F85" w:rsidSect="001864E3">
      <w:footerReference w:type="default" r:id="rId343"/>
      <w:footerReference w:type="first" r:id="rId344"/>
      <w:pgSz w:w="11906" w:h="16838"/>
      <w:pgMar w:top="1134" w:right="1134" w:bottom="170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A320" w14:textId="77777777" w:rsidR="00A515B3" w:rsidRDefault="00A515B3" w:rsidP="00D703CD">
      <w:pPr>
        <w:spacing w:after="0"/>
      </w:pPr>
      <w:r>
        <w:separator/>
      </w:r>
    </w:p>
    <w:p w14:paraId="1F09E77B" w14:textId="77777777" w:rsidR="00A515B3" w:rsidRDefault="00A515B3"/>
  </w:endnote>
  <w:endnote w:type="continuationSeparator" w:id="0">
    <w:p w14:paraId="1E940EFB" w14:textId="77777777" w:rsidR="00A515B3" w:rsidRDefault="00A515B3" w:rsidP="00D703CD">
      <w:pPr>
        <w:spacing w:after="0"/>
      </w:pPr>
      <w:r>
        <w:continuationSeparator/>
      </w:r>
    </w:p>
    <w:p w14:paraId="310F6383" w14:textId="77777777" w:rsidR="00A515B3" w:rsidRDefault="00A51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UnB Office">
    <w:panose1 w:val="020B0604020202020204"/>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0BB5C0B9" w:rsidR="00B64FD2" w:rsidRDefault="00DB1217">
    <w:pPr>
      <w:pStyle w:val="Rodap"/>
    </w:pPr>
    <w:r>
      <w:rPr>
        <w:noProof/>
      </w:rPr>
      <w:drawing>
        <wp:anchor distT="0" distB="0" distL="114300" distR="114300" simplePos="0" relativeHeight="251662336" behindDoc="1" locked="0" layoutInCell="1" allowOverlap="1" wp14:anchorId="386F89B4" wp14:editId="514B1284">
          <wp:simplePos x="0" y="0"/>
          <wp:positionH relativeFrom="column">
            <wp:posOffset>-736287</wp:posOffset>
          </wp:positionH>
          <wp:positionV relativeFrom="paragraph">
            <wp:posOffset>40005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DB1217">
      <w:rPr>
        <w:rFonts w:asciiTheme="majorHAnsi" w:hAnsiTheme="majorHAnsi" w:cstheme="majorHAnsi"/>
        <w:sz w:val="24"/>
        <w:szCs w:val="24"/>
      </w:rPr>
      <w:fldChar w:fldCharType="begin"/>
    </w:r>
    <w:r w:rsidR="006D0EA4" w:rsidRPr="00DB1217">
      <w:rPr>
        <w:rFonts w:asciiTheme="majorHAnsi" w:hAnsiTheme="majorHAnsi" w:cstheme="majorHAnsi"/>
        <w:sz w:val="24"/>
        <w:szCs w:val="24"/>
      </w:rPr>
      <w:instrText>PAGE   \* MERGEFORMAT</w:instrText>
    </w:r>
    <w:r w:rsidR="006D0EA4" w:rsidRPr="00DB1217">
      <w:rPr>
        <w:rFonts w:asciiTheme="majorHAnsi" w:hAnsiTheme="majorHAnsi" w:cstheme="majorHAnsi"/>
        <w:sz w:val="24"/>
        <w:szCs w:val="24"/>
      </w:rPr>
      <w:fldChar w:fldCharType="separate"/>
    </w:r>
    <w:r w:rsidR="00824E9C" w:rsidRPr="00DB1217">
      <w:rPr>
        <w:rFonts w:asciiTheme="majorHAnsi" w:hAnsiTheme="majorHAnsi" w:cstheme="majorHAnsi"/>
        <w:noProof/>
        <w:sz w:val="24"/>
        <w:szCs w:val="24"/>
      </w:rPr>
      <w:t>167</w:t>
    </w:r>
    <w:r w:rsidR="006D0EA4" w:rsidRPr="00DB1217">
      <w:rPr>
        <w:rFonts w:asciiTheme="majorHAnsi" w:hAnsiTheme="majorHAnsi" w:cstheme="majorHAns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60288"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0533A7B1" id="Grupo 23" o:spid="_x0000_s1026" style="position:absolute;margin-left:549.95pt;margin-top:-35.15pt;width:682.25pt;height:83.25pt;z-index:-251656192"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A9B7" w14:textId="77777777" w:rsidR="00A515B3" w:rsidRDefault="00A515B3" w:rsidP="00D703CD">
      <w:pPr>
        <w:spacing w:after="0"/>
      </w:pPr>
      <w:r>
        <w:separator/>
      </w:r>
    </w:p>
    <w:p w14:paraId="0B788E53" w14:textId="77777777" w:rsidR="00A515B3" w:rsidRDefault="00A515B3"/>
  </w:footnote>
  <w:footnote w:type="continuationSeparator" w:id="0">
    <w:p w14:paraId="25CA8692" w14:textId="77777777" w:rsidR="00A515B3" w:rsidRDefault="00A515B3" w:rsidP="00D703CD">
      <w:pPr>
        <w:spacing w:after="0"/>
      </w:pPr>
      <w:r>
        <w:continuationSeparator/>
      </w:r>
    </w:p>
    <w:p w14:paraId="659965BB" w14:textId="77777777" w:rsidR="00A515B3" w:rsidRDefault="00A515B3"/>
  </w:footnote>
  <w:footnote w:id="1">
    <w:p w14:paraId="4D1BB929" w14:textId="3B9B4232" w:rsidR="00B70639" w:rsidRPr="00B70639" w:rsidRDefault="00B70639" w:rsidP="00B70639">
      <w:pPr>
        <w:pStyle w:val="Textodenotaderodap"/>
        <w:jc w:val="both"/>
        <w:rPr>
          <w:sz w:val="20"/>
          <w:szCs w:val="20"/>
        </w:rPr>
      </w:pPr>
      <w:r>
        <w:rPr>
          <w:rStyle w:val="Refdenotaderodap"/>
        </w:rPr>
        <w:footnoteRef/>
      </w:r>
      <w:r>
        <w:t xml:space="preserve"> </w:t>
      </w:r>
      <w:r w:rsidRPr="00B70639">
        <w:rPr>
          <w:sz w:val="20"/>
          <w:szCs w:val="20"/>
        </w:rPr>
        <w:t xml:space="preserve">O texto do estudo encontra-se no link e foi traduzido para o português: </w:t>
      </w:r>
      <w:hyperlink r:id="rId1" w:history="1">
        <w:r w:rsidRPr="00E05BAD">
          <w:rPr>
            <w:rStyle w:val="Hyperlink"/>
            <w:rFonts w:asciiTheme="minorHAnsi" w:hAnsiTheme="minorHAnsi"/>
            <w:sz w:val="20"/>
            <w:szCs w:val="20"/>
          </w:rPr>
          <w:t>https://www.ox.ac.uk/sites/files/oxford/Economic%20Impact%20of%20the%20University%20of%20Oxford.pdf</w:t>
        </w:r>
      </w:hyperlink>
    </w:p>
  </w:footnote>
  <w:footnote w:id="2">
    <w:p w14:paraId="3A286D2F" w14:textId="77777777" w:rsidR="001C5F76" w:rsidRDefault="001C5F76" w:rsidP="001C5F76">
      <w:pPr>
        <w:spacing w:before="240"/>
        <w:jc w:val="both"/>
      </w:pPr>
      <w:r>
        <w:rPr>
          <w:rStyle w:val="Refdenotaderodap"/>
        </w:rPr>
        <w:footnoteRef/>
      </w:r>
      <w:r w:rsidRPr="00747605">
        <w:rPr>
          <w:lang w:val="es-ES"/>
        </w:rPr>
        <w:t xml:space="preserve"> </w:t>
      </w:r>
      <w:r w:rsidRPr="00747605">
        <w:rPr>
          <w:rFonts w:eastAsia="Times New Roman" w:cstheme="minorHAnsi"/>
          <w:color w:val="000000"/>
          <w:sz w:val="20"/>
          <w:szCs w:val="20"/>
          <w:shd w:val="clear" w:color="auto" w:fill="FFFFFF"/>
          <w:lang w:val="es-ES"/>
        </w:rPr>
        <w:t xml:space="preserve">GARCÍA GUADILLA, Carmen. </w:t>
      </w:r>
      <w:r w:rsidRPr="00650996">
        <w:rPr>
          <w:rFonts w:eastAsia="Times New Roman" w:cstheme="minorHAnsi"/>
          <w:sz w:val="20"/>
          <w:szCs w:val="20"/>
          <w:lang w:val="es-ES"/>
        </w:rPr>
        <w:t xml:space="preserve">Educacion Superior en América Latina: una perspectiva comparada de la década de los noventa. </w:t>
      </w:r>
      <w:r w:rsidRPr="00650996">
        <w:rPr>
          <w:rFonts w:eastAsia="Times New Roman" w:cstheme="minorHAnsi"/>
          <w:sz w:val="20"/>
          <w:szCs w:val="20"/>
        </w:rPr>
        <w:t xml:space="preserve">In: TRINDADE, H.; BLANCQUER, J.M. </w:t>
      </w:r>
      <w:r w:rsidRPr="00650996">
        <w:rPr>
          <w:rFonts w:eastAsia="Times New Roman" w:cstheme="minorHAnsi"/>
          <w:b/>
          <w:sz w:val="20"/>
          <w:szCs w:val="20"/>
        </w:rPr>
        <w:t>Os Desadios da Educação na América Latina</w:t>
      </w:r>
      <w:r w:rsidRPr="00650996">
        <w:rPr>
          <w:rFonts w:eastAsia="Times New Roman" w:cstheme="minorHAnsi"/>
          <w:sz w:val="20"/>
          <w:szCs w:val="20"/>
        </w:rPr>
        <w:t xml:space="preserve">. </w:t>
      </w:r>
      <w:r w:rsidRPr="00650996">
        <w:rPr>
          <w:rFonts w:eastAsia="Times New Roman" w:cstheme="minorHAnsi"/>
          <w:sz w:val="20"/>
          <w:szCs w:val="20"/>
          <w:lang w:val="es-ES"/>
        </w:rPr>
        <w:t>Petrópolis: Vozes, 2002.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2E1"/>
    <w:multiLevelType w:val="hybridMultilevel"/>
    <w:tmpl w:val="FB8826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9E7F8E"/>
    <w:multiLevelType w:val="hybridMultilevel"/>
    <w:tmpl w:val="7432156A"/>
    <w:lvl w:ilvl="0" w:tplc="04160001">
      <w:start w:val="1"/>
      <w:numFmt w:val="bullet"/>
      <w:lvlText w:val=""/>
      <w:lvlJc w:val="left"/>
      <w:pPr>
        <w:ind w:left="798" w:hanging="360"/>
      </w:pPr>
      <w:rPr>
        <w:rFonts w:ascii="Symbol" w:hAnsi="Symbol" w:hint="default"/>
      </w:rPr>
    </w:lvl>
    <w:lvl w:ilvl="1" w:tplc="04160003" w:tentative="1">
      <w:start w:val="1"/>
      <w:numFmt w:val="bullet"/>
      <w:lvlText w:val="o"/>
      <w:lvlJc w:val="left"/>
      <w:pPr>
        <w:ind w:left="1518" w:hanging="360"/>
      </w:pPr>
      <w:rPr>
        <w:rFonts w:ascii="Courier New" w:hAnsi="Courier New" w:cs="Courier New" w:hint="default"/>
      </w:rPr>
    </w:lvl>
    <w:lvl w:ilvl="2" w:tplc="04160005" w:tentative="1">
      <w:start w:val="1"/>
      <w:numFmt w:val="bullet"/>
      <w:lvlText w:val=""/>
      <w:lvlJc w:val="left"/>
      <w:pPr>
        <w:ind w:left="2238" w:hanging="360"/>
      </w:pPr>
      <w:rPr>
        <w:rFonts w:ascii="Wingdings" w:hAnsi="Wingdings" w:hint="default"/>
      </w:rPr>
    </w:lvl>
    <w:lvl w:ilvl="3" w:tplc="04160001" w:tentative="1">
      <w:start w:val="1"/>
      <w:numFmt w:val="bullet"/>
      <w:lvlText w:val=""/>
      <w:lvlJc w:val="left"/>
      <w:pPr>
        <w:ind w:left="2958" w:hanging="360"/>
      </w:pPr>
      <w:rPr>
        <w:rFonts w:ascii="Symbol" w:hAnsi="Symbol" w:hint="default"/>
      </w:rPr>
    </w:lvl>
    <w:lvl w:ilvl="4" w:tplc="04160003" w:tentative="1">
      <w:start w:val="1"/>
      <w:numFmt w:val="bullet"/>
      <w:lvlText w:val="o"/>
      <w:lvlJc w:val="left"/>
      <w:pPr>
        <w:ind w:left="3678" w:hanging="360"/>
      </w:pPr>
      <w:rPr>
        <w:rFonts w:ascii="Courier New" w:hAnsi="Courier New" w:cs="Courier New" w:hint="default"/>
      </w:rPr>
    </w:lvl>
    <w:lvl w:ilvl="5" w:tplc="04160005" w:tentative="1">
      <w:start w:val="1"/>
      <w:numFmt w:val="bullet"/>
      <w:lvlText w:val=""/>
      <w:lvlJc w:val="left"/>
      <w:pPr>
        <w:ind w:left="4398" w:hanging="360"/>
      </w:pPr>
      <w:rPr>
        <w:rFonts w:ascii="Wingdings" w:hAnsi="Wingdings" w:hint="default"/>
      </w:rPr>
    </w:lvl>
    <w:lvl w:ilvl="6" w:tplc="04160001" w:tentative="1">
      <w:start w:val="1"/>
      <w:numFmt w:val="bullet"/>
      <w:lvlText w:val=""/>
      <w:lvlJc w:val="left"/>
      <w:pPr>
        <w:ind w:left="5118" w:hanging="360"/>
      </w:pPr>
      <w:rPr>
        <w:rFonts w:ascii="Symbol" w:hAnsi="Symbol" w:hint="default"/>
      </w:rPr>
    </w:lvl>
    <w:lvl w:ilvl="7" w:tplc="04160003" w:tentative="1">
      <w:start w:val="1"/>
      <w:numFmt w:val="bullet"/>
      <w:lvlText w:val="o"/>
      <w:lvlJc w:val="left"/>
      <w:pPr>
        <w:ind w:left="5838" w:hanging="360"/>
      </w:pPr>
      <w:rPr>
        <w:rFonts w:ascii="Courier New" w:hAnsi="Courier New" w:cs="Courier New" w:hint="default"/>
      </w:rPr>
    </w:lvl>
    <w:lvl w:ilvl="8" w:tplc="04160005" w:tentative="1">
      <w:start w:val="1"/>
      <w:numFmt w:val="bullet"/>
      <w:lvlText w:val=""/>
      <w:lvlJc w:val="left"/>
      <w:pPr>
        <w:ind w:left="6558" w:hanging="360"/>
      </w:pPr>
      <w:rPr>
        <w:rFonts w:ascii="Wingdings" w:hAnsi="Wingdings" w:hint="default"/>
      </w:rPr>
    </w:lvl>
  </w:abstractNum>
  <w:abstractNum w:abstractNumId="2" w15:restartNumberingAfterBreak="0">
    <w:nsid w:val="03E22339"/>
    <w:multiLevelType w:val="hybridMultilevel"/>
    <w:tmpl w:val="1624C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D8149F"/>
    <w:multiLevelType w:val="hybridMultilevel"/>
    <w:tmpl w:val="7F382C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47138A"/>
    <w:multiLevelType w:val="hybridMultilevel"/>
    <w:tmpl w:val="A68255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EB3680"/>
    <w:multiLevelType w:val="hybridMultilevel"/>
    <w:tmpl w:val="13283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71D08A7"/>
    <w:multiLevelType w:val="hybridMultilevel"/>
    <w:tmpl w:val="63DC7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723682D"/>
    <w:multiLevelType w:val="hybridMultilevel"/>
    <w:tmpl w:val="C4C2DE08"/>
    <w:lvl w:ilvl="0" w:tplc="04160001">
      <w:start w:val="1"/>
      <w:numFmt w:val="bullet"/>
      <w:lvlText w:val=""/>
      <w:lvlJc w:val="left"/>
      <w:pPr>
        <w:ind w:left="798" w:hanging="360"/>
      </w:pPr>
      <w:rPr>
        <w:rFonts w:ascii="Symbol" w:hAnsi="Symbol" w:hint="default"/>
      </w:rPr>
    </w:lvl>
    <w:lvl w:ilvl="1" w:tplc="04160003" w:tentative="1">
      <w:start w:val="1"/>
      <w:numFmt w:val="bullet"/>
      <w:lvlText w:val="o"/>
      <w:lvlJc w:val="left"/>
      <w:pPr>
        <w:ind w:left="1518" w:hanging="360"/>
      </w:pPr>
      <w:rPr>
        <w:rFonts w:ascii="Courier New" w:hAnsi="Courier New" w:cs="Courier New" w:hint="default"/>
      </w:rPr>
    </w:lvl>
    <w:lvl w:ilvl="2" w:tplc="04160005" w:tentative="1">
      <w:start w:val="1"/>
      <w:numFmt w:val="bullet"/>
      <w:lvlText w:val=""/>
      <w:lvlJc w:val="left"/>
      <w:pPr>
        <w:ind w:left="2238" w:hanging="360"/>
      </w:pPr>
      <w:rPr>
        <w:rFonts w:ascii="Wingdings" w:hAnsi="Wingdings" w:hint="default"/>
      </w:rPr>
    </w:lvl>
    <w:lvl w:ilvl="3" w:tplc="04160001" w:tentative="1">
      <w:start w:val="1"/>
      <w:numFmt w:val="bullet"/>
      <w:lvlText w:val=""/>
      <w:lvlJc w:val="left"/>
      <w:pPr>
        <w:ind w:left="2958" w:hanging="360"/>
      </w:pPr>
      <w:rPr>
        <w:rFonts w:ascii="Symbol" w:hAnsi="Symbol" w:hint="default"/>
      </w:rPr>
    </w:lvl>
    <w:lvl w:ilvl="4" w:tplc="04160003" w:tentative="1">
      <w:start w:val="1"/>
      <w:numFmt w:val="bullet"/>
      <w:lvlText w:val="o"/>
      <w:lvlJc w:val="left"/>
      <w:pPr>
        <w:ind w:left="3678" w:hanging="360"/>
      </w:pPr>
      <w:rPr>
        <w:rFonts w:ascii="Courier New" w:hAnsi="Courier New" w:cs="Courier New" w:hint="default"/>
      </w:rPr>
    </w:lvl>
    <w:lvl w:ilvl="5" w:tplc="04160005" w:tentative="1">
      <w:start w:val="1"/>
      <w:numFmt w:val="bullet"/>
      <w:lvlText w:val=""/>
      <w:lvlJc w:val="left"/>
      <w:pPr>
        <w:ind w:left="4398" w:hanging="360"/>
      </w:pPr>
      <w:rPr>
        <w:rFonts w:ascii="Wingdings" w:hAnsi="Wingdings" w:hint="default"/>
      </w:rPr>
    </w:lvl>
    <w:lvl w:ilvl="6" w:tplc="04160001" w:tentative="1">
      <w:start w:val="1"/>
      <w:numFmt w:val="bullet"/>
      <w:lvlText w:val=""/>
      <w:lvlJc w:val="left"/>
      <w:pPr>
        <w:ind w:left="5118" w:hanging="360"/>
      </w:pPr>
      <w:rPr>
        <w:rFonts w:ascii="Symbol" w:hAnsi="Symbol" w:hint="default"/>
      </w:rPr>
    </w:lvl>
    <w:lvl w:ilvl="7" w:tplc="04160003" w:tentative="1">
      <w:start w:val="1"/>
      <w:numFmt w:val="bullet"/>
      <w:lvlText w:val="o"/>
      <w:lvlJc w:val="left"/>
      <w:pPr>
        <w:ind w:left="5838" w:hanging="360"/>
      </w:pPr>
      <w:rPr>
        <w:rFonts w:ascii="Courier New" w:hAnsi="Courier New" w:cs="Courier New" w:hint="default"/>
      </w:rPr>
    </w:lvl>
    <w:lvl w:ilvl="8" w:tplc="04160005" w:tentative="1">
      <w:start w:val="1"/>
      <w:numFmt w:val="bullet"/>
      <w:lvlText w:val=""/>
      <w:lvlJc w:val="left"/>
      <w:pPr>
        <w:ind w:left="6558" w:hanging="360"/>
      </w:pPr>
      <w:rPr>
        <w:rFonts w:ascii="Wingdings" w:hAnsi="Wingdings" w:hint="default"/>
      </w:rPr>
    </w:lvl>
  </w:abstractNum>
  <w:abstractNum w:abstractNumId="8" w15:restartNumberingAfterBreak="0">
    <w:nsid w:val="0F684A65"/>
    <w:multiLevelType w:val="hybridMultilevel"/>
    <w:tmpl w:val="6FCEB4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0BD5FE0"/>
    <w:multiLevelType w:val="hybridMultilevel"/>
    <w:tmpl w:val="B2B8D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98F3988"/>
    <w:multiLevelType w:val="hybridMultilevel"/>
    <w:tmpl w:val="C5D63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1EC1BAC"/>
    <w:multiLevelType w:val="hybridMultilevel"/>
    <w:tmpl w:val="B7CA41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481693"/>
    <w:multiLevelType w:val="hybridMultilevel"/>
    <w:tmpl w:val="636C9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56B3A92"/>
    <w:multiLevelType w:val="hybridMultilevel"/>
    <w:tmpl w:val="7D22F1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A9423F"/>
    <w:multiLevelType w:val="hybridMultilevel"/>
    <w:tmpl w:val="3FBEC89E"/>
    <w:lvl w:ilvl="0" w:tplc="04160001">
      <w:start w:val="1"/>
      <w:numFmt w:val="bullet"/>
      <w:lvlText w:val=""/>
      <w:lvlJc w:val="left"/>
      <w:pPr>
        <w:ind w:left="793" w:hanging="360"/>
      </w:pPr>
      <w:rPr>
        <w:rFonts w:ascii="Symbol" w:hAnsi="Symbol" w:hint="default"/>
      </w:rPr>
    </w:lvl>
    <w:lvl w:ilvl="1" w:tplc="04160003" w:tentative="1">
      <w:start w:val="1"/>
      <w:numFmt w:val="bullet"/>
      <w:lvlText w:val="o"/>
      <w:lvlJc w:val="left"/>
      <w:pPr>
        <w:ind w:left="1513" w:hanging="360"/>
      </w:pPr>
      <w:rPr>
        <w:rFonts w:ascii="Courier New" w:hAnsi="Courier New" w:cs="Courier New" w:hint="default"/>
      </w:rPr>
    </w:lvl>
    <w:lvl w:ilvl="2" w:tplc="04160005" w:tentative="1">
      <w:start w:val="1"/>
      <w:numFmt w:val="bullet"/>
      <w:lvlText w:val=""/>
      <w:lvlJc w:val="left"/>
      <w:pPr>
        <w:ind w:left="2233" w:hanging="360"/>
      </w:pPr>
      <w:rPr>
        <w:rFonts w:ascii="Wingdings" w:hAnsi="Wingdings" w:hint="default"/>
      </w:rPr>
    </w:lvl>
    <w:lvl w:ilvl="3" w:tplc="04160001" w:tentative="1">
      <w:start w:val="1"/>
      <w:numFmt w:val="bullet"/>
      <w:lvlText w:val=""/>
      <w:lvlJc w:val="left"/>
      <w:pPr>
        <w:ind w:left="2953" w:hanging="360"/>
      </w:pPr>
      <w:rPr>
        <w:rFonts w:ascii="Symbol" w:hAnsi="Symbol" w:hint="default"/>
      </w:rPr>
    </w:lvl>
    <w:lvl w:ilvl="4" w:tplc="04160003" w:tentative="1">
      <w:start w:val="1"/>
      <w:numFmt w:val="bullet"/>
      <w:lvlText w:val="o"/>
      <w:lvlJc w:val="left"/>
      <w:pPr>
        <w:ind w:left="3673" w:hanging="360"/>
      </w:pPr>
      <w:rPr>
        <w:rFonts w:ascii="Courier New" w:hAnsi="Courier New" w:cs="Courier New" w:hint="default"/>
      </w:rPr>
    </w:lvl>
    <w:lvl w:ilvl="5" w:tplc="04160005" w:tentative="1">
      <w:start w:val="1"/>
      <w:numFmt w:val="bullet"/>
      <w:lvlText w:val=""/>
      <w:lvlJc w:val="left"/>
      <w:pPr>
        <w:ind w:left="4393" w:hanging="360"/>
      </w:pPr>
      <w:rPr>
        <w:rFonts w:ascii="Wingdings" w:hAnsi="Wingdings" w:hint="default"/>
      </w:rPr>
    </w:lvl>
    <w:lvl w:ilvl="6" w:tplc="04160001" w:tentative="1">
      <w:start w:val="1"/>
      <w:numFmt w:val="bullet"/>
      <w:lvlText w:val=""/>
      <w:lvlJc w:val="left"/>
      <w:pPr>
        <w:ind w:left="5113" w:hanging="360"/>
      </w:pPr>
      <w:rPr>
        <w:rFonts w:ascii="Symbol" w:hAnsi="Symbol" w:hint="default"/>
      </w:rPr>
    </w:lvl>
    <w:lvl w:ilvl="7" w:tplc="04160003" w:tentative="1">
      <w:start w:val="1"/>
      <w:numFmt w:val="bullet"/>
      <w:lvlText w:val="o"/>
      <w:lvlJc w:val="left"/>
      <w:pPr>
        <w:ind w:left="5833" w:hanging="360"/>
      </w:pPr>
      <w:rPr>
        <w:rFonts w:ascii="Courier New" w:hAnsi="Courier New" w:cs="Courier New" w:hint="default"/>
      </w:rPr>
    </w:lvl>
    <w:lvl w:ilvl="8" w:tplc="04160005" w:tentative="1">
      <w:start w:val="1"/>
      <w:numFmt w:val="bullet"/>
      <w:lvlText w:val=""/>
      <w:lvlJc w:val="left"/>
      <w:pPr>
        <w:ind w:left="6553" w:hanging="360"/>
      </w:pPr>
      <w:rPr>
        <w:rFonts w:ascii="Wingdings" w:hAnsi="Wingdings" w:hint="default"/>
      </w:rPr>
    </w:lvl>
  </w:abstractNum>
  <w:abstractNum w:abstractNumId="15" w15:restartNumberingAfterBreak="0">
    <w:nsid w:val="2B713FDC"/>
    <w:multiLevelType w:val="multilevel"/>
    <w:tmpl w:val="B1CA0C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100115"/>
    <w:multiLevelType w:val="hybridMultilevel"/>
    <w:tmpl w:val="78EEB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1E55252"/>
    <w:multiLevelType w:val="hybridMultilevel"/>
    <w:tmpl w:val="CF2C4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1D39E8"/>
    <w:multiLevelType w:val="hybridMultilevel"/>
    <w:tmpl w:val="6C50D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3B2044"/>
    <w:multiLevelType w:val="hybridMultilevel"/>
    <w:tmpl w:val="032CF45A"/>
    <w:lvl w:ilvl="0" w:tplc="04160001">
      <w:start w:val="1"/>
      <w:numFmt w:val="bullet"/>
      <w:lvlText w:val=""/>
      <w:lvlJc w:val="left"/>
      <w:pPr>
        <w:ind w:left="798" w:hanging="360"/>
      </w:pPr>
      <w:rPr>
        <w:rFonts w:ascii="Symbol" w:hAnsi="Symbol" w:hint="default"/>
      </w:rPr>
    </w:lvl>
    <w:lvl w:ilvl="1" w:tplc="04160003" w:tentative="1">
      <w:start w:val="1"/>
      <w:numFmt w:val="bullet"/>
      <w:lvlText w:val="o"/>
      <w:lvlJc w:val="left"/>
      <w:pPr>
        <w:ind w:left="1518" w:hanging="360"/>
      </w:pPr>
      <w:rPr>
        <w:rFonts w:ascii="Courier New" w:hAnsi="Courier New" w:cs="Courier New" w:hint="default"/>
      </w:rPr>
    </w:lvl>
    <w:lvl w:ilvl="2" w:tplc="04160005" w:tentative="1">
      <w:start w:val="1"/>
      <w:numFmt w:val="bullet"/>
      <w:lvlText w:val=""/>
      <w:lvlJc w:val="left"/>
      <w:pPr>
        <w:ind w:left="2238" w:hanging="360"/>
      </w:pPr>
      <w:rPr>
        <w:rFonts w:ascii="Wingdings" w:hAnsi="Wingdings" w:hint="default"/>
      </w:rPr>
    </w:lvl>
    <w:lvl w:ilvl="3" w:tplc="04160001" w:tentative="1">
      <w:start w:val="1"/>
      <w:numFmt w:val="bullet"/>
      <w:lvlText w:val=""/>
      <w:lvlJc w:val="left"/>
      <w:pPr>
        <w:ind w:left="2958" w:hanging="360"/>
      </w:pPr>
      <w:rPr>
        <w:rFonts w:ascii="Symbol" w:hAnsi="Symbol" w:hint="default"/>
      </w:rPr>
    </w:lvl>
    <w:lvl w:ilvl="4" w:tplc="04160003" w:tentative="1">
      <w:start w:val="1"/>
      <w:numFmt w:val="bullet"/>
      <w:lvlText w:val="o"/>
      <w:lvlJc w:val="left"/>
      <w:pPr>
        <w:ind w:left="3678" w:hanging="360"/>
      </w:pPr>
      <w:rPr>
        <w:rFonts w:ascii="Courier New" w:hAnsi="Courier New" w:cs="Courier New" w:hint="default"/>
      </w:rPr>
    </w:lvl>
    <w:lvl w:ilvl="5" w:tplc="04160005" w:tentative="1">
      <w:start w:val="1"/>
      <w:numFmt w:val="bullet"/>
      <w:lvlText w:val=""/>
      <w:lvlJc w:val="left"/>
      <w:pPr>
        <w:ind w:left="4398" w:hanging="360"/>
      </w:pPr>
      <w:rPr>
        <w:rFonts w:ascii="Wingdings" w:hAnsi="Wingdings" w:hint="default"/>
      </w:rPr>
    </w:lvl>
    <w:lvl w:ilvl="6" w:tplc="04160001" w:tentative="1">
      <w:start w:val="1"/>
      <w:numFmt w:val="bullet"/>
      <w:lvlText w:val=""/>
      <w:lvlJc w:val="left"/>
      <w:pPr>
        <w:ind w:left="5118" w:hanging="360"/>
      </w:pPr>
      <w:rPr>
        <w:rFonts w:ascii="Symbol" w:hAnsi="Symbol" w:hint="default"/>
      </w:rPr>
    </w:lvl>
    <w:lvl w:ilvl="7" w:tplc="04160003" w:tentative="1">
      <w:start w:val="1"/>
      <w:numFmt w:val="bullet"/>
      <w:lvlText w:val="o"/>
      <w:lvlJc w:val="left"/>
      <w:pPr>
        <w:ind w:left="5838" w:hanging="360"/>
      </w:pPr>
      <w:rPr>
        <w:rFonts w:ascii="Courier New" w:hAnsi="Courier New" w:cs="Courier New" w:hint="default"/>
      </w:rPr>
    </w:lvl>
    <w:lvl w:ilvl="8" w:tplc="04160005" w:tentative="1">
      <w:start w:val="1"/>
      <w:numFmt w:val="bullet"/>
      <w:lvlText w:val=""/>
      <w:lvlJc w:val="left"/>
      <w:pPr>
        <w:ind w:left="6558" w:hanging="360"/>
      </w:pPr>
      <w:rPr>
        <w:rFonts w:ascii="Wingdings" w:hAnsi="Wingdings" w:hint="default"/>
      </w:rPr>
    </w:lvl>
  </w:abstractNum>
  <w:abstractNum w:abstractNumId="20" w15:restartNumberingAfterBreak="0">
    <w:nsid w:val="33FE4CD2"/>
    <w:multiLevelType w:val="hybridMultilevel"/>
    <w:tmpl w:val="B8B0DA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585123"/>
    <w:multiLevelType w:val="hybridMultilevel"/>
    <w:tmpl w:val="D7406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5524581"/>
    <w:multiLevelType w:val="hybridMultilevel"/>
    <w:tmpl w:val="6ACA5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6E52795"/>
    <w:multiLevelType w:val="hybridMultilevel"/>
    <w:tmpl w:val="4C76B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8CD5A81"/>
    <w:multiLevelType w:val="hybridMultilevel"/>
    <w:tmpl w:val="50BCBE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8F37457"/>
    <w:multiLevelType w:val="hybridMultilevel"/>
    <w:tmpl w:val="152CC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AE63704"/>
    <w:multiLevelType w:val="hybridMultilevel"/>
    <w:tmpl w:val="B94E65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EB14DC"/>
    <w:multiLevelType w:val="hybridMultilevel"/>
    <w:tmpl w:val="EAC4E7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71D5B72"/>
    <w:multiLevelType w:val="hybridMultilevel"/>
    <w:tmpl w:val="526088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6F3"/>
    <w:multiLevelType w:val="hybridMultilevel"/>
    <w:tmpl w:val="052E3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261F4C"/>
    <w:multiLevelType w:val="hybridMultilevel"/>
    <w:tmpl w:val="996C3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10A4357"/>
    <w:multiLevelType w:val="hybridMultilevel"/>
    <w:tmpl w:val="584820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16F507A"/>
    <w:multiLevelType w:val="hybridMultilevel"/>
    <w:tmpl w:val="1F0ED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251257D"/>
    <w:multiLevelType w:val="hybridMultilevel"/>
    <w:tmpl w:val="ACCCBE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F435284"/>
    <w:multiLevelType w:val="hybridMultilevel"/>
    <w:tmpl w:val="A662B138"/>
    <w:lvl w:ilvl="0" w:tplc="04160001">
      <w:start w:val="1"/>
      <w:numFmt w:val="bullet"/>
      <w:lvlText w:val=""/>
      <w:lvlJc w:val="left"/>
      <w:pPr>
        <w:ind w:left="798" w:hanging="360"/>
      </w:pPr>
      <w:rPr>
        <w:rFonts w:ascii="Symbol" w:hAnsi="Symbol" w:hint="default"/>
      </w:rPr>
    </w:lvl>
    <w:lvl w:ilvl="1" w:tplc="04160003" w:tentative="1">
      <w:start w:val="1"/>
      <w:numFmt w:val="bullet"/>
      <w:lvlText w:val="o"/>
      <w:lvlJc w:val="left"/>
      <w:pPr>
        <w:ind w:left="1518" w:hanging="360"/>
      </w:pPr>
      <w:rPr>
        <w:rFonts w:ascii="Courier New" w:hAnsi="Courier New" w:cs="Courier New" w:hint="default"/>
      </w:rPr>
    </w:lvl>
    <w:lvl w:ilvl="2" w:tplc="04160005" w:tentative="1">
      <w:start w:val="1"/>
      <w:numFmt w:val="bullet"/>
      <w:lvlText w:val=""/>
      <w:lvlJc w:val="left"/>
      <w:pPr>
        <w:ind w:left="2238" w:hanging="360"/>
      </w:pPr>
      <w:rPr>
        <w:rFonts w:ascii="Wingdings" w:hAnsi="Wingdings" w:hint="default"/>
      </w:rPr>
    </w:lvl>
    <w:lvl w:ilvl="3" w:tplc="04160001" w:tentative="1">
      <w:start w:val="1"/>
      <w:numFmt w:val="bullet"/>
      <w:lvlText w:val=""/>
      <w:lvlJc w:val="left"/>
      <w:pPr>
        <w:ind w:left="2958" w:hanging="360"/>
      </w:pPr>
      <w:rPr>
        <w:rFonts w:ascii="Symbol" w:hAnsi="Symbol" w:hint="default"/>
      </w:rPr>
    </w:lvl>
    <w:lvl w:ilvl="4" w:tplc="04160003" w:tentative="1">
      <w:start w:val="1"/>
      <w:numFmt w:val="bullet"/>
      <w:lvlText w:val="o"/>
      <w:lvlJc w:val="left"/>
      <w:pPr>
        <w:ind w:left="3678" w:hanging="360"/>
      </w:pPr>
      <w:rPr>
        <w:rFonts w:ascii="Courier New" w:hAnsi="Courier New" w:cs="Courier New" w:hint="default"/>
      </w:rPr>
    </w:lvl>
    <w:lvl w:ilvl="5" w:tplc="04160005" w:tentative="1">
      <w:start w:val="1"/>
      <w:numFmt w:val="bullet"/>
      <w:lvlText w:val=""/>
      <w:lvlJc w:val="left"/>
      <w:pPr>
        <w:ind w:left="4398" w:hanging="360"/>
      </w:pPr>
      <w:rPr>
        <w:rFonts w:ascii="Wingdings" w:hAnsi="Wingdings" w:hint="default"/>
      </w:rPr>
    </w:lvl>
    <w:lvl w:ilvl="6" w:tplc="04160001" w:tentative="1">
      <w:start w:val="1"/>
      <w:numFmt w:val="bullet"/>
      <w:lvlText w:val=""/>
      <w:lvlJc w:val="left"/>
      <w:pPr>
        <w:ind w:left="5118" w:hanging="360"/>
      </w:pPr>
      <w:rPr>
        <w:rFonts w:ascii="Symbol" w:hAnsi="Symbol" w:hint="default"/>
      </w:rPr>
    </w:lvl>
    <w:lvl w:ilvl="7" w:tplc="04160003" w:tentative="1">
      <w:start w:val="1"/>
      <w:numFmt w:val="bullet"/>
      <w:lvlText w:val="o"/>
      <w:lvlJc w:val="left"/>
      <w:pPr>
        <w:ind w:left="5838" w:hanging="360"/>
      </w:pPr>
      <w:rPr>
        <w:rFonts w:ascii="Courier New" w:hAnsi="Courier New" w:cs="Courier New" w:hint="default"/>
      </w:rPr>
    </w:lvl>
    <w:lvl w:ilvl="8" w:tplc="04160005" w:tentative="1">
      <w:start w:val="1"/>
      <w:numFmt w:val="bullet"/>
      <w:lvlText w:val=""/>
      <w:lvlJc w:val="left"/>
      <w:pPr>
        <w:ind w:left="6558" w:hanging="360"/>
      </w:pPr>
      <w:rPr>
        <w:rFonts w:ascii="Wingdings" w:hAnsi="Wingdings" w:hint="default"/>
      </w:rPr>
    </w:lvl>
  </w:abstractNum>
  <w:abstractNum w:abstractNumId="35" w15:restartNumberingAfterBreak="0">
    <w:nsid w:val="61AC5327"/>
    <w:multiLevelType w:val="hybridMultilevel"/>
    <w:tmpl w:val="ADA66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9773B7"/>
    <w:multiLevelType w:val="hybridMultilevel"/>
    <w:tmpl w:val="E77638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AD4569"/>
    <w:multiLevelType w:val="hybridMultilevel"/>
    <w:tmpl w:val="3132B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33D57F9"/>
    <w:multiLevelType w:val="hybridMultilevel"/>
    <w:tmpl w:val="6CDA64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5054E2A"/>
    <w:multiLevelType w:val="hybridMultilevel"/>
    <w:tmpl w:val="CAF25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94D07E0"/>
    <w:multiLevelType w:val="multilevel"/>
    <w:tmpl w:val="AD44A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B4926EA"/>
    <w:multiLevelType w:val="hybridMultilevel"/>
    <w:tmpl w:val="4418AA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C4C7585"/>
    <w:multiLevelType w:val="hybridMultilevel"/>
    <w:tmpl w:val="8EE8E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D3855C2"/>
    <w:multiLevelType w:val="hybridMultilevel"/>
    <w:tmpl w:val="7A84B8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DF363B3"/>
    <w:multiLevelType w:val="hybridMultilevel"/>
    <w:tmpl w:val="3FA62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C425AF"/>
    <w:multiLevelType w:val="multilevel"/>
    <w:tmpl w:val="D786F2D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6" w15:restartNumberingAfterBreak="0">
    <w:nsid w:val="6FF569D5"/>
    <w:multiLevelType w:val="hybridMultilevel"/>
    <w:tmpl w:val="C9926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3C7614A"/>
    <w:multiLevelType w:val="hybridMultilevel"/>
    <w:tmpl w:val="54C0B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88E4413"/>
    <w:multiLevelType w:val="hybridMultilevel"/>
    <w:tmpl w:val="AD16D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D267E26"/>
    <w:multiLevelType w:val="hybridMultilevel"/>
    <w:tmpl w:val="83385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5"/>
  </w:num>
  <w:num w:numId="2">
    <w:abstractNumId w:val="46"/>
  </w:num>
  <w:num w:numId="3">
    <w:abstractNumId w:val="18"/>
  </w:num>
  <w:num w:numId="4">
    <w:abstractNumId w:val="15"/>
  </w:num>
  <w:num w:numId="5">
    <w:abstractNumId w:val="22"/>
  </w:num>
  <w:num w:numId="6">
    <w:abstractNumId w:val="43"/>
  </w:num>
  <w:num w:numId="7">
    <w:abstractNumId w:val="14"/>
  </w:num>
  <w:num w:numId="8">
    <w:abstractNumId w:val="20"/>
  </w:num>
  <w:num w:numId="9">
    <w:abstractNumId w:val="11"/>
  </w:num>
  <w:num w:numId="10">
    <w:abstractNumId w:val="44"/>
  </w:num>
  <w:num w:numId="11">
    <w:abstractNumId w:val="1"/>
  </w:num>
  <w:num w:numId="12">
    <w:abstractNumId w:val="34"/>
  </w:num>
  <w:num w:numId="13">
    <w:abstractNumId w:val="30"/>
  </w:num>
  <w:num w:numId="14">
    <w:abstractNumId w:val="19"/>
  </w:num>
  <w:num w:numId="15">
    <w:abstractNumId w:val="26"/>
  </w:num>
  <w:num w:numId="16">
    <w:abstractNumId w:val="7"/>
  </w:num>
  <w:num w:numId="17">
    <w:abstractNumId w:val="27"/>
  </w:num>
  <w:num w:numId="18">
    <w:abstractNumId w:val="4"/>
  </w:num>
  <w:num w:numId="19">
    <w:abstractNumId w:val="25"/>
  </w:num>
  <w:num w:numId="20">
    <w:abstractNumId w:val="21"/>
  </w:num>
  <w:num w:numId="21">
    <w:abstractNumId w:val="40"/>
  </w:num>
  <w:num w:numId="22">
    <w:abstractNumId w:val="41"/>
  </w:num>
  <w:num w:numId="23">
    <w:abstractNumId w:val="28"/>
  </w:num>
  <w:num w:numId="24">
    <w:abstractNumId w:val="35"/>
  </w:num>
  <w:num w:numId="25">
    <w:abstractNumId w:val="47"/>
  </w:num>
  <w:num w:numId="26">
    <w:abstractNumId w:val="33"/>
  </w:num>
  <w:num w:numId="27">
    <w:abstractNumId w:val="49"/>
  </w:num>
  <w:num w:numId="28">
    <w:abstractNumId w:val="23"/>
  </w:num>
  <w:num w:numId="29">
    <w:abstractNumId w:val="31"/>
  </w:num>
  <w:num w:numId="30">
    <w:abstractNumId w:val="13"/>
  </w:num>
  <w:num w:numId="31">
    <w:abstractNumId w:val="3"/>
  </w:num>
  <w:num w:numId="32">
    <w:abstractNumId w:val="5"/>
  </w:num>
  <w:num w:numId="33">
    <w:abstractNumId w:val="6"/>
  </w:num>
  <w:num w:numId="34">
    <w:abstractNumId w:val="2"/>
  </w:num>
  <w:num w:numId="35">
    <w:abstractNumId w:val="12"/>
  </w:num>
  <w:num w:numId="36">
    <w:abstractNumId w:val="32"/>
  </w:num>
  <w:num w:numId="37">
    <w:abstractNumId w:val="39"/>
  </w:num>
  <w:num w:numId="38">
    <w:abstractNumId w:val="38"/>
  </w:num>
  <w:num w:numId="39">
    <w:abstractNumId w:val="42"/>
  </w:num>
  <w:num w:numId="40">
    <w:abstractNumId w:val="48"/>
  </w:num>
  <w:num w:numId="41">
    <w:abstractNumId w:val="37"/>
  </w:num>
  <w:num w:numId="42">
    <w:abstractNumId w:val="10"/>
  </w:num>
  <w:num w:numId="43">
    <w:abstractNumId w:val="36"/>
  </w:num>
  <w:num w:numId="44">
    <w:abstractNumId w:val="16"/>
  </w:num>
  <w:num w:numId="45">
    <w:abstractNumId w:val="9"/>
  </w:num>
  <w:num w:numId="46">
    <w:abstractNumId w:val="17"/>
  </w:num>
  <w:num w:numId="47">
    <w:abstractNumId w:val="29"/>
  </w:num>
  <w:num w:numId="48">
    <w:abstractNumId w:val="0"/>
  </w:num>
  <w:num w:numId="49">
    <w:abstractNumId w:val="24"/>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A72"/>
    <w:rsid w:val="00000A96"/>
    <w:rsid w:val="00004B8E"/>
    <w:rsid w:val="00005EBC"/>
    <w:rsid w:val="000073DE"/>
    <w:rsid w:val="00013E9D"/>
    <w:rsid w:val="00015AFE"/>
    <w:rsid w:val="000172F4"/>
    <w:rsid w:val="00021081"/>
    <w:rsid w:val="000348E4"/>
    <w:rsid w:val="00043827"/>
    <w:rsid w:val="00045967"/>
    <w:rsid w:val="000530F9"/>
    <w:rsid w:val="000535A3"/>
    <w:rsid w:val="00063BF3"/>
    <w:rsid w:val="0006609D"/>
    <w:rsid w:val="00072114"/>
    <w:rsid w:val="00085A2B"/>
    <w:rsid w:val="000A0074"/>
    <w:rsid w:val="000A3861"/>
    <w:rsid w:val="000A5D31"/>
    <w:rsid w:val="000B1A31"/>
    <w:rsid w:val="000B26B6"/>
    <w:rsid w:val="000C1853"/>
    <w:rsid w:val="000C2F9E"/>
    <w:rsid w:val="000C54A7"/>
    <w:rsid w:val="000D0FD4"/>
    <w:rsid w:val="000D1568"/>
    <w:rsid w:val="000D3AC2"/>
    <w:rsid w:val="000D48ED"/>
    <w:rsid w:val="000D7231"/>
    <w:rsid w:val="000E3248"/>
    <w:rsid w:val="000E6935"/>
    <w:rsid w:val="000F51BF"/>
    <w:rsid w:val="00106F1B"/>
    <w:rsid w:val="001122E8"/>
    <w:rsid w:val="00112315"/>
    <w:rsid w:val="00114CBB"/>
    <w:rsid w:val="00116124"/>
    <w:rsid w:val="00121A58"/>
    <w:rsid w:val="00124FB9"/>
    <w:rsid w:val="00137EE2"/>
    <w:rsid w:val="00141FDB"/>
    <w:rsid w:val="00147514"/>
    <w:rsid w:val="001620DC"/>
    <w:rsid w:val="0017065A"/>
    <w:rsid w:val="00171D52"/>
    <w:rsid w:val="00172771"/>
    <w:rsid w:val="001760CB"/>
    <w:rsid w:val="00176B7E"/>
    <w:rsid w:val="0018199C"/>
    <w:rsid w:val="001864E3"/>
    <w:rsid w:val="0019023B"/>
    <w:rsid w:val="001B29A7"/>
    <w:rsid w:val="001B5F30"/>
    <w:rsid w:val="001B7A58"/>
    <w:rsid w:val="001C5F76"/>
    <w:rsid w:val="001D1971"/>
    <w:rsid w:val="001E12B9"/>
    <w:rsid w:val="001E7500"/>
    <w:rsid w:val="001F78BF"/>
    <w:rsid w:val="002109D0"/>
    <w:rsid w:val="00211C8D"/>
    <w:rsid w:val="002316A6"/>
    <w:rsid w:val="00246668"/>
    <w:rsid w:val="00251210"/>
    <w:rsid w:val="00251233"/>
    <w:rsid w:val="00251583"/>
    <w:rsid w:val="00253B8C"/>
    <w:rsid w:val="002571BD"/>
    <w:rsid w:val="0026297B"/>
    <w:rsid w:val="00262D35"/>
    <w:rsid w:val="00265A63"/>
    <w:rsid w:val="002740A1"/>
    <w:rsid w:val="002872F2"/>
    <w:rsid w:val="00291815"/>
    <w:rsid w:val="002949F1"/>
    <w:rsid w:val="002A530B"/>
    <w:rsid w:val="002B2F20"/>
    <w:rsid w:val="002B411C"/>
    <w:rsid w:val="002B419F"/>
    <w:rsid w:val="002D2BEA"/>
    <w:rsid w:val="002D7FB4"/>
    <w:rsid w:val="002E0E0B"/>
    <w:rsid w:val="002E2FA2"/>
    <w:rsid w:val="002E37C2"/>
    <w:rsid w:val="002E5D7C"/>
    <w:rsid w:val="002F1B0F"/>
    <w:rsid w:val="0030217D"/>
    <w:rsid w:val="00305623"/>
    <w:rsid w:val="00313552"/>
    <w:rsid w:val="00320B63"/>
    <w:rsid w:val="00330AB0"/>
    <w:rsid w:val="0033110C"/>
    <w:rsid w:val="00340580"/>
    <w:rsid w:val="00345652"/>
    <w:rsid w:val="00354633"/>
    <w:rsid w:val="003554D7"/>
    <w:rsid w:val="00360A75"/>
    <w:rsid w:val="00363248"/>
    <w:rsid w:val="00364DB5"/>
    <w:rsid w:val="0037013F"/>
    <w:rsid w:val="00391DAD"/>
    <w:rsid w:val="003A3A5A"/>
    <w:rsid w:val="003A4926"/>
    <w:rsid w:val="003A735A"/>
    <w:rsid w:val="003B0A12"/>
    <w:rsid w:val="003B3F59"/>
    <w:rsid w:val="003C414C"/>
    <w:rsid w:val="003C7CA9"/>
    <w:rsid w:val="003D3978"/>
    <w:rsid w:val="003D6265"/>
    <w:rsid w:val="003E2854"/>
    <w:rsid w:val="003E2F7A"/>
    <w:rsid w:val="003F5FC7"/>
    <w:rsid w:val="00406475"/>
    <w:rsid w:val="004125DF"/>
    <w:rsid w:val="00421B87"/>
    <w:rsid w:val="004267B1"/>
    <w:rsid w:val="004318CD"/>
    <w:rsid w:val="00431E83"/>
    <w:rsid w:val="00437C3B"/>
    <w:rsid w:val="00452042"/>
    <w:rsid w:val="00452080"/>
    <w:rsid w:val="00454D74"/>
    <w:rsid w:val="00462B6A"/>
    <w:rsid w:val="0046561C"/>
    <w:rsid w:val="00473761"/>
    <w:rsid w:val="00485F85"/>
    <w:rsid w:val="004877FB"/>
    <w:rsid w:val="00487A72"/>
    <w:rsid w:val="00490578"/>
    <w:rsid w:val="00495081"/>
    <w:rsid w:val="0049618B"/>
    <w:rsid w:val="004B5F7C"/>
    <w:rsid w:val="004D21D1"/>
    <w:rsid w:val="004E0F68"/>
    <w:rsid w:val="004E2ACF"/>
    <w:rsid w:val="004F67D1"/>
    <w:rsid w:val="00500FF4"/>
    <w:rsid w:val="005102DD"/>
    <w:rsid w:val="00513DF7"/>
    <w:rsid w:val="0052000B"/>
    <w:rsid w:val="00522EBE"/>
    <w:rsid w:val="00523850"/>
    <w:rsid w:val="00524962"/>
    <w:rsid w:val="00533F93"/>
    <w:rsid w:val="00544EA3"/>
    <w:rsid w:val="005454D0"/>
    <w:rsid w:val="00546AD9"/>
    <w:rsid w:val="00552D82"/>
    <w:rsid w:val="0055384A"/>
    <w:rsid w:val="0055573E"/>
    <w:rsid w:val="00556033"/>
    <w:rsid w:val="005747F1"/>
    <w:rsid w:val="0058079B"/>
    <w:rsid w:val="0058285F"/>
    <w:rsid w:val="0058490E"/>
    <w:rsid w:val="00592332"/>
    <w:rsid w:val="005932A1"/>
    <w:rsid w:val="0059636A"/>
    <w:rsid w:val="005A1BE6"/>
    <w:rsid w:val="005A7C76"/>
    <w:rsid w:val="005A7E80"/>
    <w:rsid w:val="005B18EC"/>
    <w:rsid w:val="005B4E99"/>
    <w:rsid w:val="005B7A80"/>
    <w:rsid w:val="005C7F8F"/>
    <w:rsid w:val="005D139E"/>
    <w:rsid w:val="005F18F8"/>
    <w:rsid w:val="00607EBD"/>
    <w:rsid w:val="00612332"/>
    <w:rsid w:val="00627017"/>
    <w:rsid w:val="00642613"/>
    <w:rsid w:val="0064732E"/>
    <w:rsid w:val="00651346"/>
    <w:rsid w:val="006653B8"/>
    <w:rsid w:val="0067159B"/>
    <w:rsid w:val="00672A4D"/>
    <w:rsid w:val="00673347"/>
    <w:rsid w:val="00677B2F"/>
    <w:rsid w:val="0069013B"/>
    <w:rsid w:val="0069406D"/>
    <w:rsid w:val="006A03D6"/>
    <w:rsid w:val="006A5718"/>
    <w:rsid w:val="006B2C9B"/>
    <w:rsid w:val="006B7949"/>
    <w:rsid w:val="006C4769"/>
    <w:rsid w:val="006C65BC"/>
    <w:rsid w:val="006C7285"/>
    <w:rsid w:val="006D0A6F"/>
    <w:rsid w:val="006D0EA4"/>
    <w:rsid w:val="006D3783"/>
    <w:rsid w:val="006D531E"/>
    <w:rsid w:val="006E1360"/>
    <w:rsid w:val="00705E90"/>
    <w:rsid w:val="0070644A"/>
    <w:rsid w:val="00707761"/>
    <w:rsid w:val="00713D42"/>
    <w:rsid w:val="00723438"/>
    <w:rsid w:val="007302A5"/>
    <w:rsid w:val="0073336D"/>
    <w:rsid w:val="00744738"/>
    <w:rsid w:val="00747605"/>
    <w:rsid w:val="00750A3D"/>
    <w:rsid w:val="007526EF"/>
    <w:rsid w:val="007573F6"/>
    <w:rsid w:val="007653A5"/>
    <w:rsid w:val="00765E6C"/>
    <w:rsid w:val="007661E3"/>
    <w:rsid w:val="00775044"/>
    <w:rsid w:val="007803D5"/>
    <w:rsid w:val="00781234"/>
    <w:rsid w:val="00782CE0"/>
    <w:rsid w:val="00783EE4"/>
    <w:rsid w:val="00791630"/>
    <w:rsid w:val="007A049A"/>
    <w:rsid w:val="007A3762"/>
    <w:rsid w:val="007B0724"/>
    <w:rsid w:val="007B2CA8"/>
    <w:rsid w:val="007B4185"/>
    <w:rsid w:val="007B641C"/>
    <w:rsid w:val="007B6DC0"/>
    <w:rsid w:val="007C2E52"/>
    <w:rsid w:val="007C5AAB"/>
    <w:rsid w:val="007F3A6A"/>
    <w:rsid w:val="007F6C69"/>
    <w:rsid w:val="007F6F13"/>
    <w:rsid w:val="007F7253"/>
    <w:rsid w:val="00802280"/>
    <w:rsid w:val="008115FA"/>
    <w:rsid w:val="008210A3"/>
    <w:rsid w:val="00822733"/>
    <w:rsid w:val="00824AD5"/>
    <w:rsid w:val="00824E9C"/>
    <w:rsid w:val="00832857"/>
    <w:rsid w:val="00835106"/>
    <w:rsid w:val="00840653"/>
    <w:rsid w:val="00841E05"/>
    <w:rsid w:val="00843E09"/>
    <w:rsid w:val="00844AA8"/>
    <w:rsid w:val="008630BD"/>
    <w:rsid w:val="00875BBB"/>
    <w:rsid w:val="00885B54"/>
    <w:rsid w:val="00886676"/>
    <w:rsid w:val="00892CA4"/>
    <w:rsid w:val="00894745"/>
    <w:rsid w:val="00895752"/>
    <w:rsid w:val="008A2F73"/>
    <w:rsid w:val="008A575F"/>
    <w:rsid w:val="008A6D8F"/>
    <w:rsid w:val="008B0D14"/>
    <w:rsid w:val="008B6335"/>
    <w:rsid w:val="008D5A80"/>
    <w:rsid w:val="008D6C7D"/>
    <w:rsid w:val="008E3A13"/>
    <w:rsid w:val="008E64BE"/>
    <w:rsid w:val="008F07C2"/>
    <w:rsid w:val="00901614"/>
    <w:rsid w:val="00903EFF"/>
    <w:rsid w:val="009045F3"/>
    <w:rsid w:val="00904F9B"/>
    <w:rsid w:val="0090680C"/>
    <w:rsid w:val="00912E20"/>
    <w:rsid w:val="00915FE1"/>
    <w:rsid w:val="00916A11"/>
    <w:rsid w:val="00920024"/>
    <w:rsid w:val="00925743"/>
    <w:rsid w:val="00934AA6"/>
    <w:rsid w:val="0094781A"/>
    <w:rsid w:val="0095288D"/>
    <w:rsid w:val="00966656"/>
    <w:rsid w:val="00967622"/>
    <w:rsid w:val="009732EE"/>
    <w:rsid w:val="009743CB"/>
    <w:rsid w:val="00977607"/>
    <w:rsid w:val="00985F56"/>
    <w:rsid w:val="00990425"/>
    <w:rsid w:val="0099249D"/>
    <w:rsid w:val="0099336D"/>
    <w:rsid w:val="009A156E"/>
    <w:rsid w:val="009A59CC"/>
    <w:rsid w:val="009B69C9"/>
    <w:rsid w:val="009C02E6"/>
    <w:rsid w:val="009C3997"/>
    <w:rsid w:val="009C5819"/>
    <w:rsid w:val="009D0B2B"/>
    <w:rsid w:val="009D60F5"/>
    <w:rsid w:val="009D6DB4"/>
    <w:rsid w:val="009E1BE9"/>
    <w:rsid w:val="009F4DB4"/>
    <w:rsid w:val="00A12AEA"/>
    <w:rsid w:val="00A20577"/>
    <w:rsid w:val="00A206D5"/>
    <w:rsid w:val="00A31938"/>
    <w:rsid w:val="00A515B3"/>
    <w:rsid w:val="00A51DEC"/>
    <w:rsid w:val="00A54802"/>
    <w:rsid w:val="00A60E59"/>
    <w:rsid w:val="00A61DAB"/>
    <w:rsid w:val="00A62122"/>
    <w:rsid w:val="00A6256F"/>
    <w:rsid w:val="00A74EAB"/>
    <w:rsid w:val="00A75E99"/>
    <w:rsid w:val="00A906AB"/>
    <w:rsid w:val="00A93D12"/>
    <w:rsid w:val="00AA288C"/>
    <w:rsid w:val="00AA6586"/>
    <w:rsid w:val="00AB0432"/>
    <w:rsid w:val="00AB2435"/>
    <w:rsid w:val="00AB53F3"/>
    <w:rsid w:val="00AB55A7"/>
    <w:rsid w:val="00AC7254"/>
    <w:rsid w:val="00AD48DA"/>
    <w:rsid w:val="00AD608C"/>
    <w:rsid w:val="00AE4C0F"/>
    <w:rsid w:val="00AF287E"/>
    <w:rsid w:val="00B00E21"/>
    <w:rsid w:val="00B01688"/>
    <w:rsid w:val="00B0423B"/>
    <w:rsid w:val="00B07706"/>
    <w:rsid w:val="00B11B78"/>
    <w:rsid w:val="00B11D94"/>
    <w:rsid w:val="00B24EEB"/>
    <w:rsid w:val="00B2698A"/>
    <w:rsid w:val="00B27787"/>
    <w:rsid w:val="00B36CC5"/>
    <w:rsid w:val="00B42F36"/>
    <w:rsid w:val="00B44576"/>
    <w:rsid w:val="00B50A7A"/>
    <w:rsid w:val="00B56950"/>
    <w:rsid w:val="00B62101"/>
    <w:rsid w:val="00B64FD2"/>
    <w:rsid w:val="00B67F21"/>
    <w:rsid w:val="00B70639"/>
    <w:rsid w:val="00B73640"/>
    <w:rsid w:val="00B74199"/>
    <w:rsid w:val="00B7435A"/>
    <w:rsid w:val="00B829E3"/>
    <w:rsid w:val="00B90A36"/>
    <w:rsid w:val="00B97FC8"/>
    <w:rsid w:val="00BC301F"/>
    <w:rsid w:val="00BC434D"/>
    <w:rsid w:val="00BC6E65"/>
    <w:rsid w:val="00BD188C"/>
    <w:rsid w:val="00BD4818"/>
    <w:rsid w:val="00BD509F"/>
    <w:rsid w:val="00BD62C8"/>
    <w:rsid w:val="00BD67F8"/>
    <w:rsid w:val="00BE48F9"/>
    <w:rsid w:val="00BF497F"/>
    <w:rsid w:val="00C00C92"/>
    <w:rsid w:val="00C025B8"/>
    <w:rsid w:val="00C13EE2"/>
    <w:rsid w:val="00C14081"/>
    <w:rsid w:val="00C15682"/>
    <w:rsid w:val="00C2320C"/>
    <w:rsid w:val="00C42DEE"/>
    <w:rsid w:val="00C43E69"/>
    <w:rsid w:val="00C5409C"/>
    <w:rsid w:val="00C54403"/>
    <w:rsid w:val="00C5585E"/>
    <w:rsid w:val="00C5758E"/>
    <w:rsid w:val="00C71F33"/>
    <w:rsid w:val="00C77260"/>
    <w:rsid w:val="00C94F8F"/>
    <w:rsid w:val="00CA1152"/>
    <w:rsid w:val="00CA3B0F"/>
    <w:rsid w:val="00CB0413"/>
    <w:rsid w:val="00CB5810"/>
    <w:rsid w:val="00CB7DB2"/>
    <w:rsid w:val="00CD062E"/>
    <w:rsid w:val="00CD06C7"/>
    <w:rsid w:val="00CD4521"/>
    <w:rsid w:val="00CD5BCA"/>
    <w:rsid w:val="00CE203F"/>
    <w:rsid w:val="00CE20A0"/>
    <w:rsid w:val="00CE42E1"/>
    <w:rsid w:val="00D063E0"/>
    <w:rsid w:val="00D07147"/>
    <w:rsid w:val="00D1036A"/>
    <w:rsid w:val="00D12A76"/>
    <w:rsid w:val="00D15266"/>
    <w:rsid w:val="00D16363"/>
    <w:rsid w:val="00D2172D"/>
    <w:rsid w:val="00D22607"/>
    <w:rsid w:val="00D22F84"/>
    <w:rsid w:val="00D26B49"/>
    <w:rsid w:val="00D33A1E"/>
    <w:rsid w:val="00D33D2B"/>
    <w:rsid w:val="00D40B4F"/>
    <w:rsid w:val="00D43072"/>
    <w:rsid w:val="00D4394E"/>
    <w:rsid w:val="00D5019C"/>
    <w:rsid w:val="00D54077"/>
    <w:rsid w:val="00D60DDE"/>
    <w:rsid w:val="00D66146"/>
    <w:rsid w:val="00D703CD"/>
    <w:rsid w:val="00D80EEB"/>
    <w:rsid w:val="00D8231E"/>
    <w:rsid w:val="00DA2897"/>
    <w:rsid w:val="00DB1217"/>
    <w:rsid w:val="00DC4D21"/>
    <w:rsid w:val="00DD3D2C"/>
    <w:rsid w:val="00DD5B0C"/>
    <w:rsid w:val="00DE19E1"/>
    <w:rsid w:val="00DE586F"/>
    <w:rsid w:val="00DF1301"/>
    <w:rsid w:val="00DF35C2"/>
    <w:rsid w:val="00DF4EFC"/>
    <w:rsid w:val="00E10B2A"/>
    <w:rsid w:val="00E14058"/>
    <w:rsid w:val="00E21F43"/>
    <w:rsid w:val="00E25EB7"/>
    <w:rsid w:val="00E3523A"/>
    <w:rsid w:val="00E3732E"/>
    <w:rsid w:val="00E436BA"/>
    <w:rsid w:val="00E44AD6"/>
    <w:rsid w:val="00E50E2A"/>
    <w:rsid w:val="00E519E5"/>
    <w:rsid w:val="00E63397"/>
    <w:rsid w:val="00E64C5C"/>
    <w:rsid w:val="00E65079"/>
    <w:rsid w:val="00E658B8"/>
    <w:rsid w:val="00E664F3"/>
    <w:rsid w:val="00E72FE1"/>
    <w:rsid w:val="00E73C7C"/>
    <w:rsid w:val="00E80133"/>
    <w:rsid w:val="00E836CE"/>
    <w:rsid w:val="00E92988"/>
    <w:rsid w:val="00EA38FA"/>
    <w:rsid w:val="00EA7CDD"/>
    <w:rsid w:val="00EB73E0"/>
    <w:rsid w:val="00EC374B"/>
    <w:rsid w:val="00EC48D5"/>
    <w:rsid w:val="00EC6768"/>
    <w:rsid w:val="00ED2C23"/>
    <w:rsid w:val="00ED3A61"/>
    <w:rsid w:val="00EE0AD0"/>
    <w:rsid w:val="00EE11D8"/>
    <w:rsid w:val="00EE2665"/>
    <w:rsid w:val="00EF4B36"/>
    <w:rsid w:val="00EF5971"/>
    <w:rsid w:val="00F109ED"/>
    <w:rsid w:val="00F14A56"/>
    <w:rsid w:val="00F14F48"/>
    <w:rsid w:val="00F219A4"/>
    <w:rsid w:val="00F26F2C"/>
    <w:rsid w:val="00F3103F"/>
    <w:rsid w:val="00F316F5"/>
    <w:rsid w:val="00F342BD"/>
    <w:rsid w:val="00F440F7"/>
    <w:rsid w:val="00F4472B"/>
    <w:rsid w:val="00F52FFE"/>
    <w:rsid w:val="00F60094"/>
    <w:rsid w:val="00F6428A"/>
    <w:rsid w:val="00F71F0E"/>
    <w:rsid w:val="00F756AF"/>
    <w:rsid w:val="00F861AE"/>
    <w:rsid w:val="00F918CC"/>
    <w:rsid w:val="00F97EDC"/>
    <w:rsid w:val="00FA6AA8"/>
    <w:rsid w:val="00FB0963"/>
    <w:rsid w:val="00FC0826"/>
    <w:rsid w:val="00FC2B9A"/>
    <w:rsid w:val="00FE200A"/>
    <w:rsid w:val="00FE40F3"/>
    <w:rsid w:val="00FF5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610E5AAC-27DE-4A32-A293-D2110350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02"/>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qFormat/>
    <w:rsid w:val="009F4DB4"/>
    <w:pPr>
      <w:tabs>
        <w:tab w:val="clear" w:pos="1615"/>
      </w:tabs>
      <w:spacing w:after="100"/>
    </w:pPr>
  </w:style>
  <w:style w:type="paragraph" w:styleId="Sumrio2">
    <w:name w:val="toc 2"/>
    <w:basedOn w:val="Normal"/>
    <w:next w:val="Normal"/>
    <w:autoRedefine/>
    <w:uiPriority w:val="39"/>
    <w:unhideWhenUsed/>
    <w:qFormat/>
    <w:rsid w:val="009F4DB4"/>
    <w:pPr>
      <w:tabs>
        <w:tab w:val="clear" w:pos="1615"/>
      </w:tabs>
      <w:spacing w:after="100"/>
      <w:ind w:left="240"/>
    </w:pPr>
  </w:style>
  <w:style w:type="paragraph" w:styleId="Sumrio3">
    <w:name w:val="toc 3"/>
    <w:basedOn w:val="Normal"/>
    <w:next w:val="Normal"/>
    <w:autoRedefine/>
    <w:uiPriority w:val="39"/>
    <w:unhideWhenUsed/>
    <w:qFormat/>
    <w:rsid w:val="00E14058"/>
    <w:pPr>
      <w:tabs>
        <w:tab w:val="clear" w:pos="1615"/>
        <w:tab w:val="left" w:pos="1320"/>
        <w:tab w:val="right" w:pos="9628"/>
      </w:tabs>
      <w:spacing w:after="100"/>
      <w:ind w:left="480"/>
    </w:pPr>
    <w:rPr>
      <w:noProof/>
    </w:r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semiHidden/>
    <w:unhideWhenUsed/>
    <w:rsid w:val="007653A5"/>
    <w:rPr>
      <w:sz w:val="20"/>
      <w:szCs w:val="20"/>
    </w:rPr>
  </w:style>
  <w:style w:type="character" w:customStyle="1" w:styleId="TextodecomentrioChar">
    <w:name w:val="Texto de comentário Char"/>
    <w:basedOn w:val="Fontepargpadro"/>
    <w:link w:val="Textodecomentrio"/>
    <w:uiPriority w:val="99"/>
    <w:semiHidden/>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MenoPendente1">
    <w:name w:val="Menção Pendente1"/>
    <w:basedOn w:val="Fontepargpadro"/>
    <w:uiPriority w:val="99"/>
    <w:semiHidden/>
    <w:unhideWhenUsed/>
    <w:rsid w:val="00782CE0"/>
    <w:rPr>
      <w:color w:val="605E5C"/>
      <w:shd w:val="clear" w:color="auto" w:fill="E1DFDD"/>
    </w:rPr>
  </w:style>
  <w:style w:type="numbering" w:customStyle="1" w:styleId="Semlista1">
    <w:name w:val="Sem lista1"/>
    <w:next w:val="Semlista"/>
    <w:uiPriority w:val="99"/>
    <w:semiHidden/>
    <w:unhideWhenUsed/>
    <w:rsid w:val="001C5F76"/>
  </w:style>
  <w:style w:type="table" w:customStyle="1" w:styleId="Tabelacomgrade2">
    <w:name w:val="Tabela com grade2"/>
    <w:basedOn w:val="Tabelanormal"/>
    <w:next w:val="Tabelacomgrade"/>
    <w:uiPriority w:val="59"/>
    <w:rsid w:val="001C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11">
    <w:name w:val="Tabela de Grade 411"/>
    <w:basedOn w:val="Tabelanormal"/>
    <w:uiPriority w:val="49"/>
    <w:rsid w:val="001C5F76"/>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1">
    <w:name w:val="Tabela de Grade 4 - Ênfase 211"/>
    <w:basedOn w:val="Tabelanormal"/>
    <w:uiPriority w:val="49"/>
    <w:rsid w:val="001C5F76"/>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1">
    <w:name w:val="Tabela de Grade 4 - Ênfase 411"/>
    <w:basedOn w:val="Tabelanormal"/>
    <w:uiPriority w:val="49"/>
    <w:rsid w:val="001C5F76"/>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table" w:customStyle="1" w:styleId="TabeladeGrade1Clara11">
    <w:name w:val="Tabela de Grade 1 Clara11"/>
    <w:basedOn w:val="Tabelanormal"/>
    <w:uiPriority w:val="46"/>
    <w:rsid w:val="001C5F76"/>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1">
    <w:name w:val="Simples Tabela 211"/>
    <w:basedOn w:val="Tabelanormal"/>
    <w:uiPriority w:val="42"/>
    <w:rsid w:val="001C5F76"/>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table" w:customStyle="1" w:styleId="TabeladeLista1Clara-nfase111">
    <w:name w:val="Tabela de Lista 1 Clara - Ênfase 111"/>
    <w:basedOn w:val="Tabelanormal"/>
    <w:uiPriority w:val="46"/>
    <w:rsid w:val="001C5F76"/>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1">
    <w:name w:val="Tabela de Lista 4 - Ênfase 111"/>
    <w:basedOn w:val="Tabelanormal"/>
    <w:uiPriority w:val="49"/>
    <w:rsid w:val="001C5F76"/>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1">
    <w:name w:val="Tabela de Lista 411"/>
    <w:basedOn w:val="Tabelanormal"/>
    <w:uiPriority w:val="49"/>
    <w:rsid w:val="001C5F76"/>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1">
    <w:name w:val="Cebraspe1"/>
    <w:basedOn w:val="Tabelanormal"/>
    <w:uiPriority w:val="99"/>
    <w:rsid w:val="001C5F76"/>
    <w:pPr>
      <w:spacing w:after="0" w:line="240" w:lineRule="auto"/>
    </w:pPr>
    <w:tblPr/>
  </w:style>
  <w:style w:type="table" w:customStyle="1" w:styleId="TabeladeLista4-nfase211">
    <w:name w:val="Tabela de Lista 4 - Ênfase 211"/>
    <w:basedOn w:val="Tabelanormal"/>
    <w:uiPriority w:val="49"/>
    <w:rsid w:val="001C5F76"/>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1">
    <w:name w:val="Tabela de Lista 4 - Ênfase 311"/>
    <w:basedOn w:val="Tabelanormal"/>
    <w:uiPriority w:val="49"/>
    <w:rsid w:val="001C5F76"/>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1">
    <w:name w:val="Tabela de Lista 6 Colorida - Ênfase 311"/>
    <w:basedOn w:val="Tabelanormal"/>
    <w:uiPriority w:val="51"/>
    <w:rsid w:val="001C5F76"/>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comgrade11">
    <w:name w:val="Tabela com grade11"/>
    <w:basedOn w:val="Tabelanormal"/>
    <w:uiPriority w:val="39"/>
    <w:rsid w:val="001C5F76"/>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1C5F76"/>
    <w:pPr>
      <w:tabs>
        <w:tab w:val="clear" w:pos="1615"/>
      </w:tabs>
      <w:spacing w:after="0"/>
    </w:pPr>
    <w:rPr>
      <w:rFonts w:asciiTheme="minorHAnsi" w:eastAsiaTheme="minorEastAsia" w:hAnsiTheme="minorHAnsi"/>
      <w:sz w:val="24"/>
      <w:szCs w:val="24"/>
    </w:rPr>
  </w:style>
  <w:style w:type="character" w:customStyle="1" w:styleId="TextodenotaderodapChar">
    <w:name w:val="Texto de nota de rodapé Char"/>
    <w:basedOn w:val="Fontepargpadro"/>
    <w:link w:val="Textodenotaderodap"/>
    <w:uiPriority w:val="99"/>
    <w:rsid w:val="001C5F76"/>
    <w:rPr>
      <w:rFonts w:eastAsiaTheme="minorEastAsia"/>
      <w:sz w:val="24"/>
      <w:szCs w:val="24"/>
    </w:rPr>
  </w:style>
  <w:style w:type="character" w:styleId="Refdenotaderodap">
    <w:name w:val="footnote reference"/>
    <w:basedOn w:val="Fontepargpadro"/>
    <w:uiPriority w:val="99"/>
    <w:unhideWhenUsed/>
    <w:rsid w:val="001C5F76"/>
    <w:rPr>
      <w:vertAlign w:val="superscript"/>
    </w:rPr>
  </w:style>
  <w:style w:type="character" w:styleId="HiperlinkVisitado">
    <w:name w:val="FollowedHyperlink"/>
    <w:basedOn w:val="Fontepargpadro"/>
    <w:uiPriority w:val="99"/>
    <w:semiHidden/>
    <w:unhideWhenUsed/>
    <w:rsid w:val="001C5F76"/>
    <w:rPr>
      <w:color w:val="800080"/>
      <w:u w:val="single"/>
    </w:rPr>
  </w:style>
  <w:style w:type="paragraph" w:customStyle="1" w:styleId="xl100">
    <w:name w:val="xl100"/>
    <w:basedOn w:val="Normal"/>
    <w:rsid w:val="001C5F76"/>
    <w:pPr>
      <w:tabs>
        <w:tab w:val="clear" w:pos="1615"/>
      </w:tabs>
      <w:spacing w:before="100" w:beforeAutospacing="1" w:after="100" w:afterAutospacing="1"/>
    </w:pPr>
    <w:rPr>
      <w:rFonts w:ascii="Arial Narrow" w:eastAsia="Times New Roman" w:hAnsi="Arial Narrow" w:cs="Times New Roman"/>
      <w:sz w:val="24"/>
      <w:szCs w:val="24"/>
      <w:lang w:eastAsia="pt-BR"/>
    </w:rPr>
  </w:style>
  <w:style w:type="paragraph" w:customStyle="1" w:styleId="xl101">
    <w:name w:val="xl101"/>
    <w:basedOn w:val="Normal"/>
    <w:rsid w:val="001C5F76"/>
    <w:pP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102">
    <w:name w:val="xl102"/>
    <w:basedOn w:val="Normal"/>
    <w:rsid w:val="001C5F76"/>
    <w:pPr>
      <w:shd w:val="clear" w:color="000000" w:fill="CFCFCF"/>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103">
    <w:name w:val="xl103"/>
    <w:basedOn w:val="Normal"/>
    <w:rsid w:val="001C5F76"/>
    <w:pPr>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104">
    <w:name w:val="xl104"/>
    <w:basedOn w:val="Normal"/>
    <w:rsid w:val="001C5F76"/>
    <w:pP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105">
    <w:name w:val="xl105"/>
    <w:basedOn w:val="Normal"/>
    <w:rsid w:val="001C5F76"/>
    <w:pPr>
      <w:shd w:val="clear" w:color="000000" w:fill="CFCFCF"/>
      <w:tabs>
        <w:tab w:val="clear" w:pos="1615"/>
      </w:tabs>
      <w:spacing w:before="100" w:beforeAutospacing="1" w:after="100" w:afterAutospacing="1"/>
    </w:pPr>
    <w:rPr>
      <w:rFonts w:ascii="Arial Narrow" w:eastAsia="Times New Roman" w:hAnsi="Arial Narrow" w:cs="Times New Roman"/>
      <w:sz w:val="18"/>
      <w:szCs w:val="18"/>
      <w:lang w:eastAsia="pt-BR"/>
    </w:rPr>
  </w:style>
  <w:style w:type="character" w:customStyle="1" w:styleId="indicador-unidade">
    <w:name w:val="indicador-unidade"/>
    <w:basedOn w:val="Fontepargpadro"/>
    <w:rsid w:val="001C5F76"/>
  </w:style>
  <w:style w:type="character" w:customStyle="1" w:styleId="tooltip">
    <w:name w:val="tooltip"/>
    <w:basedOn w:val="Fontepargpadro"/>
    <w:rsid w:val="001C5F76"/>
  </w:style>
  <w:style w:type="paragraph" w:customStyle="1" w:styleId="plain">
    <w:name w:val="plain"/>
    <w:basedOn w:val="Normal"/>
    <w:uiPriority w:val="99"/>
    <w:rsid w:val="001C5F76"/>
    <w:pPr>
      <w:tabs>
        <w:tab w:val="clear" w:pos="1615"/>
      </w:tabs>
      <w:spacing w:before="100" w:beforeAutospacing="1" w:after="100" w:afterAutospacing="1"/>
    </w:pPr>
    <w:rPr>
      <w:rFonts w:ascii="Times" w:eastAsiaTheme="minorEastAsia" w:hAnsi="Times"/>
      <w:sz w:val="20"/>
      <w:szCs w:val="20"/>
    </w:rPr>
  </w:style>
  <w:style w:type="paragraph" w:customStyle="1" w:styleId="Tabela">
    <w:name w:val="Tabela"/>
    <w:basedOn w:val="Normal"/>
    <w:qFormat/>
    <w:rsid w:val="001C5F76"/>
    <w:pPr>
      <w:tabs>
        <w:tab w:val="clear" w:pos="1615"/>
      </w:tabs>
      <w:spacing w:after="0"/>
      <w:jc w:val="both"/>
    </w:pPr>
    <w:rPr>
      <w:rFonts w:ascii="UnB Office" w:hAnsi="UnB Office"/>
      <w:b/>
    </w:rPr>
  </w:style>
  <w:style w:type="paragraph" w:styleId="Corpodetexto">
    <w:name w:val="Body Text"/>
    <w:basedOn w:val="Normal"/>
    <w:link w:val="CorpodetextoChar"/>
    <w:uiPriority w:val="1"/>
    <w:qFormat/>
    <w:rsid w:val="001C5F76"/>
    <w:pPr>
      <w:widowControl w:val="0"/>
      <w:tabs>
        <w:tab w:val="clear" w:pos="1615"/>
      </w:tabs>
      <w:autoSpaceDE w:val="0"/>
      <w:autoSpaceDN w:val="0"/>
      <w:spacing w:after="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C5F76"/>
    <w:rPr>
      <w:rFonts w:ascii="Arial" w:eastAsia="Arial" w:hAnsi="Arial" w:cs="Arial"/>
      <w:sz w:val="24"/>
      <w:szCs w:val="24"/>
      <w:lang w:val="pt-PT"/>
    </w:rPr>
  </w:style>
  <w:style w:type="paragraph" w:styleId="Textodenotadefim">
    <w:name w:val="endnote text"/>
    <w:basedOn w:val="Normal"/>
    <w:link w:val="TextodenotadefimChar"/>
    <w:uiPriority w:val="99"/>
    <w:semiHidden/>
    <w:unhideWhenUsed/>
    <w:rsid w:val="001C5F76"/>
    <w:pPr>
      <w:spacing w:after="0"/>
    </w:pPr>
    <w:rPr>
      <w:sz w:val="20"/>
      <w:szCs w:val="20"/>
    </w:rPr>
  </w:style>
  <w:style w:type="character" w:customStyle="1" w:styleId="TextodenotadefimChar">
    <w:name w:val="Texto de nota de fim Char"/>
    <w:basedOn w:val="Fontepargpadro"/>
    <w:link w:val="Textodenotadefim"/>
    <w:uiPriority w:val="99"/>
    <w:semiHidden/>
    <w:rsid w:val="001C5F76"/>
    <w:rPr>
      <w:rFonts w:ascii="Calibri Light" w:hAnsi="Calibri Light"/>
      <w:sz w:val="20"/>
      <w:szCs w:val="20"/>
    </w:rPr>
  </w:style>
  <w:style w:type="character" w:styleId="Refdenotadefim">
    <w:name w:val="endnote reference"/>
    <w:basedOn w:val="Fontepargpadro"/>
    <w:uiPriority w:val="99"/>
    <w:semiHidden/>
    <w:unhideWhenUsed/>
    <w:rsid w:val="001C5F76"/>
    <w:rPr>
      <w:vertAlign w:val="superscript"/>
    </w:rPr>
  </w:style>
  <w:style w:type="paragraph" w:customStyle="1" w:styleId="sub-subsec">
    <w:name w:val="sub-subsec"/>
    <w:basedOn w:val="Normal"/>
    <w:rsid w:val="001C5F76"/>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categoria">
    <w:name w:val="categoria"/>
    <w:basedOn w:val="Normal"/>
    <w:rsid w:val="001C5F76"/>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tulo10">
    <w:name w:val="Título1"/>
    <w:basedOn w:val="Normal"/>
    <w:uiPriority w:val="99"/>
    <w:qFormat/>
    <w:rsid w:val="001C5F76"/>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author">
    <w:name w:val="author"/>
    <w:basedOn w:val="Normal"/>
    <w:rsid w:val="001C5F76"/>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author-name">
    <w:name w:val="author-name"/>
    <w:basedOn w:val="Fontepargpadro"/>
    <w:rsid w:val="001C5F76"/>
  </w:style>
  <w:style w:type="character" w:customStyle="1" w:styleId="contribid">
    <w:name w:val="contribid"/>
    <w:basedOn w:val="Fontepargpadro"/>
    <w:rsid w:val="001C5F76"/>
  </w:style>
  <w:style w:type="table" w:customStyle="1" w:styleId="TabeladeGrade5Escura-nfase51">
    <w:name w:val="Tabela de Grade 5 Escura - Ênfase 51"/>
    <w:basedOn w:val="Tabelanormal"/>
    <w:uiPriority w:val="50"/>
    <w:rsid w:val="001C5F76"/>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3C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3C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3C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3C3C" w:themeFill="accent5"/>
      </w:tcPr>
    </w:tblStylePr>
    <w:tblStylePr w:type="band1Vert">
      <w:tblPr/>
      <w:tcPr>
        <w:shd w:val="clear" w:color="auto" w:fill="B1B1B1" w:themeFill="accent5" w:themeFillTint="66"/>
      </w:tcPr>
    </w:tblStylePr>
    <w:tblStylePr w:type="band1Horz">
      <w:tblPr/>
      <w:tcPr>
        <w:shd w:val="clear" w:color="auto" w:fill="B1B1B1" w:themeFill="accent5" w:themeFillTint="66"/>
      </w:tcPr>
    </w:tblStylePr>
  </w:style>
  <w:style w:type="paragraph" w:customStyle="1" w:styleId="xl63">
    <w:name w:val="xl63"/>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sz w:val="18"/>
      <w:szCs w:val="18"/>
      <w:lang w:eastAsia="pt-BR"/>
    </w:rPr>
  </w:style>
  <w:style w:type="paragraph" w:customStyle="1" w:styleId="xl64">
    <w:name w:val="xl64"/>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b/>
      <w:bCs/>
      <w:sz w:val="18"/>
      <w:szCs w:val="18"/>
      <w:lang w:eastAsia="pt-BR"/>
    </w:rPr>
  </w:style>
  <w:style w:type="paragraph" w:customStyle="1" w:styleId="xl65">
    <w:name w:val="xl65"/>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xl66">
    <w:name w:val="xl66"/>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center"/>
      <w:textAlignment w:val="center"/>
    </w:pPr>
    <w:rPr>
      <w:rFonts w:ascii="Arial Narrow" w:eastAsia="Times New Roman" w:hAnsi="Arial Narrow" w:cs="Times New Roman"/>
      <w:sz w:val="18"/>
      <w:szCs w:val="18"/>
      <w:lang w:eastAsia="pt-BR"/>
    </w:rPr>
  </w:style>
  <w:style w:type="paragraph" w:customStyle="1" w:styleId="xl67">
    <w:name w:val="xl67"/>
    <w:basedOn w:val="Normal"/>
    <w:rsid w:val="001C5F76"/>
    <w:pPr>
      <w:pBdr>
        <w:top w:val="single" w:sz="4" w:space="0" w:color="auto"/>
        <w:left w:val="single" w:sz="4" w:space="0" w:color="auto"/>
        <w:bottom w:val="single" w:sz="4" w:space="0" w:color="auto"/>
        <w:right w:val="single" w:sz="4" w:space="0" w:color="auto"/>
      </w:pBdr>
      <w:shd w:val="clear" w:color="000000" w:fill="993366"/>
      <w:tabs>
        <w:tab w:val="clear" w:pos="1615"/>
      </w:tabs>
      <w:spacing w:before="100" w:beforeAutospacing="1" w:after="100" w:afterAutospacing="1"/>
    </w:pPr>
    <w:rPr>
      <w:rFonts w:ascii="Arial Narrow" w:eastAsia="Times New Roman" w:hAnsi="Arial Narrow" w:cs="Times New Roman"/>
      <w:sz w:val="20"/>
      <w:szCs w:val="20"/>
      <w:lang w:eastAsia="pt-BR"/>
    </w:rPr>
  </w:style>
  <w:style w:type="paragraph" w:customStyle="1" w:styleId="xl68">
    <w:name w:val="xl68"/>
    <w:basedOn w:val="Normal"/>
    <w:rsid w:val="001C5F76"/>
    <w:pPr>
      <w:pBdr>
        <w:top w:val="single" w:sz="4" w:space="0" w:color="auto"/>
        <w:left w:val="single" w:sz="4" w:space="0" w:color="auto"/>
        <w:bottom w:val="single" w:sz="4" w:space="0" w:color="auto"/>
        <w:right w:val="single" w:sz="4" w:space="0" w:color="auto"/>
      </w:pBdr>
      <w:shd w:val="clear" w:color="000000" w:fill="993366"/>
      <w:tabs>
        <w:tab w:val="clear" w:pos="1615"/>
      </w:tabs>
      <w:spacing w:before="100" w:beforeAutospacing="1" w:after="100" w:afterAutospacing="1"/>
      <w:jc w:val="right"/>
    </w:pPr>
    <w:rPr>
      <w:rFonts w:ascii="Arial Narrow" w:eastAsia="Times New Roman" w:hAnsi="Arial Narrow" w:cs="Times New Roman"/>
      <w:sz w:val="20"/>
      <w:szCs w:val="20"/>
      <w:lang w:eastAsia="pt-BR"/>
    </w:rPr>
  </w:style>
  <w:style w:type="paragraph" w:customStyle="1" w:styleId="xl69">
    <w:name w:val="xl69"/>
    <w:basedOn w:val="Normal"/>
    <w:rsid w:val="001C5F76"/>
    <w:pPr>
      <w:pBdr>
        <w:top w:val="single" w:sz="4" w:space="0" w:color="auto"/>
        <w:left w:val="single" w:sz="4" w:space="0" w:color="auto"/>
        <w:bottom w:val="single" w:sz="4" w:space="0" w:color="auto"/>
        <w:right w:val="single" w:sz="4" w:space="0" w:color="auto"/>
      </w:pBdr>
      <w:shd w:val="clear" w:color="000000" w:fill="CC99FF"/>
      <w:tabs>
        <w:tab w:val="clear" w:pos="1615"/>
      </w:tabs>
      <w:spacing w:before="100" w:beforeAutospacing="1" w:after="100" w:afterAutospacing="1"/>
      <w:jc w:val="right"/>
    </w:pPr>
    <w:rPr>
      <w:rFonts w:ascii="Arial Narrow" w:eastAsia="Times New Roman" w:hAnsi="Arial Narrow" w:cs="Times New Roman"/>
      <w:sz w:val="20"/>
      <w:szCs w:val="20"/>
      <w:lang w:eastAsia="pt-BR"/>
    </w:rPr>
  </w:style>
  <w:style w:type="paragraph" w:customStyle="1" w:styleId="xl70">
    <w:name w:val="xl70"/>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Arial Narrow" w:eastAsia="Times New Roman" w:hAnsi="Arial Narrow" w:cs="Times New Roman"/>
      <w:sz w:val="18"/>
      <w:szCs w:val="18"/>
      <w:lang w:eastAsia="pt-BR"/>
    </w:rPr>
  </w:style>
  <w:style w:type="paragraph" w:customStyle="1" w:styleId="xl71">
    <w:name w:val="xl71"/>
    <w:basedOn w:val="Normal"/>
    <w:rsid w:val="001C5F76"/>
    <w:pPr>
      <w:pBdr>
        <w:top w:val="single" w:sz="4" w:space="0" w:color="auto"/>
        <w:left w:val="single" w:sz="4" w:space="0" w:color="auto"/>
        <w:bottom w:val="single" w:sz="4" w:space="0" w:color="auto"/>
        <w:right w:val="single" w:sz="4" w:space="0" w:color="auto"/>
      </w:pBdr>
      <w:shd w:val="clear" w:color="000000" w:fill="CC99FF"/>
      <w:tabs>
        <w:tab w:val="clear" w:pos="1615"/>
      </w:tabs>
      <w:spacing w:before="100" w:beforeAutospacing="1" w:after="100" w:afterAutospacing="1"/>
      <w:jc w:val="right"/>
    </w:pPr>
    <w:rPr>
      <w:rFonts w:ascii="Arial Narrow" w:eastAsia="Times New Roman" w:hAnsi="Arial Narrow" w:cs="Times New Roman"/>
      <w:sz w:val="18"/>
      <w:szCs w:val="18"/>
      <w:lang w:eastAsia="pt-BR"/>
    </w:rPr>
  </w:style>
  <w:style w:type="paragraph" w:customStyle="1" w:styleId="xl72">
    <w:name w:val="xl72"/>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pPr>
    <w:rPr>
      <w:rFonts w:ascii="Arial Narrow" w:eastAsia="Times New Roman" w:hAnsi="Arial Narrow" w:cs="Times New Roman"/>
      <w:sz w:val="16"/>
      <w:szCs w:val="16"/>
      <w:lang w:eastAsia="pt-BR"/>
    </w:rPr>
  </w:style>
  <w:style w:type="paragraph" w:customStyle="1" w:styleId="xl73">
    <w:name w:val="xl73"/>
    <w:basedOn w:val="Normal"/>
    <w:rsid w:val="001C5F76"/>
    <w:pPr>
      <w:pBdr>
        <w:top w:val="single" w:sz="4" w:space="0" w:color="auto"/>
        <w:left w:val="single" w:sz="4" w:space="0" w:color="auto"/>
        <w:bottom w:val="single" w:sz="4" w:space="0" w:color="auto"/>
        <w:right w:val="single" w:sz="4" w:space="0" w:color="auto"/>
      </w:pBdr>
      <w:tabs>
        <w:tab w:val="clear" w:pos="1615"/>
      </w:tabs>
      <w:spacing w:before="100" w:beforeAutospacing="1" w:after="100" w:afterAutospacing="1"/>
      <w:jc w:val="right"/>
    </w:pPr>
    <w:rPr>
      <w:rFonts w:ascii="Arial Narrow" w:eastAsia="Times New Roman" w:hAnsi="Arial Narrow" w:cs="Times New Roman"/>
      <w:sz w:val="16"/>
      <w:szCs w:val="16"/>
      <w:lang w:eastAsia="pt-BR"/>
    </w:rPr>
  </w:style>
  <w:style w:type="paragraph" w:customStyle="1" w:styleId="p1">
    <w:name w:val="p1"/>
    <w:basedOn w:val="Normal"/>
    <w:uiPriority w:val="99"/>
    <w:rsid w:val="001C5F76"/>
    <w:pPr>
      <w:tabs>
        <w:tab w:val="clear" w:pos="1615"/>
      </w:tabs>
      <w:spacing w:after="0"/>
    </w:pPr>
    <w:rPr>
      <w:rFonts w:ascii="Calibri" w:hAnsi="Calibri" w:cs="Times New Roman"/>
      <w:sz w:val="18"/>
      <w:szCs w:val="18"/>
    </w:rPr>
  </w:style>
  <w:style w:type="table" w:customStyle="1" w:styleId="TabeladeGrade5Escura-nfase11">
    <w:name w:val="Tabela de Grade 5 Escura - Ênfase 11"/>
    <w:basedOn w:val="Tabelanormal"/>
    <w:uiPriority w:val="50"/>
    <w:rsid w:val="001C5F76"/>
    <w:pPr>
      <w:spacing w:after="0" w:line="240" w:lineRule="auto"/>
      <w:jc w:val="both"/>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5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5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5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5BD" w:themeFill="accent1"/>
      </w:tcPr>
    </w:tblStylePr>
    <w:tblStylePr w:type="band1Vert">
      <w:tblPr/>
      <w:tcPr>
        <w:shd w:val="clear" w:color="auto" w:fill="B5C7E4" w:themeFill="accent1" w:themeFillTint="66"/>
      </w:tcPr>
    </w:tblStylePr>
    <w:tblStylePr w:type="band1Horz">
      <w:tblPr/>
      <w:tcPr>
        <w:shd w:val="clear" w:color="auto" w:fill="B5C7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r.admin.ox.ac.uk/hr-governance" TargetMode="External"/><Relationship Id="rId299" Type="http://schemas.openxmlformats.org/officeDocument/2006/relationships/hyperlink" Target="https://www.ox.ac.uk/sites/files/oxford/media_wysiwyg/University%20of%20Oxford%20-%20Public%20Engagement%20with%20Research%20Strategic%20Plan.pdf" TargetMode="External"/><Relationship Id="rId303" Type="http://schemas.openxmlformats.org/officeDocument/2006/relationships/hyperlink" Target="https://researchsupport.admin.ox.ac.uk/funding/rp" TargetMode="External"/><Relationship Id="rId21" Type="http://schemas.openxmlformats.org/officeDocument/2006/relationships/hyperlink" Target="https://www.ox.ac.uk/students/life/studentrecord" TargetMode="External"/><Relationship Id="rId42" Type="http://schemas.openxmlformats.org/officeDocument/2006/relationships/hyperlink" Target="https://www.ox.ac.uk/admissions/undergraduate/student-life/exceptional-education/personalised-learning" TargetMode="External"/><Relationship Id="rId63" Type="http://schemas.openxmlformats.org/officeDocument/2006/relationships/hyperlink" Target="https://conference-oxford.com/about/weddings" TargetMode="External"/><Relationship Id="rId84" Type="http://schemas.openxmlformats.org/officeDocument/2006/relationships/image" Target="media/image16.jpeg"/><Relationship Id="rId138" Type="http://schemas.openxmlformats.org/officeDocument/2006/relationships/hyperlink" Target="https://www.leidenranking.com/ranking/2021/list" TargetMode="External"/><Relationship Id="rId159" Type="http://schemas.openxmlformats.org/officeDocument/2006/relationships/hyperlink" Target="https://www.ox.ac.uk/sites/files/oxford/UniversityOfOxford_APP_2020-21.pdf" TargetMode="External"/><Relationship Id="rId324" Type="http://schemas.openxmlformats.org/officeDocument/2006/relationships/hyperlink" Target="https://www.oxentia.com/" TargetMode="External"/><Relationship Id="rId345" Type="http://schemas.openxmlformats.org/officeDocument/2006/relationships/fontTable" Target="fontTable.xml"/><Relationship Id="rId170" Type="http://schemas.openxmlformats.org/officeDocument/2006/relationships/hyperlink" Target="https://www.ox.ac.uk/local-community/get-involved" TargetMode="External"/><Relationship Id="rId191" Type="http://schemas.openxmlformats.org/officeDocument/2006/relationships/hyperlink" Target="https://www.mpls.ox.ac.uk/our-team/industry-links" TargetMode="External"/><Relationship Id="rId205" Type="http://schemas.openxmlformats.org/officeDocument/2006/relationships/hyperlink" Target="http://www.oxfordsp.com/contact-us/" TargetMode="External"/><Relationship Id="rId226" Type="http://schemas.openxmlformats.org/officeDocument/2006/relationships/hyperlink" Target="https://edu.admin.ox.ac.uk/files/raceequalitycharteractionplanfinalpdf" TargetMode="External"/><Relationship Id="rId247" Type="http://schemas.openxmlformats.org/officeDocument/2006/relationships/hyperlink" Target="https://governance.admin.ox.ac.uk/governance" TargetMode="External"/><Relationship Id="rId107" Type="http://schemas.openxmlformats.org/officeDocument/2006/relationships/hyperlink" Target="https://www.oxford.gov.uk/info/20133/geography/456/geography_of_oxford" TargetMode="External"/><Relationship Id="rId268" Type="http://schemas.openxmlformats.org/officeDocument/2006/relationships/hyperlink" Target="https://compliance.web.ox.ac.uk/freedom-of-speech" TargetMode="External"/><Relationship Id="rId289" Type="http://schemas.openxmlformats.org/officeDocument/2006/relationships/hyperlink" Target="https://weblearn.ox.ac.uk/portal" TargetMode="External"/><Relationship Id="rId11" Type="http://schemas.openxmlformats.org/officeDocument/2006/relationships/image" Target="media/image1.jpg"/><Relationship Id="rId32" Type="http://schemas.openxmlformats.org/officeDocument/2006/relationships/hyperlink" Target="https://hr.admin.ox.ac.uk/introduction-support-staff-handbook" TargetMode="External"/><Relationship Id="rId53" Type="http://schemas.openxmlformats.org/officeDocument/2006/relationships/hyperlink" Target="https://www.ox.ac.uk/research/public-engagement/engagement-opportunities" TargetMode="External"/><Relationship Id="rId74" Type="http://schemas.openxmlformats.org/officeDocument/2006/relationships/hyperlink" Target="https://www.medsci.ox.ac.uk/divisional-services/support-services-1/business-partnerships-office" TargetMode="External"/><Relationship Id="rId128" Type="http://schemas.openxmlformats.org/officeDocument/2006/relationships/hyperlink" Target="http://www.conted.ox.ac.uk" TargetMode="External"/><Relationship Id="rId149" Type="http://schemas.openxmlformats.org/officeDocument/2006/relationships/hyperlink" Target="https://academic.admin.ox.ac.uk/undergraduate-admissions" TargetMode="External"/><Relationship Id="rId314" Type="http://schemas.openxmlformats.org/officeDocument/2006/relationships/hyperlink" Target="https://www.medsci.ox.ac.uk/divisional-services/support-services-1/business-partnerships-office" TargetMode="External"/><Relationship Id="rId335" Type="http://schemas.openxmlformats.org/officeDocument/2006/relationships/hyperlink" Target="https://www.ox.ac.uk/sites/files/oxford/8%20Economic%20Impact%20Commercialisation.pdf" TargetMode="External"/><Relationship Id="rId5" Type="http://schemas.openxmlformats.org/officeDocument/2006/relationships/numbering" Target="numbering.xml"/><Relationship Id="rId95" Type="http://schemas.openxmlformats.org/officeDocument/2006/relationships/hyperlink" Target="https://nqit.ox.ac.uk/content/spin-out-technologies.html" TargetMode="External"/><Relationship Id="rId160" Type="http://schemas.openxmlformats.org/officeDocument/2006/relationships/hyperlink" Target="https://www.research.ox.ac.uk/map" TargetMode="External"/><Relationship Id="rId181" Type="http://schemas.openxmlformats.org/officeDocument/2006/relationships/hyperlink" Target="https://www.careers.ox.ac.uk/internship-experience" TargetMode="External"/><Relationship Id="rId216" Type="http://schemas.openxmlformats.org/officeDocument/2006/relationships/hyperlink" Target="https://www.ox.ac.uk/about/facts-and-figures/admissions-statistics/undergraduate-students/current/disadvantage" TargetMode="External"/><Relationship Id="rId237" Type="http://schemas.openxmlformats.org/officeDocument/2006/relationships/hyperlink" Target="https://www.ox.ac.uk/about/organisation/finance-and-funding/financial-statements-oxford-colleges-2019-20" TargetMode="External"/><Relationship Id="rId258" Type="http://schemas.openxmlformats.org/officeDocument/2006/relationships/hyperlink" Target="https://academic.admin.ox.ac.uk/graduate-supervision-reporting-gsr" TargetMode="External"/><Relationship Id="rId279" Type="http://schemas.openxmlformats.org/officeDocument/2006/relationships/hyperlink" Target="https://www.ox.ac.uk/admissions/undergraduate/increasing-access/opportunity-oxford" TargetMode="External"/><Relationship Id="rId22" Type="http://schemas.openxmlformats.org/officeDocument/2006/relationships/hyperlink" Target="https://www.ox.ac.uk/sites/files/oxford/field/field_document/Strategic%20Plan%202018-23.pdf" TargetMode="External"/><Relationship Id="rId43" Type="http://schemas.openxmlformats.org/officeDocument/2006/relationships/hyperlink" Target="https://academic.oup.com/journals/pages/journals_a_to_z" TargetMode="External"/><Relationship Id="rId64" Type="http://schemas.openxmlformats.org/officeDocument/2006/relationships/hyperlink" Target="https://www.ox.ac.uk/visitors" TargetMode="External"/><Relationship Id="rId118" Type="http://schemas.openxmlformats.org/officeDocument/2006/relationships/hyperlink" Target="https://governance.admin.ox.ac.uk/node/763166" TargetMode="External"/><Relationship Id="rId139" Type="http://schemas.openxmlformats.org/officeDocument/2006/relationships/hyperlink" Target="https://governance.admin.ox.ac.uk/legislation/statute-xiv-employment-of-academic-and-support-staff-by-the-university" TargetMode="External"/><Relationship Id="rId290" Type="http://schemas.openxmlformats.org/officeDocument/2006/relationships/hyperlink" Target="https://www.ox.ac.uk/about/organisation/strategic-plan-2018-23/education" TargetMode="External"/><Relationship Id="rId304" Type="http://schemas.openxmlformats.org/officeDocument/2006/relationships/hyperlink" Target="https://www.ox.ac.uk/local-community/small-community-grants/collaboration" TargetMode="External"/><Relationship Id="rId325" Type="http://schemas.openxmlformats.org/officeDocument/2006/relationships/hyperlink" Target="https://venturefestoxford.com" TargetMode="External"/><Relationship Id="rId346" Type="http://schemas.openxmlformats.org/officeDocument/2006/relationships/theme" Target="theme/theme1.xml"/><Relationship Id="rId85" Type="http://schemas.openxmlformats.org/officeDocument/2006/relationships/hyperlink" Target="https://innovation.ox.ac.uk/about/" TargetMode="External"/><Relationship Id="rId150" Type="http://schemas.openxmlformats.org/officeDocument/2006/relationships/hyperlink" Target="https://academic.admin.ox.ac.uk/admissions/graduate" TargetMode="External"/><Relationship Id="rId171" Type="http://schemas.openxmlformats.org/officeDocument/2006/relationships/hyperlink" Target="https://www.conted.ox.ac.uk/search" TargetMode="External"/><Relationship Id="rId192" Type="http://schemas.openxmlformats.org/officeDocument/2006/relationships/hyperlink" Target="https://www.medsci.ox.ac.uk/divisional-services/support-services-1/business-partnerships-office" TargetMode="External"/><Relationship Id="rId206" Type="http://schemas.openxmlformats.org/officeDocument/2006/relationships/hyperlink" Target="http://www.begbroke.ox.ac.uk" TargetMode="External"/><Relationship Id="rId227" Type="http://schemas.openxmlformats.org/officeDocument/2006/relationships/hyperlink" Target="https://www.stonewall.org.uk/power-inclusive-workplaces" TargetMode="External"/><Relationship Id="rId248" Type="http://schemas.openxmlformats.org/officeDocument/2006/relationships/hyperlink" Target="https://hr.admin.ox.ac.uk/" TargetMode="External"/><Relationship Id="rId269" Type="http://schemas.openxmlformats.org/officeDocument/2006/relationships/hyperlink" Target="https://www.ox.ac.uk/students/life/studentrecord" TargetMode="External"/><Relationship Id="rId12" Type="http://schemas.openxmlformats.org/officeDocument/2006/relationships/image" Target="media/image2.png"/><Relationship Id="rId33" Type="http://schemas.openxmlformats.org/officeDocument/2006/relationships/hyperlink" Target="https://www.ox.ac.uk/admissions/undergraduate/increasing-access/opportunity-oxford" TargetMode="External"/><Relationship Id="rId108" Type="http://schemas.openxmlformats.org/officeDocument/2006/relationships/hyperlink" Target="https://www.oxford.gov.uk/downloads/download/314/population_estimates_and_projections" TargetMode="External"/><Relationship Id="rId129" Type="http://schemas.openxmlformats.org/officeDocument/2006/relationships/hyperlink" Target="http://www.glam.ox.ac.uk" TargetMode="External"/><Relationship Id="rId280" Type="http://schemas.openxmlformats.org/officeDocument/2006/relationships/hyperlink" Target="https://hr.admin.ox.ac.uk/" TargetMode="External"/><Relationship Id="rId315" Type="http://schemas.openxmlformats.org/officeDocument/2006/relationships/hyperlink" Target="https://www.careers.ox.ac.uk/partnerships-in-the-community" TargetMode="External"/><Relationship Id="rId336" Type="http://schemas.openxmlformats.org/officeDocument/2006/relationships/hyperlink" Target="https://www.ox.ac.uk/local-community/engagement/introduction" TargetMode="External"/><Relationship Id="rId54" Type="http://schemas.openxmlformats.org/officeDocument/2006/relationships/hyperlink" Target="https://www.ox.ac.uk/research/public-engagement/support-researchers" TargetMode="External"/><Relationship Id="rId75" Type="http://schemas.openxmlformats.org/officeDocument/2006/relationships/hyperlink" Target="https://www.careers.ox.ac.uk/partnerships-in-the-community" TargetMode="External"/><Relationship Id="rId96" Type="http://schemas.openxmlformats.org/officeDocument/2006/relationships/hyperlink" Target="https://innovation.ox.ac.uk/wp-content/uploads/2014/04/Spin-out-Researcher-Booklet.pdf" TargetMode="External"/><Relationship Id="rId140" Type="http://schemas.openxmlformats.org/officeDocument/2006/relationships/hyperlink" Target="https://hr.admin.ox.ac.uk/code-of-practice-for-the-employment-and-career-development-of-research-staff" TargetMode="External"/><Relationship Id="rId161" Type="http://schemas.openxmlformats.org/officeDocument/2006/relationships/hyperlink" Target="https://www.ox.ac.uk/about/international-oxford/oxfords-international-profile/research-global-issues" TargetMode="External"/><Relationship Id="rId182" Type="http://schemas.openxmlformats.org/officeDocument/2006/relationships/hyperlink" Target="https://www.careers.ox.ac.uk/the-summer-internship-programme" TargetMode="External"/><Relationship Id="rId217" Type="http://schemas.openxmlformats.org/officeDocument/2006/relationships/hyperlink" Target="https://public.tableau.com/views/UniversityofOxford-DLHESurvey/Salaries?%3Aembed=y&amp;%3Adisplay_count=yes&amp;%3AshowTabs=y&amp;%3AshowVizHome=no" TargetMode="External"/><Relationship Id="rId6" Type="http://schemas.openxmlformats.org/officeDocument/2006/relationships/styles" Target="styles.xml"/><Relationship Id="rId238" Type="http://schemas.openxmlformats.org/officeDocument/2006/relationships/hyperlink" Target="https://www.ox.ac.uk/about/organisation/finance-and-funding/archive-of-financial-statements" TargetMode="External"/><Relationship Id="rId259" Type="http://schemas.openxmlformats.org/officeDocument/2006/relationships/hyperlink" Target="https://hr.admin.ox.ac.uk/files/oxfordhrexcellenceself-assessmentjan14pdf" TargetMode="External"/><Relationship Id="rId23" Type="http://schemas.openxmlformats.org/officeDocument/2006/relationships/hyperlink" Target="https://compliance.admin.ox.ac.uk/modern-slavery" TargetMode="External"/><Relationship Id="rId119" Type="http://schemas.openxmlformats.org/officeDocument/2006/relationships/hyperlink" Target="https://researchsupport.admin.ox.ac.uk/ric" TargetMode="External"/><Relationship Id="rId270" Type="http://schemas.openxmlformats.org/officeDocument/2006/relationships/hyperlink" Target="https://www.ox.ac.uk/sites/files/oxford/field/field_document/Strategic%20Plan%202018-23.pdf" TargetMode="External"/><Relationship Id="rId291" Type="http://schemas.openxmlformats.org/officeDocument/2006/relationships/hyperlink" Target="https://www.ox.ac.uk/sites/files/oxford/UniversityOfOxford_APP_2020-21.pdf" TargetMode="External"/><Relationship Id="rId305" Type="http://schemas.openxmlformats.org/officeDocument/2006/relationships/hyperlink" Target="https://www.ox.ac.uk/local-community/get-involved" TargetMode="External"/><Relationship Id="rId326" Type="http://schemas.openxmlformats.org/officeDocument/2006/relationships/hyperlink" Target="https://www.businessinoxford.com" TargetMode="External"/><Relationship Id="rId44" Type="http://schemas.openxmlformats.org/officeDocument/2006/relationships/hyperlink" Target="https://weblearn.ox.ac.uk/portal" TargetMode="External"/><Relationship Id="rId65" Type="http://schemas.openxmlformats.org/officeDocument/2006/relationships/hyperlink" Target="https://www.conted.ox.ac.uk/search" TargetMode="External"/><Relationship Id="rId86" Type="http://schemas.openxmlformats.org/officeDocument/2006/relationships/hyperlink" Target="https://www.oxentia.com/" TargetMode="External"/><Relationship Id="rId130" Type="http://schemas.openxmlformats.org/officeDocument/2006/relationships/hyperlink" Target="https://governance.admin.ox.ac.uk/the-universitys-governance-structure" TargetMode="External"/><Relationship Id="rId151" Type="http://schemas.openxmlformats.org/officeDocument/2006/relationships/hyperlink" Target="https://www.ox.ac.uk/admissions/undergraduate/applying-to-oxford/publications" TargetMode="External"/><Relationship Id="rId172" Type="http://schemas.openxmlformats.org/officeDocument/2006/relationships/hyperlink" Target="https://www.conted.ox.ac.uk/search" TargetMode="External"/><Relationship Id="rId193" Type="http://schemas.openxmlformats.org/officeDocument/2006/relationships/hyperlink" Target="https://www.careers.ox.ac.uk/partnerships-in-the-community" TargetMode="External"/><Relationship Id="rId207" Type="http://schemas.openxmlformats.org/officeDocument/2006/relationships/hyperlink" Target="http://www.medsci.ox.ac.uk" TargetMode="External"/><Relationship Id="rId228" Type="http://schemas.openxmlformats.org/officeDocument/2006/relationships/hyperlink" Target="https://www.mindfulemployer.dpt.nhs.uk/" TargetMode="External"/><Relationship Id="rId249" Type="http://schemas.openxmlformats.org/officeDocument/2006/relationships/hyperlink" Target="https://compliance.admin.ox.ac.uk/" TargetMode="External"/><Relationship Id="rId13" Type="http://schemas.openxmlformats.org/officeDocument/2006/relationships/image" Target="media/image3.jpeg"/><Relationship Id="rId109" Type="http://schemas.openxmlformats.org/officeDocument/2006/relationships/hyperlink" Target="http://hdr.undp.org/en/content/download-data" TargetMode="External"/><Relationship Id="rId260" Type="http://schemas.openxmlformats.org/officeDocument/2006/relationships/hyperlink" Target="https://hr.admin.ox.ac.uk/files/hrexcellencesixyearreportjan2018pdf" TargetMode="External"/><Relationship Id="rId281" Type="http://schemas.openxmlformats.org/officeDocument/2006/relationships/hyperlink" Target="https://finance.admin.ox.ac.uk/payroll-information-for-staff" TargetMode="External"/><Relationship Id="rId316" Type="http://schemas.openxmlformats.org/officeDocument/2006/relationships/hyperlink" Target="https://www.law.ox.ac.uk/support-oxford-law/corporate-partnerships" TargetMode="External"/><Relationship Id="rId337" Type="http://schemas.openxmlformats.org/officeDocument/2006/relationships/hyperlink" Target="https://gazette.web.ox.ac.uk/register-of-congregation-2020/21" TargetMode="External"/><Relationship Id="rId34" Type="http://schemas.openxmlformats.org/officeDocument/2006/relationships/hyperlink" Target="https://hr.admin.ox.ac.uk/" TargetMode="External"/><Relationship Id="rId55" Type="http://schemas.openxmlformats.org/officeDocument/2006/relationships/hyperlink" Target="https://www.ox.ac.uk/sites/files/oxford/media_wysiwyg/University%20of%20Oxford%20-%20Public%20Engagement%20with%20Research%20Strategic%20Plan.pdf" TargetMode="External"/><Relationship Id="rId76" Type="http://schemas.openxmlformats.org/officeDocument/2006/relationships/hyperlink" Target="https://www.law.ox.ac.uk/support-oxford-law/corporate-partnerships" TargetMode="External"/><Relationship Id="rId97" Type="http://schemas.openxmlformats.org/officeDocument/2006/relationships/hyperlink" Target="https://www.ox.ac.uk/about/facts-and-figures/economic-impact" TargetMode="External"/><Relationship Id="rId120" Type="http://schemas.openxmlformats.org/officeDocument/2006/relationships/hyperlink" Target="https://governance.admin.ox.ac.uk/audit-and-scrutiny-committee" TargetMode="External"/><Relationship Id="rId141" Type="http://schemas.openxmlformats.org/officeDocument/2006/relationships/hyperlink" Target="https://hr.admin.ox.ac.uk/files/hrexcellenceinresearchbadgeactionplanoct2011pdf" TargetMode="External"/><Relationship Id="rId7" Type="http://schemas.openxmlformats.org/officeDocument/2006/relationships/settings" Target="settings.xml"/><Relationship Id="rId162" Type="http://schemas.openxmlformats.org/officeDocument/2006/relationships/hyperlink" Target="https://governance.admin.ox.ac.uk/legislation/statute-xvi-property-contracts-and-trusts" TargetMode="External"/><Relationship Id="rId183" Type="http://schemas.openxmlformats.org/officeDocument/2006/relationships/hyperlink" Target="https://www.careers.ox.ac.uk/micros" TargetMode="External"/><Relationship Id="rId218" Type="http://schemas.openxmlformats.org/officeDocument/2006/relationships/hyperlink" Target="https://www.ox.ac.uk/about/facts-and-figures/admissions-statistics/undergraduate-students/current/ethnicity" TargetMode="External"/><Relationship Id="rId239" Type="http://schemas.openxmlformats.org/officeDocument/2006/relationships/hyperlink" Target="https://public.tableau.com/views/UniversityofOxford-StudentStatistics/DomicileNationalityDetail?:embed=y&amp;:display_count=yes&amp;:showVizHome=no" TargetMode="External"/><Relationship Id="rId250" Type="http://schemas.openxmlformats.org/officeDocument/2006/relationships/hyperlink" Target="https://www.ox.ac.uk/about/organisation/annual-reviews" TargetMode="External"/><Relationship Id="rId271" Type="http://schemas.openxmlformats.org/officeDocument/2006/relationships/hyperlink" Target="https://compliance.admin.ox.ac.uk/modern-slavery" TargetMode="External"/><Relationship Id="rId292" Type="http://schemas.openxmlformats.org/officeDocument/2006/relationships/hyperlink" Target="https://www.bioch.ox.ac.uk/casual-teaching" TargetMode="External"/><Relationship Id="rId306" Type="http://schemas.openxmlformats.org/officeDocument/2006/relationships/hyperlink" Target="https://conference-oxford.com/about/weddings" TargetMode="External"/><Relationship Id="rId24" Type="http://schemas.openxmlformats.org/officeDocument/2006/relationships/image" Target="media/image8.jpeg"/><Relationship Id="rId45" Type="http://schemas.openxmlformats.org/officeDocument/2006/relationships/hyperlink" Target="https://www.ox.ac.uk/about/organisation/strategic-plan-2018-23/education" TargetMode="External"/><Relationship Id="rId66" Type="http://schemas.openxmlformats.org/officeDocument/2006/relationships/image" Target="media/image13.jpeg"/><Relationship Id="rId87" Type="http://schemas.openxmlformats.org/officeDocument/2006/relationships/hyperlink" Target="https://venturefestoxford.com" TargetMode="External"/><Relationship Id="rId110" Type="http://schemas.openxmlformats.org/officeDocument/2006/relationships/hyperlink" Target="https://www.oxford.gov.uk/oxsp/info/23/economic_growth_and_regeneration/6/economic_development_growth_and_regeneration" TargetMode="External"/><Relationship Id="rId131" Type="http://schemas.openxmlformats.org/officeDocument/2006/relationships/hyperlink" Target="https://governance.admin.ox.ac.uk/committees" TargetMode="External"/><Relationship Id="rId327" Type="http://schemas.openxmlformats.org/officeDocument/2006/relationships/hyperlink" Target="http://obn.org.uk" TargetMode="External"/><Relationship Id="rId152" Type="http://schemas.openxmlformats.org/officeDocument/2006/relationships/hyperlink" Target="https://www.ox.ac.uk/admissions/undergraduate/courses/course-listing" TargetMode="External"/><Relationship Id="rId173" Type="http://schemas.openxmlformats.org/officeDocument/2006/relationships/hyperlink" Target="https://www.conted.ox.ac.uk/" TargetMode="External"/><Relationship Id="rId194" Type="http://schemas.openxmlformats.org/officeDocument/2006/relationships/hyperlink" Target="https://www.sbs.ox.ac.uk/about-us/support-us/corporate-partnerships" TargetMode="External"/><Relationship Id="rId208" Type="http://schemas.openxmlformats.org/officeDocument/2006/relationships/hyperlink" Target="https://www.oxfordfoundry.ox.ac.uk/what-oxford-foundry" TargetMode="External"/><Relationship Id="rId229" Type="http://schemas.openxmlformats.org/officeDocument/2006/relationships/hyperlink" Target="https://nqit.ox.ac.uk/content/spin-out-technologies.html" TargetMode="External"/><Relationship Id="rId240" Type="http://schemas.openxmlformats.org/officeDocument/2006/relationships/hyperlink" Target="https://gazette.web.ox.ac.uk/register-of-congregation-2020/21" TargetMode="External"/><Relationship Id="rId261" Type="http://schemas.openxmlformats.org/officeDocument/2006/relationships/hyperlink" Target="https://hr.admin.ox.ac.uk/files/jan2020hrexcellence8yearreviewandactionplanpdf" TargetMode="External"/><Relationship Id="rId14" Type="http://schemas.openxmlformats.org/officeDocument/2006/relationships/image" Target="media/image4.png"/><Relationship Id="rId35" Type="http://schemas.openxmlformats.org/officeDocument/2006/relationships/hyperlink" Target="https://finance.admin.ox.ac.uk/payroll-information-for-staff" TargetMode="External"/><Relationship Id="rId56" Type="http://schemas.openxmlformats.org/officeDocument/2006/relationships/hyperlink" Target="https://governance.admin.ox.ac.uk/legislation/statute-xvi-property-contracts-and-trusts" TargetMode="External"/><Relationship Id="rId77" Type="http://schemas.openxmlformats.org/officeDocument/2006/relationships/hyperlink" Target="https://www.careers.ox.ac.uk/internship-experience" TargetMode="External"/><Relationship Id="rId100" Type="http://schemas.openxmlformats.org/officeDocument/2006/relationships/image" Target="media/image18.jpeg"/><Relationship Id="rId282" Type="http://schemas.openxmlformats.org/officeDocument/2006/relationships/hyperlink" Target="https://www.ox.ac.uk/admissions/undergraduate/colleges/which-oxford-colleges-offer-my-course" TargetMode="External"/><Relationship Id="rId317" Type="http://schemas.openxmlformats.org/officeDocument/2006/relationships/hyperlink" Target="https://www.careers.ox.ac.uk/internship-experience" TargetMode="External"/><Relationship Id="rId338" Type="http://schemas.openxmlformats.org/officeDocument/2006/relationships/hyperlink" Target="https://compliance.admin.ox.ac.uk/" TargetMode="External"/><Relationship Id="rId8" Type="http://schemas.openxmlformats.org/officeDocument/2006/relationships/webSettings" Target="webSettings.xml"/><Relationship Id="rId98" Type="http://schemas.openxmlformats.org/officeDocument/2006/relationships/hyperlink" Target="https://www.ox.ac.uk/sites/files/oxford/8%20Economic%20Impact%20Commercialisation.pdf" TargetMode="External"/><Relationship Id="rId121" Type="http://schemas.openxmlformats.org/officeDocument/2006/relationships/hyperlink" Target="https://governance.admin.ox.ac.uk/committees" TargetMode="External"/><Relationship Id="rId142" Type="http://schemas.openxmlformats.org/officeDocument/2006/relationships/hyperlink" Target="https://governance.admin.ox.ac.uk/legislation/statute-ix-officers-of-the-university" TargetMode="External"/><Relationship Id="rId163" Type="http://schemas.openxmlformats.org/officeDocument/2006/relationships/hyperlink" Target="https://researchsupport.admin.ox.ac.uk/innovation/ip/commercialisation" TargetMode="External"/><Relationship Id="rId184" Type="http://schemas.openxmlformats.org/officeDocument/2006/relationships/hyperlink" Target="https://www.careers.ox.ac.uk/crankstart-internship-programme" TargetMode="External"/><Relationship Id="rId219" Type="http://schemas.openxmlformats.org/officeDocument/2006/relationships/hyperlink" Target="https://www.ox.ac.uk/about/facts-and-figures/admissions-statistics/undergraduate-students/current/gender" TargetMode="External"/><Relationship Id="rId230" Type="http://schemas.openxmlformats.org/officeDocument/2006/relationships/hyperlink" Target="https://innovation.ox.ac.uk/wp-content/uploads/2014/04/Spin-out-Researcher-Booklet.pdf" TargetMode="External"/><Relationship Id="rId251" Type="http://schemas.openxmlformats.org/officeDocument/2006/relationships/hyperlink" Target="https://www.cybersecurity.ox.ac.uk/site-resources/uploads/2020/02/2019-yearbook_web.pdf" TargetMode="External"/><Relationship Id="rId25" Type="http://schemas.openxmlformats.org/officeDocument/2006/relationships/hyperlink" Target="https://sustainability.admin.ox.ac.uk/labs" TargetMode="External"/><Relationship Id="rId46" Type="http://schemas.openxmlformats.org/officeDocument/2006/relationships/hyperlink" Target="https://www.ox.ac.uk/sites/files/oxford/UniversityOfOxford_APP_2020-21.pdf" TargetMode="External"/><Relationship Id="rId67" Type="http://schemas.openxmlformats.org/officeDocument/2006/relationships/hyperlink" Target="https://governance.admin.ox.ac.uk/committees" TargetMode="External"/><Relationship Id="rId116" Type="http://schemas.openxmlformats.org/officeDocument/2006/relationships/hyperlink" Target="https://governance.admin.ox.ac.uk/general-purposes-committee" TargetMode="External"/><Relationship Id="rId137" Type="http://schemas.openxmlformats.org/officeDocument/2006/relationships/hyperlink" Target="https://hrsystems.admin.ox.ac.uk/files/staffingfigures201920pdf" TargetMode="External"/><Relationship Id="rId158" Type="http://schemas.openxmlformats.org/officeDocument/2006/relationships/hyperlink" Target="https://www.ox.ac.uk/about/organisation/strategic-plan-2018-23/education" TargetMode="External"/><Relationship Id="rId272" Type="http://schemas.openxmlformats.org/officeDocument/2006/relationships/hyperlink" Target="https://sustainability.admin.ox.ac.uk/labs" TargetMode="External"/><Relationship Id="rId293" Type="http://schemas.openxmlformats.org/officeDocument/2006/relationships/hyperlink" Target="https://www.research.ox.ac.uk/map" TargetMode="External"/><Relationship Id="rId302" Type="http://schemas.openxmlformats.org/officeDocument/2006/relationships/hyperlink" Target="https://innovation.ox.ac.uk/university-members/commercialising-technology/ip-patents-licenses/revenue-sharing-licensing/" TargetMode="External"/><Relationship Id="rId307" Type="http://schemas.openxmlformats.org/officeDocument/2006/relationships/hyperlink" Target="https://www.ox.ac.uk/visitors" TargetMode="External"/><Relationship Id="rId323" Type="http://schemas.openxmlformats.org/officeDocument/2006/relationships/hyperlink" Target="https://innovation.ox.ac.uk/about/" TargetMode="External"/><Relationship Id="rId328" Type="http://schemas.openxmlformats.org/officeDocument/2006/relationships/hyperlink" Target="https://otmn.co.uk" TargetMode="External"/><Relationship Id="rId344" Type="http://schemas.openxmlformats.org/officeDocument/2006/relationships/footer" Target="footer2.xml"/><Relationship Id="rId20" Type="http://schemas.openxmlformats.org/officeDocument/2006/relationships/hyperlink" Target="https://compliance.web.ox.ac.uk/freedom-of-speech" TargetMode="External"/><Relationship Id="rId41" Type="http://schemas.openxmlformats.org/officeDocument/2006/relationships/hyperlink" Target="https://www.careers.ox.ac.uk/about-the-internship-office" TargetMode="External"/><Relationship Id="rId62" Type="http://schemas.openxmlformats.org/officeDocument/2006/relationships/hyperlink" Target="https://www.ox.ac.uk/local-community/get-involved" TargetMode="External"/><Relationship Id="rId83" Type="http://schemas.openxmlformats.org/officeDocument/2006/relationships/hyperlink" Target="https://www.ox.ac.uk/local-community/engagement/enhancing-oxford/learning" TargetMode="External"/><Relationship Id="rId88" Type="http://schemas.openxmlformats.org/officeDocument/2006/relationships/hyperlink" Target="https://www.businessinoxford.com" TargetMode="External"/><Relationship Id="rId111" Type="http://schemas.openxmlformats.org/officeDocument/2006/relationships/hyperlink" Target="https://www.oxford.gov.uk/info/20124/economy/454/economic_statistics" TargetMode="External"/><Relationship Id="rId132" Type="http://schemas.openxmlformats.org/officeDocument/2006/relationships/hyperlink" Target="https://estates.admin.ox.ac.uk/" TargetMode="External"/><Relationship Id="rId153" Type="http://schemas.openxmlformats.org/officeDocument/2006/relationships/hyperlink" Target="https://www.ox.ac.uk/admissions/graduate/courses/courses-a-z-listing" TargetMode="External"/><Relationship Id="rId174" Type="http://schemas.openxmlformats.org/officeDocument/2006/relationships/hyperlink" Target="https://governance.admin.ox.ac.uk/committees" TargetMode="External"/><Relationship Id="rId179" Type="http://schemas.openxmlformats.org/officeDocument/2006/relationships/hyperlink" Target="https://www.development.ox.ac.uk/fundraising-reports" TargetMode="External"/><Relationship Id="rId195" Type="http://schemas.openxmlformats.org/officeDocument/2006/relationships/hyperlink" Target="https://www.law.ox.ac.uk/support-oxford-law/corporate-partnerships" TargetMode="External"/><Relationship Id="rId209" Type="http://schemas.openxmlformats.org/officeDocument/2006/relationships/hyperlink" Target="http://www.harwellcampus.com" TargetMode="External"/><Relationship Id="rId190" Type="http://schemas.openxmlformats.org/officeDocument/2006/relationships/hyperlink" Target="https://www.ox.ac.uk/about/organisation/strategic-plan-2018-23/engagement-and-partnership" TargetMode="External"/><Relationship Id="rId204" Type="http://schemas.openxmlformats.org/officeDocument/2006/relationships/hyperlink" Target="https://www.oxentia.com/" TargetMode="External"/><Relationship Id="rId220" Type="http://schemas.openxmlformats.org/officeDocument/2006/relationships/hyperlink" Target="https://www.hesa.ac.uk/data-and-analysis/students/whos-in-he" TargetMode="External"/><Relationship Id="rId225" Type="http://schemas.openxmlformats.org/officeDocument/2006/relationships/hyperlink" Target="https://edu.admin.ox.ac.uk/files/recbronzeapplication-oxforduniversitypdf" TargetMode="External"/><Relationship Id="rId241" Type="http://schemas.openxmlformats.org/officeDocument/2006/relationships/hyperlink" Target="https://governance.admin.ox.ac.uk/performance-indicators" TargetMode="External"/><Relationship Id="rId246" Type="http://schemas.openxmlformats.org/officeDocument/2006/relationships/hyperlink" Target="https://academic.admin.ox.ac.uk/app" TargetMode="External"/><Relationship Id="rId267" Type="http://schemas.openxmlformats.org/officeDocument/2006/relationships/hyperlink" Target="https://www.oxforduniversitystores.co.uk/" TargetMode="External"/><Relationship Id="rId288" Type="http://schemas.openxmlformats.org/officeDocument/2006/relationships/hyperlink" Target="https://academic.oup.com/journals/pages/journals_a_to_z" TargetMode="External"/><Relationship Id="rId15" Type="http://schemas.openxmlformats.org/officeDocument/2006/relationships/image" Target="media/image5.png"/><Relationship Id="rId36" Type="http://schemas.openxmlformats.org/officeDocument/2006/relationships/image" Target="media/image10.jpeg"/><Relationship Id="rId57" Type="http://schemas.openxmlformats.org/officeDocument/2006/relationships/hyperlink" Target="https://researchsupport.admin.ox.ac.uk/innovation/ip/commercialisation" TargetMode="External"/><Relationship Id="rId106" Type="http://schemas.openxmlformats.org/officeDocument/2006/relationships/hyperlink" Target="https://governance.admin.ox.ac.uk/legislation/preface-constitution-and-statute-making-powers-of-the-university" TargetMode="External"/><Relationship Id="rId127" Type="http://schemas.openxmlformats.org/officeDocument/2006/relationships/hyperlink" Target="http://www.socsci.ox.ac.uk" TargetMode="External"/><Relationship Id="rId262" Type="http://schemas.openxmlformats.org/officeDocument/2006/relationships/hyperlink" Target="https://weblearn.ox.ac.uk/portal" TargetMode="External"/><Relationship Id="rId283" Type="http://schemas.openxmlformats.org/officeDocument/2006/relationships/hyperlink" Target="https://www.ox.ac.uk/admissions/undergraduate/colleges/which-oxford-colleges-offer-my-course" TargetMode="External"/><Relationship Id="rId313" Type="http://schemas.openxmlformats.org/officeDocument/2006/relationships/hyperlink" Target="https://www.ox.ac.uk/about/organisation/strategic-plan-2018-23/engagement-and-partnership" TargetMode="External"/><Relationship Id="rId318" Type="http://schemas.openxmlformats.org/officeDocument/2006/relationships/hyperlink" Target="https://www.ox.ac.uk/students/fees-funding/international/scholarships-exchanges" TargetMode="External"/><Relationship Id="rId339" Type="http://schemas.openxmlformats.org/officeDocument/2006/relationships/hyperlink" Target="https://governance.admin.ox.ac.uk/governance" TargetMode="External"/><Relationship Id="rId10" Type="http://schemas.openxmlformats.org/officeDocument/2006/relationships/endnotes" Target="endnotes.xml"/><Relationship Id="rId31" Type="http://schemas.openxmlformats.org/officeDocument/2006/relationships/hyperlink" Target="https://www.ox.ac.uk/digital-prospectus/ug-community/college" TargetMode="External"/><Relationship Id="rId52" Type="http://schemas.openxmlformats.org/officeDocument/2006/relationships/hyperlink" Target="https://www.ox.ac.uk/research/public-engagement/engaged-research" TargetMode="External"/><Relationship Id="rId73" Type="http://schemas.openxmlformats.org/officeDocument/2006/relationships/hyperlink" Target="https://www.ox.ac.uk/about/organisation/strategic-plan-2018-23/engagement-and-partnership" TargetMode="External"/><Relationship Id="rId78" Type="http://schemas.openxmlformats.org/officeDocument/2006/relationships/hyperlink" Target="https://www.ox.ac.uk/students/fees-funding/international/scholarships-exchanges" TargetMode="External"/><Relationship Id="rId94" Type="http://schemas.openxmlformats.org/officeDocument/2006/relationships/hyperlink" Target="https://www.ox.ac.uk/about/organisation/strategic-plan-2018-23" TargetMode="External"/><Relationship Id="rId99" Type="http://schemas.openxmlformats.org/officeDocument/2006/relationships/hyperlink" Target="https://www.ox.ac.uk/local-community/engagement/introduction" TargetMode="External"/><Relationship Id="rId101" Type="http://schemas.openxmlformats.org/officeDocument/2006/relationships/hyperlink" Target="https://gazette.web.ox.ac.uk/register-of-congregation-2020/21" TargetMode="External"/><Relationship Id="rId122" Type="http://schemas.openxmlformats.org/officeDocument/2006/relationships/hyperlink" Target="http://www.humanities.ox.ac.uk/" TargetMode="External"/><Relationship Id="rId143" Type="http://schemas.openxmlformats.org/officeDocument/2006/relationships/hyperlink" Target="https://www.ox.ac.uk/sites/files/oxford/AnnualAdmissionsStatisticalReport2021.pdf" TargetMode="External"/><Relationship Id="rId148" Type="http://schemas.openxmlformats.org/officeDocument/2006/relationships/hyperlink" Target="https://www.ox.ac.uk/sites/files/oxford/Grad%20Admissions%20Statistics%20-%202019-20%20entry.pdf" TargetMode="External"/><Relationship Id="rId164" Type="http://schemas.openxmlformats.org/officeDocument/2006/relationships/hyperlink" Target="https://innovation.ox.ac.uk/university-members/commercialising-technology/ip-patents-licenses/revenue-sharing-licensing/" TargetMode="External"/><Relationship Id="rId169" Type="http://schemas.openxmlformats.org/officeDocument/2006/relationships/hyperlink" Target="https://www.ox.ac.uk/local-community/small-community-grants/collaboration" TargetMode="External"/><Relationship Id="rId185" Type="http://schemas.openxmlformats.org/officeDocument/2006/relationships/hyperlink" Target="https://www.careers.ox.ac.uk/promentor-programme" TargetMode="External"/><Relationship Id="rId334" Type="http://schemas.openxmlformats.org/officeDocument/2006/relationships/hyperlink" Target="https://www.ox.ac.uk/about/facts-and-figures/economic-impac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x.ac.uk/about/organisation/strategic-plan-2018-23/resources" TargetMode="External"/><Relationship Id="rId210" Type="http://schemas.openxmlformats.org/officeDocument/2006/relationships/hyperlink" Target="http://www.culham.org.uk/property-availability/" TargetMode="External"/><Relationship Id="rId215" Type="http://schemas.openxmlformats.org/officeDocument/2006/relationships/hyperlink" Target="https://www.ox.ac.uk/research/innovation-and-partnership/resources-facilities/grow-your-business-oxford" TargetMode="External"/><Relationship Id="rId236" Type="http://schemas.openxmlformats.org/officeDocument/2006/relationships/hyperlink" Target="https://www.ox.ac.uk/about/organisation/finance-and-funding" TargetMode="External"/><Relationship Id="rId257" Type="http://schemas.openxmlformats.org/officeDocument/2006/relationships/hyperlink" Target="https://hr.admin.ox.ac.uk/files/sectiontwo-selfassessmentevaluationanddatacollectionexercise2017pdf" TargetMode="External"/><Relationship Id="rId278" Type="http://schemas.openxmlformats.org/officeDocument/2006/relationships/hyperlink" Target="https://hr.admin.ox.ac.uk/introduction-support-staff-handbook" TargetMode="External"/><Relationship Id="rId26" Type="http://schemas.openxmlformats.org/officeDocument/2006/relationships/hyperlink" Target="https://www.glam.ox.ac.uk/programmes-and-projects" TargetMode="External"/><Relationship Id="rId231" Type="http://schemas.openxmlformats.org/officeDocument/2006/relationships/hyperlink" Target="https://www.ox.ac.uk/about/facts-and-figures/economic-impact" TargetMode="External"/><Relationship Id="rId252" Type="http://schemas.openxmlformats.org/officeDocument/2006/relationships/hyperlink" Target="https://www.cybersecurity.ox.ac.uk/site-resources/uploads/2019/03/2018_CDT_yearbook_web.pdf" TargetMode="External"/><Relationship Id="rId273" Type="http://schemas.openxmlformats.org/officeDocument/2006/relationships/hyperlink" Target="https://www.glam.ox.ac.uk/programmes-and-projects" TargetMode="External"/><Relationship Id="rId294" Type="http://schemas.openxmlformats.org/officeDocument/2006/relationships/hyperlink" Target="https://www.ox.ac.uk/research/research-impact" TargetMode="External"/><Relationship Id="rId308" Type="http://schemas.openxmlformats.org/officeDocument/2006/relationships/hyperlink" Target="https://www.conted.ox.ac.uk/search" TargetMode="External"/><Relationship Id="rId329" Type="http://schemas.openxmlformats.org/officeDocument/2006/relationships/hyperlink" Target="https://www.ox.ac.uk/research/innovation-and-partnership/resources-facilities/grow-your-business-oxford" TargetMode="External"/><Relationship Id="rId47" Type="http://schemas.openxmlformats.org/officeDocument/2006/relationships/hyperlink" Target="https://www.bioch.ox.ac.uk/casual-teaching" TargetMode="External"/><Relationship Id="rId68" Type="http://schemas.openxmlformats.org/officeDocument/2006/relationships/hyperlink" Target="https://www.development.ox.ac.uk/fundraising-reports" TargetMode="External"/><Relationship Id="rId89" Type="http://schemas.openxmlformats.org/officeDocument/2006/relationships/hyperlink" Target="http://obn.org.uk" TargetMode="External"/><Relationship Id="rId112" Type="http://schemas.openxmlformats.org/officeDocument/2006/relationships/hyperlink" Target="https://www.compare-school-performance.service.gov.uk/" TargetMode="External"/><Relationship Id="rId133" Type="http://schemas.openxmlformats.org/officeDocument/2006/relationships/hyperlink" Target="https://www.hesa.ac.uk/" TargetMode="External"/><Relationship Id="rId154" Type="http://schemas.openxmlformats.org/officeDocument/2006/relationships/hyperlink" Target="https://www.ox.ac.uk/admissions/undergraduate/fees-and-funding/oxford-support" TargetMode="External"/><Relationship Id="rId175" Type="http://schemas.openxmlformats.org/officeDocument/2006/relationships/hyperlink" Target="https://www.ox.ac.uk/about/organisation/finance-and-funding" TargetMode="External"/><Relationship Id="rId340" Type="http://schemas.openxmlformats.org/officeDocument/2006/relationships/hyperlink" Target="https://hr.admin.ox.ac.uk/" TargetMode="External"/><Relationship Id="rId196" Type="http://schemas.openxmlformats.org/officeDocument/2006/relationships/hyperlink" Target="https://www.ox.ac.uk/students/fees-funding/international/scholarships-exchanges" TargetMode="External"/><Relationship Id="rId200" Type="http://schemas.openxmlformats.org/officeDocument/2006/relationships/hyperlink" Target="https://www.ox.ac.uk/sites/files/oxford/field/field_document/Strategic%20Plan%202018-23.pdf" TargetMode="External"/><Relationship Id="rId16" Type="http://schemas.openxmlformats.org/officeDocument/2006/relationships/hyperlink" Target="https://www.research.ox.ac.uk/2020pandemicreview" TargetMode="External"/><Relationship Id="rId221" Type="http://schemas.openxmlformats.org/officeDocument/2006/relationships/hyperlink" Target="https://www.ox.ac.uk/about/facts-and-figures/admissions-statistics/undergraduate-students/current/school-type" TargetMode="External"/><Relationship Id="rId242" Type="http://schemas.openxmlformats.org/officeDocument/2006/relationships/hyperlink" Target="https://governance.admin.ox.ac.uk/resource-allocation" TargetMode="External"/><Relationship Id="rId263" Type="http://schemas.openxmlformats.org/officeDocument/2006/relationships/hyperlink" Target="https://help.it.ox.ac.uk/email-calendar-collection" TargetMode="External"/><Relationship Id="rId284" Type="http://schemas.openxmlformats.org/officeDocument/2006/relationships/hyperlink" Target="https://www.careers.ox.ac.uk/the-graduate-outcomes-survey" TargetMode="External"/><Relationship Id="rId319" Type="http://schemas.openxmlformats.org/officeDocument/2006/relationships/hyperlink" Target="https://www.ox.ac.uk/about/international-oxford" TargetMode="External"/><Relationship Id="rId37" Type="http://schemas.openxmlformats.org/officeDocument/2006/relationships/hyperlink" Target="https://www.ox.ac.uk/admissions/undergraduate/fees-and-funding" TargetMode="External"/><Relationship Id="rId58" Type="http://schemas.openxmlformats.org/officeDocument/2006/relationships/hyperlink" Target="https://innovation.ox.ac.uk/university-members/commercialising-technology/ip-patents-licenses/revenue-sharing-licensing/" TargetMode="External"/><Relationship Id="rId79" Type="http://schemas.openxmlformats.org/officeDocument/2006/relationships/hyperlink" Target="https://www.ox.ac.uk/about/international-oxford" TargetMode="External"/><Relationship Id="rId102" Type="http://schemas.openxmlformats.org/officeDocument/2006/relationships/hyperlink" Target="https://compliance.admin.ox.ac.uk/" TargetMode="External"/><Relationship Id="rId123" Type="http://schemas.openxmlformats.org/officeDocument/2006/relationships/hyperlink" Target="http://www.mpls.ox.ac.uk/" TargetMode="External"/><Relationship Id="rId144" Type="http://schemas.openxmlformats.org/officeDocument/2006/relationships/hyperlink" Target="https://www.ox.ac.uk/sites/files/oxford/Grad%20Admissions%20Statistics%20-%202019-20%20entry.pdf" TargetMode="External"/><Relationship Id="rId330" Type="http://schemas.openxmlformats.org/officeDocument/2006/relationships/hyperlink" Target="https://www.development.ox.ac.uk/report2019-20/creating-opportunities-for-black-british-students" TargetMode="External"/><Relationship Id="rId90" Type="http://schemas.openxmlformats.org/officeDocument/2006/relationships/hyperlink" Target="https://otmn.co.uk" TargetMode="External"/><Relationship Id="rId165" Type="http://schemas.openxmlformats.org/officeDocument/2006/relationships/hyperlink" Target="https://patentscope.wipo.int/search" TargetMode="External"/><Relationship Id="rId186" Type="http://schemas.openxmlformats.org/officeDocument/2006/relationships/hyperlink" Target="https://europaeum.org/about-us/members/" TargetMode="External"/><Relationship Id="rId211" Type="http://schemas.openxmlformats.org/officeDocument/2006/relationships/hyperlink" Target="https://venturefestoxford.com/" TargetMode="External"/><Relationship Id="rId232" Type="http://schemas.openxmlformats.org/officeDocument/2006/relationships/hyperlink" Target="https://www.ox.ac.uk/sites/files/oxford/8%20Economic%20Impact%20Commercialisation.pdf" TargetMode="External"/><Relationship Id="rId253" Type="http://schemas.openxmlformats.org/officeDocument/2006/relationships/hyperlink" Target="https://www.cybersecurity.ox.ac.uk/site-resources/uploads/2017/12/2017-yearbook_web.pdf" TargetMode="External"/><Relationship Id="rId274" Type="http://schemas.openxmlformats.org/officeDocument/2006/relationships/hyperlink" Target="https://www.ox.ac.uk/research/innovation-and-partnership/resources-facilities" TargetMode="External"/><Relationship Id="rId295" Type="http://schemas.openxmlformats.org/officeDocument/2006/relationships/hyperlink" Target="https://www.ox.ac.uk/research/research-impact/impact-films" TargetMode="External"/><Relationship Id="rId309" Type="http://schemas.openxmlformats.org/officeDocument/2006/relationships/hyperlink" Target="https://governance.admin.ox.ac.uk/committees" TargetMode="External"/><Relationship Id="rId27" Type="http://schemas.openxmlformats.org/officeDocument/2006/relationships/hyperlink" Target="https://www.ox.ac.uk/research/innovation-and-partnership/resources-facilities" TargetMode="External"/><Relationship Id="rId48" Type="http://schemas.openxmlformats.org/officeDocument/2006/relationships/image" Target="media/image11.jpeg"/><Relationship Id="rId69" Type="http://schemas.openxmlformats.org/officeDocument/2006/relationships/hyperlink" Target="https://www.ox.ac.uk/about/organisation/finance-and-funding" TargetMode="External"/><Relationship Id="rId113" Type="http://schemas.openxmlformats.org/officeDocument/2006/relationships/hyperlink" Target="https://una.org.uk/international-literacy-day-factsheet" TargetMode="External"/><Relationship Id="rId134" Type="http://schemas.openxmlformats.org/officeDocument/2006/relationships/hyperlink" Target="https://hrsystems.admin.ox.ac.uk/highest-qualification-held" TargetMode="External"/><Relationship Id="rId320" Type="http://schemas.openxmlformats.org/officeDocument/2006/relationships/hyperlink" Target="https://academic.oup.com/journals/pages/journals_a_to_z" TargetMode="External"/><Relationship Id="rId80" Type="http://schemas.openxmlformats.org/officeDocument/2006/relationships/hyperlink" Target="https://academic.oup.com/journals/pages/journals_a_to_z" TargetMode="External"/><Relationship Id="rId155" Type="http://schemas.openxmlformats.org/officeDocument/2006/relationships/hyperlink" Target="https://www.ox.ac.uk/admissions/graduate/fees-and-funding/fees-funding-and-scholarship-search/scholarships-a-z-listing" TargetMode="External"/><Relationship Id="rId176" Type="http://schemas.openxmlformats.org/officeDocument/2006/relationships/hyperlink" Target="https://www.hesa.ac.uk/data-and-analysis/finances/income" TargetMode="External"/><Relationship Id="rId197" Type="http://schemas.openxmlformats.org/officeDocument/2006/relationships/hyperlink" Target="https://www.ox.ac.uk/about/international-oxford" TargetMode="External"/><Relationship Id="rId341" Type="http://schemas.openxmlformats.org/officeDocument/2006/relationships/image" Target="media/image19.JPG"/><Relationship Id="rId201" Type="http://schemas.openxmlformats.org/officeDocument/2006/relationships/hyperlink" Target="https://academic.oup.com/journals/pages/journals_a_to_z" TargetMode="External"/><Relationship Id="rId222" Type="http://schemas.openxmlformats.org/officeDocument/2006/relationships/hyperlink" Target="https://www.ox.ac.uk/about/organisation/strategic-plan-2018-23" TargetMode="External"/><Relationship Id="rId243" Type="http://schemas.openxmlformats.org/officeDocument/2006/relationships/hyperlink" Target="https://governance.admin.ox.ac.uk/planning-and-resource-allocation-committee" TargetMode="External"/><Relationship Id="rId264" Type="http://schemas.openxmlformats.org/officeDocument/2006/relationships/hyperlink" Target="https://academic.admin.ox.ac.uk/student-systems" TargetMode="External"/><Relationship Id="rId285" Type="http://schemas.openxmlformats.org/officeDocument/2006/relationships/hyperlink" Target="https://public.tableau.com/views/UniversityofOxford-DLHESurvey/SectorsandRoles?%3Aembed=y&amp;%3Adisplay_count=yes&amp;%3AshowTabs=y&amp;%3AshowVizHome=no" TargetMode="External"/><Relationship Id="rId17" Type="http://schemas.openxmlformats.org/officeDocument/2006/relationships/image" Target="media/image6.JPG"/><Relationship Id="rId38" Type="http://schemas.openxmlformats.org/officeDocument/2006/relationships/hyperlink" Target="https://www.ox.ac.uk/admissions/graduate/fees-and-funding" TargetMode="External"/><Relationship Id="rId59" Type="http://schemas.openxmlformats.org/officeDocument/2006/relationships/hyperlink" Target="https://researchsupport.admin.ox.ac.uk/funding/rp" TargetMode="External"/><Relationship Id="rId103" Type="http://schemas.openxmlformats.org/officeDocument/2006/relationships/hyperlink" Target="https://governance.admin.ox.ac.uk/governance" TargetMode="External"/><Relationship Id="rId124" Type="http://schemas.openxmlformats.org/officeDocument/2006/relationships/hyperlink" Target="http://www.medsci.ox.ac.uk/" TargetMode="External"/><Relationship Id="rId310" Type="http://schemas.openxmlformats.org/officeDocument/2006/relationships/hyperlink" Target="https://www.development.ox.ac.uk/fundraising-reports" TargetMode="External"/><Relationship Id="rId70" Type="http://schemas.openxmlformats.org/officeDocument/2006/relationships/hyperlink" Target="https://governance.admin.ox.ac.uk/focus-programme" TargetMode="External"/><Relationship Id="rId91" Type="http://schemas.openxmlformats.org/officeDocument/2006/relationships/hyperlink" Target="https://www.ox.ac.uk/research/innovation-and-partnership/resources-facilities/grow-your-business-oxford" TargetMode="External"/><Relationship Id="rId145" Type="http://schemas.openxmlformats.org/officeDocument/2006/relationships/hyperlink" Target="https://www.ox.ac.uk/sites/files/oxford/AnnualAdmissionsStatisticalReport2021.pdf" TargetMode="External"/><Relationship Id="rId166" Type="http://schemas.openxmlformats.org/officeDocument/2006/relationships/hyperlink" Target="https://researchsupport.admin.ox.ac.uk/funding/fellowships" TargetMode="External"/><Relationship Id="rId187" Type="http://schemas.openxmlformats.org/officeDocument/2006/relationships/hyperlink" Target="https://www.leru.org/members" TargetMode="External"/><Relationship Id="rId331" Type="http://schemas.openxmlformats.org/officeDocument/2006/relationships/hyperlink" Target="https://www.ox.ac.uk/about/organisation/strategic-plan-2018-23" TargetMode="External"/><Relationship Id="rId1" Type="http://schemas.openxmlformats.org/officeDocument/2006/relationships/customXml" Target="../customXml/item1.xml"/><Relationship Id="rId212" Type="http://schemas.openxmlformats.org/officeDocument/2006/relationships/hyperlink" Target="https://www.businessinoxford.com/" TargetMode="External"/><Relationship Id="rId233" Type="http://schemas.openxmlformats.org/officeDocument/2006/relationships/hyperlink" Target="https://www.ox.ac.uk/about/organisation/annual-reviews" TargetMode="External"/><Relationship Id="rId254" Type="http://schemas.openxmlformats.org/officeDocument/2006/relationships/hyperlink" Target="https://www.bsg.ox.ac.uk/research/research-and-policy-updates/tom-hale-contributes-un-yearbook-global-climate-action-2018" TargetMode="External"/><Relationship Id="rId28" Type="http://schemas.openxmlformats.org/officeDocument/2006/relationships/hyperlink" Target="https://estates.admin.ox.ac.uk/" TargetMode="External"/><Relationship Id="rId49" Type="http://schemas.openxmlformats.org/officeDocument/2006/relationships/hyperlink" Target="https://www.research.ox.ac.uk/map" TargetMode="External"/><Relationship Id="rId114" Type="http://schemas.openxmlformats.org/officeDocument/2006/relationships/hyperlink" Target="https://academic.admin.ox.ac.uk/committees-and-panels" TargetMode="External"/><Relationship Id="rId275" Type="http://schemas.openxmlformats.org/officeDocument/2006/relationships/hyperlink" Target="https://estates.admin.ox.ac.uk/" TargetMode="External"/><Relationship Id="rId296" Type="http://schemas.openxmlformats.org/officeDocument/2006/relationships/hyperlink" Target="https://www.ox.ac.uk/research/public-engagement/engaged-research" TargetMode="External"/><Relationship Id="rId300" Type="http://schemas.openxmlformats.org/officeDocument/2006/relationships/hyperlink" Target="https://governance.admin.ox.ac.uk/legislation/statute-xvi-property-contracts-and-trusts" TargetMode="External"/><Relationship Id="rId60" Type="http://schemas.openxmlformats.org/officeDocument/2006/relationships/image" Target="media/image12.jpeg"/><Relationship Id="rId81" Type="http://schemas.openxmlformats.org/officeDocument/2006/relationships/image" Target="media/image15.jpeg"/><Relationship Id="rId135" Type="http://schemas.openxmlformats.org/officeDocument/2006/relationships/hyperlink" Target="https://hrsystems.admin.ox.ac.uk/academic-teaching-qualifications-1" TargetMode="External"/><Relationship Id="rId156" Type="http://schemas.openxmlformats.org/officeDocument/2006/relationships/hyperlink" Target="https://www.ox.ac.uk/admissions/graduate/fees-and-funding/oxford-funding" TargetMode="External"/><Relationship Id="rId177" Type="http://schemas.openxmlformats.org/officeDocument/2006/relationships/hyperlink" Target="https://www.ox.ac.uk/about/organisation/finance-and-funding" TargetMode="External"/><Relationship Id="rId198" Type="http://schemas.openxmlformats.org/officeDocument/2006/relationships/hyperlink" Target="https://www.ox.ac.uk/about/international-oxford" TargetMode="External"/><Relationship Id="rId321" Type="http://schemas.openxmlformats.org/officeDocument/2006/relationships/hyperlink" Target="https://www.ox.ac.uk/news/2013-01-17-supporting-leadership-development-primary-schools" TargetMode="External"/><Relationship Id="rId342" Type="http://schemas.openxmlformats.org/officeDocument/2006/relationships/image" Target="media/image20.png"/><Relationship Id="rId202" Type="http://schemas.openxmlformats.org/officeDocument/2006/relationships/hyperlink" Target="https://innovation.ox.ac.uk/innovation-news/publications/annual-reports/" TargetMode="External"/><Relationship Id="rId223" Type="http://schemas.openxmlformats.org/officeDocument/2006/relationships/hyperlink" Target="https://edu.admin.ox.ac.uk/home" TargetMode="External"/><Relationship Id="rId244" Type="http://schemas.openxmlformats.org/officeDocument/2006/relationships/hyperlink" Target="https://www.ox.ac.uk/about/organisation/strategic-plan-2018-23" TargetMode="External"/><Relationship Id="rId18" Type="http://schemas.openxmlformats.org/officeDocument/2006/relationships/hyperlink" Target="https://www.ox.ac.uk/admissions/undergraduate/colleges/which-oxford-colleges-offer-my-course" TargetMode="External"/><Relationship Id="rId39" Type="http://schemas.openxmlformats.org/officeDocument/2006/relationships/hyperlink" Target="https://www.careers.ox.ac.uk/the-graduate-outcomes-survey" TargetMode="External"/><Relationship Id="rId265" Type="http://schemas.openxmlformats.org/officeDocument/2006/relationships/hyperlink" Target="https://login.canvas.ox.ac.uk/" TargetMode="External"/><Relationship Id="rId286" Type="http://schemas.openxmlformats.org/officeDocument/2006/relationships/hyperlink" Target="https://www.careers.ox.ac.uk/about-the-internship-office" TargetMode="External"/><Relationship Id="rId50" Type="http://schemas.openxmlformats.org/officeDocument/2006/relationships/hyperlink" Target="https://www.ox.ac.uk/research/research-impact" TargetMode="External"/><Relationship Id="rId104" Type="http://schemas.openxmlformats.org/officeDocument/2006/relationships/hyperlink" Target="https://hr.admin.ox.ac.uk/" TargetMode="External"/><Relationship Id="rId125" Type="http://schemas.openxmlformats.org/officeDocument/2006/relationships/hyperlink" Target="https://www.socsci.ox.ac.uk/intranet-0" TargetMode="External"/><Relationship Id="rId146" Type="http://schemas.openxmlformats.org/officeDocument/2006/relationships/hyperlink" Target="https://www.ox.ac.uk/sites/files/oxford/Grad%20Admissions%20Statistics%20-%202019-20%20entry.pdf" TargetMode="External"/><Relationship Id="rId167" Type="http://schemas.openxmlformats.org/officeDocument/2006/relationships/hyperlink" Target="https://www.ox.ac.uk/research/research-impact/impact-films" TargetMode="External"/><Relationship Id="rId188" Type="http://schemas.openxmlformats.org/officeDocument/2006/relationships/hyperlink" Target="https://www.ox.ac.uk/about/international-oxford/oxfords-international-profile/international-alliances" TargetMode="External"/><Relationship Id="rId311" Type="http://schemas.openxmlformats.org/officeDocument/2006/relationships/hyperlink" Target="https://www.ox.ac.uk/about/organisation/finance-and-funding" TargetMode="External"/><Relationship Id="rId332" Type="http://schemas.openxmlformats.org/officeDocument/2006/relationships/hyperlink" Target="https://nqit.ox.ac.uk/content/spin-out-technologies.html" TargetMode="External"/><Relationship Id="rId71" Type="http://schemas.openxmlformats.org/officeDocument/2006/relationships/hyperlink" Target="https://www.ox.ac.uk/about/organisation/strategic-plan-2018-23/resources" TargetMode="External"/><Relationship Id="rId92" Type="http://schemas.openxmlformats.org/officeDocument/2006/relationships/image" Target="media/image17.jpeg"/><Relationship Id="rId213" Type="http://schemas.openxmlformats.org/officeDocument/2006/relationships/hyperlink" Target="http://obn.org.uk" TargetMode="External"/><Relationship Id="rId234" Type="http://schemas.openxmlformats.org/officeDocument/2006/relationships/hyperlink" Target="https://www.research.ox.ac.uk/2020pandemicreview" TargetMode="External"/><Relationship Id="rId2" Type="http://schemas.openxmlformats.org/officeDocument/2006/relationships/customXml" Target="../customXml/item2.xml"/><Relationship Id="rId29" Type="http://schemas.openxmlformats.org/officeDocument/2006/relationships/image" Target="media/image9.jpeg"/><Relationship Id="rId255" Type="http://schemas.openxmlformats.org/officeDocument/2006/relationships/hyperlink" Target="https://hr.admin.ox.ac.uk/files/jan2020hrexcellence8yearreviewandactionplanpdf" TargetMode="External"/><Relationship Id="rId276" Type="http://schemas.openxmlformats.org/officeDocument/2006/relationships/hyperlink" Target="https://www.ox.ac.uk/digital-prospectus/ug-community/college" TargetMode="External"/><Relationship Id="rId297" Type="http://schemas.openxmlformats.org/officeDocument/2006/relationships/hyperlink" Target="https://www.ox.ac.uk/research/public-engagement/engagement-opportunities" TargetMode="External"/><Relationship Id="rId40" Type="http://schemas.openxmlformats.org/officeDocument/2006/relationships/hyperlink" Target="https://public.tableau.com/views/UniversityofOxford-DLHESurvey/SectorsandRoles?%3Aembed=y&amp;%3Adisplay_count=yes&amp;%3AshowTabs=y&amp;%3AshowVizHome=no" TargetMode="External"/><Relationship Id="rId115" Type="http://schemas.openxmlformats.org/officeDocument/2006/relationships/hyperlink" Target="https://governance.admin.ox.ac.uk/legislation/part-2-education-committee-of-council-regulations-15-of-2002" TargetMode="External"/><Relationship Id="rId136" Type="http://schemas.openxmlformats.org/officeDocument/2006/relationships/hyperlink" Target="https://hrsystems.admin.ox.ac.uk/staffing-figures" TargetMode="External"/><Relationship Id="rId157" Type="http://schemas.openxmlformats.org/officeDocument/2006/relationships/hyperlink" Target="https://www.ox.ac.uk/admissions/undergraduate/student-life/exceptional-education/personalised-learning" TargetMode="External"/><Relationship Id="rId178" Type="http://schemas.openxmlformats.org/officeDocument/2006/relationships/hyperlink" Target="https://www.ox.ac.uk/about/organisation/finance-and-funding/financial-statements-oxford-colleges-2019-20" TargetMode="External"/><Relationship Id="rId301" Type="http://schemas.openxmlformats.org/officeDocument/2006/relationships/hyperlink" Target="https://researchsupport.admin.ox.ac.uk/innovation/ip/commercialisation" TargetMode="External"/><Relationship Id="rId322" Type="http://schemas.openxmlformats.org/officeDocument/2006/relationships/hyperlink" Target="https://www.ox.ac.uk/local-community/engagement/enhancing-oxford/learning" TargetMode="External"/><Relationship Id="rId343" Type="http://schemas.openxmlformats.org/officeDocument/2006/relationships/footer" Target="footer1.xml"/><Relationship Id="rId61" Type="http://schemas.openxmlformats.org/officeDocument/2006/relationships/hyperlink" Target="https://www.ox.ac.uk/local-community/small-community-grants/collaboration" TargetMode="External"/><Relationship Id="rId82" Type="http://schemas.openxmlformats.org/officeDocument/2006/relationships/hyperlink" Target="https://www.ox.ac.uk/news/2013-01-17-supporting-leadership-development-primary-schools" TargetMode="External"/><Relationship Id="rId199" Type="http://schemas.openxmlformats.org/officeDocument/2006/relationships/hyperlink" Target="https://www.ox.ac.uk/sites/files/oxford/field/field_document/Opportunities%20for%20collaboration%20WEB.pdf" TargetMode="External"/><Relationship Id="rId203" Type="http://schemas.openxmlformats.org/officeDocument/2006/relationships/hyperlink" Target="https://innovation.ox.ac.uk/about/" TargetMode="External"/><Relationship Id="rId19" Type="http://schemas.openxmlformats.org/officeDocument/2006/relationships/image" Target="media/image7.jpeg"/><Relationship Id="rId224" Type="http://schemas.openxmlformats.org/officeDocument/2006/relationships/hyperlink" Target="https://edu.admin.ox.ac.uk/race-equality-charter" TargetMode="External"/><Relationship Id="rId245" Type="http://schemas.openxmlformats.org/officeDocument/2006/relationships/hyperlink" Target="https://www.ox.ac.uk/sites/files/oxford/field/field_document/Strategic%20Plan%202018-23.pdf" TargetMode="External"/><Relationship Id="rId266" Type="http://schemas.openxmlformats.org/officeDocument/2006/relationships/hyperlink" Target="https://www.careers.ox.ac.uk/" TargetMode="External"/><Relationship Id="rId287" Type="http://schemas.openxmlformats.org/officeDocument/2006/relationships/hyperlink" Target="https://www.ox.ac.uk/admissions/undergraduate/student-life/exceptional-education/personalised-learning" TargetMode="External"/><Relationship Id="rId30" Type="http://schemas.openxmlformats.org/officeDocument/2006/relationships/hyperlink" Target="https://www.ox.ac.uk/digital-prospectus/ug-community/college" TargetMode="External"/><Relationship Id="rId105" Type="http://schemas.openxmlformats.org/officeDocument/2006/relationships/hyperlink" Target="https://apis.officeforstudents.org.uk/OfsRegisterDownload/api/Register/" TargetMode="External"/><Relationship Id="rId126" Type="http://schemas.openxmlformats.org/officeDocument/2006/relationships/hyperlink" Target="http://www.medsci.ox.ac.uk" TargetMode="External"/><Relationship Id="rId147" Type="http://schemas.openxmlformats.org/officeDocument/2006/relationships/hyperlink" Target="https://www.ox.ac.uk/sites/files/oxford/AnnualAdmissionsStatisticalReport2021.pdf" TargetMode="External"/><Relationship Id="rId168" Type="http://schemas.openxmlformats.org/officeDocument/2006/relationships/hyperlink" Target="https://www.ox.ac.uk/research/support-researchers/connecting-other-researchers" TargetMode="External"/><Relationship Id="rId312" Type="http://schemas.openxmlformats.org/officeDocument/2006/relationships/hyperlink" Target="https://www.ox.ac.uk/about/organisation/strategic-plan-2018-23/resources" TargetMode="External"/><Relationship Id="rId333" Type="http://schemas.openxmlformats.org/officeDocument/2006/relationships/hyperlink" Target="https://innovation.ox.ac.uk/wp-content/uploads/2014/04/Spin-out-Researcher-Booklet.pdf" TargetMode="External"/><Relationship Id="rId51" Type="http://schemas.openxmlformats.org/officeDocument/2006/relationships/hyperlink" Target="https://www.ox.ac.uk/research/research-impact/impact-films" TargetMode="External"/><Relationship Id="rId72" Type="http://schemas.openxmlformats.org/officeDocument/2006/relationships/image" Target="media/image14.jpeg"/><Relationship Id="rId93" Type="http://schemas.openxmlformats.org/officeDocument/2006/relationships/hyperlink" Target="https://www.development.ox.ac.uk/report2019-20/creating-opportunities-for-black-british-students" TargetMode="External"/><Relationship Id="rId189" Type="http://schemas.openxmlformats.org/officeDocument/2006/relationships/hyperlink" Target="https://www.ox.ac.uk/about/international-oxford/international-engagement-office" TargetMode="External"/><Relationship Id="rId3" Type="http://schemas.openxmlformats.org/officeDocument/2006/relationships/customXml" Target="../customXml/item3.xml"/><Relationship Id="rId214" Type="http://schemas.openxmlformats.org/officeDocument/2006/relationships/hyperlink" Target="https://otmn.co.uk/" TargetMode="External"/><Relationship Id="rId235" Type="http://schemas.openxmlformats.org/officeDocument/2006/relationships/hyperlink" Target="https://governance.admin.ox.ac.uk/" TargetMode="External"/><Relationship Id="rId256" Type="http://schemas.openxmlformats.org/officeDocument/2006/relationships/hyperlink" Target="https://hr.admin.ox.ac.uk/article/self-assessment-checklist" TargetMode="External"/><Relationship Id="rId277" Type="http://schemas.openxmlformats.org/officeDocument/2006/relationships/hyperlink" Target="https://www.ox.ac.uk/digital-prospectus/ug-community/college" TargetMode="External"/><Relationship Id="rId298" Type="http://schemas.openxmlformats.org/officeDocument/2006/relationships/hyperlink" Target="https://www.ox.ac.uk/research/public-engagement/support-research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g"/><Relationship Id="rId1" Type="http://schemas.openxmlformats.org/officeDocument/2006/relationships/image" Target="media/image22.png"/><Relationship Id="rId4"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www.ox.ac.uk/sites/files/oxford/Economic%20Impact%20of%20the%20University%20of%20Oxfor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14D9E0-F344-4D38-B758-3A8B6541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83</TotalTime>
  <Pages>1</Pages>
  <Words>53499</Words>
  <Characters>288897</Characters>
  <Application>Microsoft Office Word</Application>
  <DocSecurity>0</DocSecurity>
  <Lines>2407</Lines>
  <Paragraphs>683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12</cp:revision>
  <cp:lastPrinted>2021-08-19T02:15:00Z</cp:lastPrinted>
  <dcterms:created xsi:type="dcterms:W3CDTF">2021-08-20T13:11:00Z</dcterms:created>
  <dcterms:modified xsi:type="dcterms:W3CDTF">2021-12-28T22:51:00Z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