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38DF0E4" w14:textId="77777777" w:rsidR="004254B5" w:rsidRPr="00516038" w:rsidRDefault="004254B5" w:rsidP="00AA431F">
      <w:pPr>
        <w:tabs>
          <w:tab w:val="clear" w:pos="1615"/>
        </w:tabs>
        <w:spacing w:line="360" w:lineRule="auto"/>
        <w:jc w:val="center"/>
        <w:rPr>
          <w:rFonts w:asciiTheme="majorHAnsi" w:hAnsiTheme="majorHAnsi" w:cstheme="majorHAnsi"/>
          <w:b/>
          <w:sz w:val="32"/>
        </w:rPr>
      </w:pPr>
      <w:bookmarkStart w:id="0" w:name="_Hlk101252800"/>
      <w:r w:rsidRPr="00516038">
        <w:rPr>
          <w:rFonts w:asciiTheme="majorHAnsi" w:hAnsiTheme="majorHAnsi" w:cstheme="majorHAnsi"/>
          <w:b/>
          <w:noProof/>
          <w:sz w:val="32"/>
          <w:lang w:eastAsia="pt-BR"/>
        </w:rPr>
        <w:drawing>
          <wp:inline distT="0" distB="0" distL="0" distR="0" wp14:anchorId="411C4C49" wp14:editId="75A76EAC">
            <wp:extent cx="3988676" cy="1537856"/>
            <wp:effectExtent l="0" t="0" r="0" b="5715"/>
            <wp:docPr id="3" name="Picture 2" descr="Logotip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tipo&#10;&#10;Descrição gerada automaticamente"/>
                    <pic:cNvPicPr/>
                  </pic:nvPicPr>
                  <pic:blipFill>
                    <a:blip r:embed="rId11">
                      <a:extLst>
                        <a:ext uri="{28A0092B-C50C-407E-A947-70E740481C1C}">
                          <a14:useLocalDpi xmlns:a14="http://schemas.microsoft.com/office/drawing/2010/main" val="0"/>
                        </a:ext>
                      </a:extLst>
                    </a:blip>
                    <a:stretch>
                      <a:fillRect/>
                    </a:stretch>
                  </pic:blipFill>
                  <pic:spPr>
                    <a:xfrm>
                      <a:off x="0" y="0"/>
                      <a:ext cx="4005374" cy="1544294"/>
                    </a:xfrm>
                    <a:prstGeom prst="rect">
                      <a:avLst/>
                    </a:prstGeom>
                  </pic:spPr>
                </pic:pic>
              </a:graphicData>
            </a:graphic>
          </wp:inline>
        </w:drawing>
      </w:r>
    </w:p>
    <w:p w14:paraId="475F1127" w14:textId="77777777" w:rsidR="004254B5" w:rsidRPr="00516038" w:rsidRDefault="004254B5" w:rsidP="00AA431F">
      <w:pPr>
        <w:pStyle w:val="PargrafodaLista"/>
        <w:tabs>
          <w:tab w:val="clear" w:pos="1615"/>
        </w:tabs>
        <w:spacing w:line="360" w:lineRule="auto"/>
        <w:ind w:left="0"/>
        <w:jc w:val="center"/>
        <w:rPr>
          <w:rFonts w:asciiTheme="majorHAnsi" w:hAnsiTheme="majorHAnsi" w:cstheme="majorHAnsi"/>
          <w:b/>
          <w:color w:val="4875BD" w:themeColor="text1"/>
          <w:sz w:val="36"/>
        </w:rPr>
      </w:pPr>
    </w:p>
    <w:p w14:paraId="2521D318" w14:textId="77777777" w:rsidR="004254B5" w:rsidRPr="00516038" w:rsidRDefault="004254B5" w:rsidP="00AA431F">
      <w:pPr>
        <w:tabs>
          <w:tab w:val="clear" w:pos="1615"/>
        </w:tabs>
        <w:jc w:val="center"/>
        <w:rPr>
          <w:rFonts w:asciiTheme="majorHAnsi" w:hAnsiTheme="majorHAnsi" w:cstheme="majorHAnsi"/>
          <w:b/>
          <w:sz w:val="56"/>
        </w:rPr>
      </w:pPr>
      <w:r w:rsidRPr="00516038">
        <w:rPr>
          <w:rFonts w:asciiTheme="majorHAnsi" w:hAnsiTheme="majorHAnsi" w:cstheme="majorHAnsi"/>
          <w:b/>
          <w:sz w:val="56"/>
        </w:rPr>
        <w:t>Estudo de Viabilidade de uma Universidade Distrital</w:t>
      </w:r>
    </w:p>
    <w:p w14:paraId="1DAC15F7" w14:textId="77777777" w:rsidR="004254B5" w:rsidRPr="00516038" w:rsidRDefault="004254B5" w:rsidP="00AA431F">
      <w:pPr>
        <w:tabs>
          <w:tab w:val="clear" w:pos="1615"/>
        </w:tabs>
        <w:spacing w:after="0"/>
        <w:rPr>
          <w:rFonts w:asciiTheme="majorHAnsi" w:hAnsiTheme="majorHAnsi" w:cstheme="majorHAnsi"/>
          <w:b/>
          <w:color w:val="4875BD" w:themeColor="text1"/>
          <w:sz w:val="40"/>
          <w:szCs w:val="14"/>
        </w:rPr>
      </w:pPr>
    </w:p>
    <w:p w14:paraId="60505666" w14:textId="0E9E5274" w:rsidR="004254B5" w:rsidRPr="00516038" w:rsidRDefault="00D25145" w:rsidP="00D25145">
      <w:pPr>
        <w:tabs>
          <w:tab w:val="clear" w:pos="1615"/>
        </w:tabs>
        <w:ind w:left="567" w:right="282"/>
        <w:jc w:val="center"/>
        <w:rPr>
          <w:rFonts w:asciiTheme="majorHAnsi" w:hAnsiTheme="majorHAnsi" w:cstheme="majorHAnsi"/>
          <w:bCs/>
          <w:sz w:val="40"/>
          <w:szCs w:val="14"/>
        </w:rPr>
      </w:pPr>
      <w:r w:rsidRPr="00516038">
        <w:rPr>
          <w:rFonts w:asciiTheme="majorHAnsi" w:hAnsiTheme="majorHAnsi" w:cstheme="majorHAnsi"/>
          <w:bCs/>
          <w:sz w:val="40"/>
          <w:szCs w:val="14"/>
        </w:rPr>
        <w:t>Organização didático-pedagógica dos cursos com métodos, técnicas e metodologias (metodologias ativas de ensino e aprendizagem)</w:t>
      </w:r>
    </w:p>
    <w:p w14:paraId="050F69BD" w14:textId="77777777" w:rsidR="004254B5" w:rsidRPr="00516038" w:rsidRDefault="004254B5" w:rsidP="00AA431F">
      <w:pPr>
        <w:tabs>
          <w:tab w:val="clear" w:pos="1615"/>
        </w:tabs>
        <w:spacing w:line="276" w:lineRule="auto"/>
        <w:jc w:val="center"/>
        <w:rPr>
          <w:rFonts w:asciiTheme="majorHAnsi" w:hAnsiTheme="majorHAnsi" w:cstheme="majorHAnsi"/>
          <w:bCs/>
          <w:sz w:val="40"/>
          <w:szCs w:val="14"/>
        </w:rPr>
      </w:pPr>
    </w:p>
    <w:tbl>
      <w:tblPr>
        <w:tblStyle w:val="Tabelacomgrade"/>
        <w:tblpPr w:leftFromText="141" w:rightFromText="141" w:vertAnchor="text" w:horzAnchor="page" w:tblpX="1766" w:tblpY="93"/>
        <w:tblOverlap w:val="never"/>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084"/>
        <w:gridCol w:w="6697"/>
      </w:tblGrid>
      <w:tr w:rsidR="004254B5" w:rsidRPr="00516038" w14:paraId="41C080C6" w14:textId="77777777" w:rsidTr="00E01E20">
        <w:trPr>
          <w:trHeight w:val="454"/>
        </w:trPr>
        <w:tc>
          <w:tcPr>
            <w:tcW w:w="8781"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hideMark/>
          </w:tcPr>
          <w:p w14:paraId="3B58339A" w14:textId="77777777" w:rsidR="004254B5" w:rsidRPr="00516038" w:rsidRDefault="004254B5" w:rsidP="00AA431F">
            <w:pPr>
              <w:tabs>
                <w:tab w:val="clear" w:pos="1615"/>
              </w:tabs>
              <w:spacing w:line="276" w:lineRule="auto"/>
              <w:jc w:val="center"/>
              <w:rPr>
                <w:rFonts w:asciiTheme="majorHAnsi" w:hAnsiTheme="majorHAnsi" w:cstheme="majorHAnsi"/>
                <w:b/>
                <w:bCs/>
                <w:sz w:val="28"/>
                <w:szCs w:val="28"/>
              </w:rPr>
            </w:pPr>
            <w:r w:rsidRPr="00516038">
              <w:rPr>
                <w:rFonts w:asciiTheme="majorHAnsi" w:hAnsiTheme="majorHAnsi" w:cstheme="majorHAnsi"/>
                <w:b/>
                <w:bCs/>
                <w:sz w:val="28"/>
                <w:szCs w:val="28"/>
              </w:rPr>
              <w:t>Identificação do Projeto</w:t>
            </w:r>
          </w:p>
        </w:tc>
      </w:tr>
      <w:tr w:rsidR="001E3720" w:rsidRPr="00516038" w14:paraId="3789ABF8" w14:textId="77777777" w:rsidTr="00E01E20">
        <w:trPr>
          <w:trHeight w:val="323"/>
        </w:trPr>
        <w:tc>
          <w:tcPr>
            <w:tcW w:w="20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11190001" w14:textId="20478B3A" w:rsidR="001E3720" w:rsidRPr="00516038" w:rsidRDefault="001E3720" w:rsidP="00AA431F">
            <w:pPr>
              <w:tabs>
                <w:tab w:val="clear" w:pos="1615"/>
              </w:tabs>
              <w:spacing w:line="276" w:lineRule="auto"/>
              <w:rPr>
                <w:rFonts w:asciiTheme="majorHAnsi" w:hAnsiTheme="majorHAnsi" w:cstheme="majorHAnsi"/>
              </w:rPr>
            </w:pPr>
          </w:p>
        </w:tc>
        <w:tc>
          <w:tcPr>
            <w:tcW w:w="669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0721D233" w14:textId="414C1ED4" w:rsidR="001E3720" w:rsidRPr="00516038" w:rsidRDefault="001E3720" w:rsidP="00AA431F">
            <w:pPr>
              <w:tabs>
                <w:tab w:val="clear" w:pos="1615"/>
              </w:tabs>
              <w:spacing w:line="276" w:lineRule="auto"/>
              <w:rPr>
                <w:rFonts w:asciiTheme="majorHAnsi" w:eastAsia="Calibri" w:hAnsiTheme="majorHAnsi" w:cstheme="majorHAnsi"/>
              </w:rPr>
            </w:pPr>
          </w:p>
        </w:tc>
      </w:tr>
      <w:tr w:rsidR="004254B5" w:rsidRPr="00516038" w14:paraId="3BE6D897" w14:textId="77777777" w:rsidTr="00E01E20">
        <w:trPr>
          <w:trHeight w:val="321"/>
        </w:trPr>
        <w:tc>
          <w:tcPr>
            <w:tcW w:w="20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379720D6" w14:textId="77777777" w:rsidR="004254B5" w:rsidRPr="00516038" w:rsidRDefault="004254B5" w:rsidP="00AA431F">
            <w:pPr>
              <w:tabs>
                <w:tab w:val="clear" w:pos="1615"/>
              </w:tabs>
              <w:spacing w:line="276" w:lineRule="auto"/>
              <w:rPr>
                <w:rFonts w:asciiTheme="majorHAnsi" w:hAnsiTheme="majorHAnsi" w:cstheme="majorHAnsi"/>
              </w:rPr>
            </w:pPr>
            <w:r w:rsidRPr="00516038">
              <w:rPr>
                <w:rFonts w:asciiTheme="majorHAnsi" w:hAnsiTheme="majorHAnsi" w:cstheme="majorHAnsi"/>
              </w:rPr>
              <w:t>Nome do Projeto</w:t>
            </w:r>
          </w:p>
        </w:tc>
        <w:tc>
          <w:tcPr>
            <w:tcW w:w="669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3BD3801E" w14:textId="5BD49DAE" w:rsidR="004254B5" w:rsidRPr="00516038" w:rsidRDefault="001E3720" w:rsidP="00AA431F">
            <w:pPr>
              <w:tabs>
                <w:tab w:val="clear" w:pos="1615"/>
              </w:tabs>
              <w:spacing w:line="276" w:lineRule="auto"/>
              <w:rPr>
                <w:rFonts w:asciiTheme="majorHAnsi" w:eastAsia="Calibri" w:hAnsiTheme="majorHAnsi" w:cstheme="majorHAnsi"/>
              </w:rPr>
            </w:pPr>
            <w:r w:rsidRPr="00516038">
              <w:rPr>
                <w:rFonts w:asciiTheme="majorHAnsi" w:hAnsiTheme="majorHAnsi" w:cstheme="majorHAnsi"/>
              </w:rPr>
              <w:t>Desenvolvimento de projeto de pesquisa de uma Universidade do Distrito Federal</w:t>
            </w:r>
          </w:p>
        </w:tc>
      </w:tr>
      <w:tr w:rsidR="004254B5" w:rsidRPr="00516038" w14:paraId="54317EE3" w14:textId="77777777" w:rsidTr="00E01E20">
        <w:trPr>
          <w:trHeight w:val="321"/>
        </w:trPr>
        <w:tc>
          <w:tcPr>
            <w:tcW w:w="20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220FDC98" w14:textId="77777777" w:rsidR="004254B5" w:rsidRPr="00516038" w:rsidRDefault="004254B5" w:rsidP="00AA431F">
            <w:pPr>
              <w:tabs>
                <w:tab w:val="clear" w:pos="1615"/>
              </w:tabs>
              <w:spacing w:line="276" w:lineRule="auto"/>
              <w:rPr>
                <w:rFonts w:asciiTheme="majorHAnsi" w:hAnsiTheme="majorHAnsi" w:cstheme="majorHAnsi"/>
              </w:rPr>
            </w:pPr>
            <w:r w:rsidRPr="00516038">
              <w:rPr>
                <w:rFonts w:asciiTheme="majorHAnsi" w:hAnsiTheme="majorHAnsi" w:cstheme="majorHAnsi"/>
              </w:rPr>
              <w:t>Produto</w:t>
            </w:r>
          </w:p>
        </w:tc>
        <w:tc>
          <w:tcPr>
            <w:tcW w:w="669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558E6E7C" w14:textId="3F27EB8F" w:rsidR="004254B5" w:rsidRPr="00516038" w:rsidRDefault="00D25145" w:rsidP="00AA431F">
            <w:pPr>
              <w:tabs>
                <w:tab w:val="clear" w:pos="1615"/>
              </w:tabs>
              <w:spacing w:line="276" w:lineRule="auto"/>
              <w:rPr>
                <w:rFonts w:asciiTheme="majorHAnsi" w:hAnsiTheme="majorHAnsi" w:cstheme="majorHAnsi"/>
              </w:rPr>
            </w:pPr>
            <w:r w:rsidRPr="00516038">
              <w:rPr>
                <w:rFonts w:asciiTheme="majorHAnsi" w:hAnsiTheme="majorHAnsi" w:cstheme="majorHAnsi"/>
              </w:rPr>
              <w:t>Organização didático-pedagógica dos cursos com métodos, técnicas e metodologias (metodologias ativas de ensino e aprendizagem)</w:t>
            </w:r>
          </w:p>
        </w:tc>
      </w:tr>
      <w:tr w:rsidR="004254B5" w:rsidRPr="00516038" w14:paraId="557F4265" w14:textId="77777777" w:rsidTr="00E01E20">
        <w:trPr>
          <w:trHeight w:val="321"/>
        </w:trPr>
        <w:tc>
          <w:tcPr>
            <w:tcW w:w="20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09DD9D44" w14:textId="77777777" w:rsidR="004254B5" w:rsidRPr="00516038" w:rsidRDefault="004254B5" w:rsidP="00AA431F">
            <w:pPr>
              <w:tabs>
                <w:tab w:val="clear" w:pos="1615"/>
              </w:tabs>
              <w:spacing w:line="276" w:lineRule="auto"/>
              <w:rPr>
                <w:rFonts w:asciiTheme="majorHAnsi" w:hAnsiTheme="majorHAnsi" w:cstheme="majorHAnsi"/>
              </w:rPr>
            </w:pPr>
            <w:r w:rsidRPr="00516038">
              <w:rPr>
                <w:rFonts w:asciiTheme="majorHAnsi" w:hAnsiTheme="majorHAnsi" w:cstheme="majorHAnsi"/>
              </w:rPr>
              <w:t>Diretoria</w:t>
            </w:r>
          </w:p>
        </w:tc>
        <w:tc>
          <w:tcPr>
            <w:tcW w:w="669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15E6E22B" w14:textId="77777777" w:rsidR="004254B5" w:rsidRPr="00516038" w:rsidRDefault="004254B5" w:rsidP="00AA431F">
            <w:pPr>
              <w:tabs>
                <w:tab w:val="clear" w:pos="1615"/>
              </w:tabs>
              <w:spacing w:line="276" w:lineRule="auto"/>
              <w:rPr>
                <w:rFonts w:asciiTheme="majorHAnsi" w:hAnsiTheme="majorHAnsi" w:cstheme="majorHAnsi"/>
              </w:rPr>
            </w:pPr>
            <w:r w:rsidRPr="00516038">
              <w:rPr>
                <w:rFonts w:asciiTheme="majorHAnsi" w:hAnsiTheme="majorHAnsi" w:cstheme="majorHAnsi"/>
              </w:rPr>
              <w:t>Executiva</w:t>
            </w:r>
          </w:p>
        </w:tc>
      </w:tr>
      <w:tr w:rsidR="004254B5" w:rsidRPr="00516038" w14:paraId="29ADC803" w14:textId="77777777" w:rsidTr="00E01E20">
        <w:trPr>
          <w:trHeight w:val="321"/>
        </w:trPr>
        <w:tc>
          <w:tcPr>
            <w:tcW w:w="20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0E22EE11" w14:textId="77777777" w:rsidR="004254B5" w:rsidRPr="00516038" w:rsidRDefault="004254B5" w:rsidP="00AA431F">
            <w:pPr>
              <w:tabs>
                <w:tab w:val="clear" w:pos="1615"/>
              </w:tabs>
              <w:spacing w:line="276" w:lineRule="auto"/>
              <w:rPr>
                <w:rFonts w:asciiTheme="majorHAnsi" w:hAnsiTheme="majorHAnsi" w:cstheme="majorHAnsi"/>
              </w:rPr>
            </w:pPr>
            <w:r w:rsidRPr="00516038">
              <w:rPr>
                <w:rFonts w:asciiTheme="majorHAnsi" w:hAnsiTheme="majorHAnsi" w:cstheme="majorHAnsi"/>
              </w:rPr>
              <w:t>Coordenação do projeto</w:t>
            </w:r>
          </w:p>
        </w:tc>
        <w:tc>
          <w:tcPr>
            <w:tcW w:w="669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6D13BFB1" w14:textId="77777777" w:rsidR="004254B5" w:rsidRPr="00516038" w:rsidRDefault="004254B5" w:rsidP="00AA431F">
            <w:pPr>
              <w:tabs>
                <w:tab w:val="clear" w:pos="1615"/>
              </w:tabs>
              <w:spacing w:line="276" w:lineRule="auto"/>
              <w:rPr>
                <w:rFonts w:asciiTheme="majorHAnsi" w:eastAsia="Calibri" w:hAnsiTheme="majorHAnsi" w:cstheme="majorHAnsi"/>
              </w:rPr>
            </w:pPr>
            <w:r w:rsidRPr="00516038">
              <w:rPr>
                <w:rFonts w:asciiTheme="majorHAnsi" w:eastAsia="Calibri" w:hAnsiTheme="majorHAnsi" w:cstheme="majorHAnsi"/>
              </w:rPr>
              <w:t>Claudia Maffini Griboski</w:t>
            </w:r>
          </w:p>
        </w:tc>
      </w:tr>
      <w:tr w:rsidR="004254B5" w:rsidRPr="00516038" w14:paraId="4412887C" w14:textId="77777777" w:rsidTr="00E01E20">
        <w:trPr>
          <w:trHeight w:val="321"/>
        </w:trPr>
        <w:tc>
          <w:tcPr>
            <w:tcW w:w="20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0ADEE559" w14:textId="77777777" w:rsidR="004254B5" w:rsidRPr="00516038" w:rsidRDefault="004254B5" w:rsidP="00AA431F">
            <w:pPr>
              <w:tabs>
                <w:tab w:val="clear" w:pos="1615"/>
              </w:tabs>
              <w:spacing w:line="276" w:lineRule="auto"/>
              <w:jc w:val="both"/>
              <w:rPr>
                <w:rFonts w:asciiTheme="majorHAnsi" w:hAnsiTheme="majorHAnsi" w:cstheme="majorHAnsi"/>
              </w:rPr>
            </w:pPr>
            <w:r w:rsidRPr="00516038">
              <w:rPr>
                <w:rFonts w:asciiTheme="majorHAnsi" w:hAnsiTheme="majorHAnsi" w:cstheme="majorHAnsi"/>
              </w:rPr>
              <w:t xml:space="preserve">Consultor </w:t>
            </w:r>
          </w:p>
        </w:tc>
        <w:tc>
          <w:tcPr>
            <w:tcW w:w="669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hideMark/>
          </w:tcPr>
          <w:p w14:paraId="24113B09" w14:textId="2F67E3BE" w:rsidR="004254B5" w:rsidRPr="00516038" w:rsidRDefault="00D25145" w:rsidP="00AA431F">
            <w:pPr>
              <w:tabs>
                <w:tab w:val="clear" w:pos="1615"/>
              </w:tabs>
              <w:spacing w:line="276" w:lineRule="auto"/>
              <w:rPr>
                <w:rFonts w:asciiTheme="majorHAnsi" w:eastAsia="Calibri" w:hAnsiTheme="majorHAnsi" w:cstheme="majorHAnsi"/>
              </w:rPr>
            </w:pPr>
            <w:r w:rsidRPr="00516038">
              <w:rPr>
                <w:rFonts w:asciiTheme="majorHAnsi" w:eastAsia="Calibri" w:hAnsiTheme="majorHAnsi" w:cstheme="majorHAnsi"/>
              </w:rPr>
              <w:t>Angelo Luiz Cortelazzo</w:t>
            </w:r>
          </w:p>
        </w:tc>
      </w:tr>
      <w:tr w:rsidR="004254B5" w:rsidRPr="00516038" w14:paraId="3E5120CD" w14:textId="77777777" w:rsidTr="00E01E20">
        <w:trPr>
          <w:trHeight w:val="321"/>
        </w:trPr>
        <w:tc>
          <w:tcPr>
            <w:tcW w:w="20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hideMark/>
          </w:tcPr>
          <w:p w14:paraId="160ACA13" w14:textId="77777777" w:rsidR="004254B5" w:rsidRPr="00516038" w:rsidRDefault="004254B5" w:rsidP="00AA431F">
            <w:pPr>
              <w:tabs>
                <w:tab w:val="clear" w:pos="1615"/>
              </w:tabs>
              <w:spacing w:line="276" w:lineRule="auto"/>
              <w:rPr>
                <w:rFonts w:asciiTheme="majorHAnsi" w:hAnsiTheme="majorHAnsi" w:cstheme="majorHAnsi"/>
              </w:rPr>
            </w:pPr>
            <w:r w:rsidRPr="00516038">
              <w:rPr>
                <w:rFonts w:asciiTheme="majorHAnsi" w:hAnsiTheme="majorHAnsi" w:cstheme="majorHAnsi"/>
              </w:rPr>
              <w:t>Data</w:t>
            </w:r>
          </w:p>
        </w:tc>
        <w:tc>
          <w:tcPr>
            <w:tcW w:w="669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hideMark/>
          </w:tcPr>
          <w:p w14:paraId="36F70A41" w14:textId="7696C4D4" w:rsidR="004254B5" w:rsidRPr="00516038" w:rsidRDefault="00D25145" w:rsidP="00AA431F">
            <w:pPr>
              <w:tabs>
                <w:tab w:val="clear" w:pos="1615"/>
              </w:tabs>
              <w:spacing w:line="276" w:lineRule="auto"/>
              <w:rPr>
                <w:rFonts w:asciiTheme="majorHAnsi" w:eastAsia="Calibri" w:hAnsiTheme="majorHAnsi" w:cstheme="majorHAnsi"/>
              </w:rPr>
            </w:pPr>
            <w:r w:rsidRPr="00516038">
              <w:rPr>
                <w:rFonts w:asciiTheme="majorHAnsi" w:eastAsia="Calibri" w:hAnsiTheme="majorHAnsi" w:cstheme="majorHAnsi"/>
              </w:rPr>
              <w:t>29/12/2021</w:t>
            </w:r>
          </w:p>
        </w:tc>
      </w:tr>
    </w:tbl>
    <w:p w14:paraId="4964335C" w14:textId="77777777" w:rsidR="004254B5" w:rsidRPr="00516038" w:rsidRDefault="004254B5" w:rsidP="00AA431F">
      <w:pPr>
        <w:tabs>
          <w:tab w:val="clear" w:pos="1615"/>
        </w:tabs>
        <w:jc w:val="center"/>
        <w:rPr>
          <w:rFonts w:asciiTheme="majorHAnsi" w:hAnsiTheme="majorHAnsi" w:cstheme="majorHAnsi"/>
          <w:bCs/>
          <w:noProof/>
          <w:lang w:eastAsia="pt-BR"/>
        </w:rPr>
      </w:pPr>
    </w:p>
    <w:p w14:paraId="241336ED" w14:textId="77777777" w:rsidR="004254B5" w:rsidRPr="00516038" w:rsidRDefault="004254B5" w:rsidP="00AA431F">
      <w:pPr>
        <w:tabs>
          <w:tab w:val="clear" w:pos="1615"/>
        </w:tabs>
        <w:jc w:val="center"/>
        <w:rPr>
          <w:rFonts w:asciiTheme="majorHAnsi" w:hAnsiTheme="majorHAnsi" w:cstheme="majorHAnsi"/>
          <w:bCs/>
          <w:noProof/>
          <w:lang w:eastAsia="pt-BR"/>
        </w:rPr>
      </w:pPr>
    </w:p>
    <w:p w14:paraId="102EE829" w14:textId="77777777" w:rsidR="004254B5" w:rsidRPr="00516038" w:rsidRDefault="004254B5" w:rsidP="00AA431F">
      <w:pPr>
        <w:tabs>
          <w:tab w:val="clear" w:pos="1615"/>
        </w:tabs>
        <w:jc w:val="center"/>
        <w:rPr>
          <w:rFonts w:asciiTheme="majorHAnsi" w:hAnsiTheme="majorHAnsi" w:cstheme="majorHAnsi"/>
          <w:bCs/>
          <w:noProof/>
          <w:lang w:eastAsia="pt-BR"/>
        </w:rPr>
      </w:pPr>
    </w:p>
    <w:p w14:paraId="728D1A00" w14:textId="77777777" w:rsidR="004254B5" w:rsidRPr="00516038" w:rsidRDefault="004254B5" w:rsidP="00AA431F">
      <w:pPr>
        <w:tabs>
          <w:tab w:val="clear" w:pos="1615"/>
        </w:tabs>
        <w:jc w:val="center"/>
        <w:rPr>
          <w:rFonts w:asciiTheme="majorHAnsi" w:hAnsiTheme="majorHAnsi" w:cstheme="majorHAnsi"/>
          <w:bCs/>
          <w:noProof/>
          <w:lang w:eastAsia="pt-BR"/>
        </w:rPr>
      </w:pPr>
    </w:p>
    <w:p w14:paraId="2A2B592E" w14:textId="77777777" w:rsidR="004254B5" w:rsidRPr="00516038" w:rsidRDefault="004254B5" w:rsidP="00AA431F">
      <w:pPr>
        <w:tabs>
          <w:tab w:val="clear" w:pos="1615"/>
        </w:tabs>
        <w:jc w:val="center"/>
        <w:rPr>
          <w:rFonts w:asciiTheme="majorHAnsi" w:hAnsiTheme="majorHAnsi" w:cstheme="majorHAnsi"/>
          <w:bCs/>
          <w:noProof/>
          <w:lang w:eastAsia="pt-BR"/>
        </w:rPr>
      </w:pPr>
    </w:p>
    <w:p w14:paraId="5C08F1D5" w14:textId="77777777" w:rsidR="004254B5" w:rsidRPr="00516038" w:rsidRDefault="004254B5" w:rsidP="00AA431F">
      <w:pPr>
        <w:tabs>
          <w:tab w:val="clear" w:pos="1615"/>
        </w:tabs>
        <w:jc w:val="center"/>
        <w:rPr>
          <w:rFonts w:asciiTheme="majorHAnsi" w:hAnsiTheme="majorHAnsi" w:cstheme="majorHAnsi"/>
          <w:bCs/>
          <w:noProof/>
          <w:lang w:eastAsia="pt-BR"/>
        </w:rPr>
      </w:pPr>
    </w:p>
    <w:p w14:paraId="5E325417" w14:textId="77777777" w:rsidR="004254B5" w:rsidRPr="00516038" w:rsidRDefault="004254B5" w:rsidP="00AA431F">
      <w:pPr>
        <w:tabs>
          <w:tab w:val="clear" w:pos="1615"/>
        </w:tabs>
        <w:jc w:val="center"/>
        <w:rPr>
          <w:rFonts w:asciiTheme="majorHAnsi" w:hAnsiTheme="majorHAnsi" w:cstheme="majorHAnsi"/>
          <w:bCs/>
          <w:noProof/>
          <w:lang w:eastAsia="pt-BR"/>
        </w:rPr>
      </w:pPr>
    </w:p>
    <w:p w14:paraId="4BD0DCC8" w14:textId="77777777" w:rsidR="004254B5" w:rsidRPr="00516038" w:rsidRDefault="004254B5" w:rsidP="00AA431F">
      <w:pPr>
        <w:tabs>
          <w:tab w:val="clear" w:pos="1615"/>
        </w:tabs>
        <w:jc w:val="center"/>
        <w:rPr>
          <w:rFonts w:asciiTheme="majorHAnsi" w:hAnsiTheme="majorHAnsi" w:cstheme="majorHAnsi"/>
          <w:bCs/>
          <w:noProof/>
          <w:lang w:eastAsia="pt-BR"/>
        </w:rPr>
      </w:pPr>
    </w:p>
    <w:p w14:paraId="26B2CA1C" w14:textId="77777777" w:rsidR="004254B5" w:rsidRPr="00516038" w:rsidRDefault="004254B5" w:rsidP="00AA431F">
      <w:pPr>
        <w:tabs>
          <w:tab w:val="clear" w:pos="1615"/>
        </w:tabs>
        <w:jc w:val="center"/>
        <w:rPr>
          <w:rFonts w:asciiTheme="majorHAnsi" w:hAnsiTheme="majorHAnsi" w:cstheme="majorHAnsi"/>
          <w:bCs/>
          <w:noProof/>
          <w:lang w:eastAsia="pt-BR"/>
        </w:rPr>
      </w:pPr>
    </w:p>
    <w:p w14:paraId="34006BC4" w14:textId="77777777" w:rsidR="004254B5" w:rsidRPr="00516038" w:rsidRDefault="004254B5" w:rsidP="00AA431F">
      <w:pPr>
        <w:tabs>
          <w:tab w:val="clear" w:pos="1615"/>
        </w:tabs>
        <w:jc w:val="center"/>
        <w:rPr>
          <w:rFonts w:asciiTheme="majorHAnsi" w:hAnsiTheme="majorHAnsi" w:cstheme="majorHAnsi"/>
          <w:bCs/>
          <w:noProof/>
          <w:lang w:eastAsia="pt-BR"/>
        </w:rPr>
      </w:pPr>
    </w:p>
    <w:p w14:paraId="0F32FEA5" w14:textId="77777777" w:rsidR="004254B5" w:rsidRPr="00516038" w:rsidRDefault="004254B5" w:rsidP="00AA431F">
      <w:pPr>
        <w:tabs>
          <w:tab w:val="clear" w:pos="1615"/>
        </w:tabs>
        <w:jc w:val="center"/>
        <w:rPr>
          <w:rFonts w:asciiTheme="majorHAnsi" w:hAnsiTheme="majorHAnsi" w:cstheme="majorHAnsi"/>
          <w:bCs/>
          <w:noProof/>
          <w:lang w:eastAsia="pt-BR"/>
        </w:rPr>
      </w:pPr>
    </w:p>
    <w:p w14:paraId="325FBB83" w14:textId="77777777" w:rsidR="004254B5" w:rsidRPr="00516038" w:rsidRDefault="004254B5" w:rsidP="00AA431F">
      <w:pPr>
        <w:pStyle w:val="PargrafodaLista"/>
        <w:tabs>
          <w:tab w:val="clear" w:pos="1615"/>
        </w:tabs>
        <w:spacing w:after="0" w:line="360" w:lineRule="auto"/>
        <w:ind w:left="0" w:right="-149"/>
        <w:jc w:val="both"/>
        <w:rPr>
          <w:rFonts w:asciiTheme="majorHAnsi" w:hAnsiTheme="majorHAnsi" w:cstheme="majorHAnsi"/>
          <w:b/>
          <w:color w:val="4875BD" w:themeColor="accent1"/>
          <w:sz w:val="44"/>
          <w:szCs w:val="36"/>
        </w:rPr>
      </w:pPr>
      <w:r w:rsidRPr="00516038">
        <w:rPr>
          <w:rFonts w:asciiTheme="majorHAnsi" w:hAnsiTheme="majorHAnsi" w:cstheme="majorHAnsi"/>
          <w:bCs/>
          <w:noProof/>
          <w:lang w:eastAsia="pt-BR"/>
        </w:rPr>
        <w:br w:type="column"/>
      </w:r>
      <w:bookmarkStart w:id="1" w:name="_Toc82099826"/>
      <w:r w:rsidRPr="00516038">
        <w:rPr>
          <w:rFonts w:asciiTheme="majorHAnsi" w:hAnsiTheme="majorHAnsi" w:cstheme="majorHAnsi"/>
          <w:b/>
          <w:color w:val="4875BD" w:themeColor="accent1"/>
          <w:sz w:val="44"/>
          <w:szCs w:val="36"/>
        </w:rPr>
        <w:lastRenderedPageBreak/>
        <w:t>SUMÁRIO</w:t>
      </w:r>
    </w:p>
    <w:p w14:paraId="1DA95394" w14:textId="77777777" w:rsidR="004254B5" w:rsidRPr="00516038" w:rsidRDefault="004254B5" w:rsidP="00AA431F">
      <w:pPr>
        <w:pStyle w:val="PargrafodaLista"/>
        <w:tabs>
          <w:tab w:val="clear" w:pos="1615"/>
        </w:tabs>
        <w:spacing w:after="0" w:line="360" w:lineRule="auto"/>
        <w:ind w:left="0" w:right="-149"/>
        <w:jc w:val="both"/>
        <w:rPr>
          <w:rFonts w:asciiTheme="majorHAnsi" w:hAnsiTheme="majorHAnsi" w:cstheme="majorHAnsi"/>
          <w:b/>
          <w:color w:val="4875BD" w:themeColor="accent1"/>
        </w:rPr>
      </w:pPr>
    </w:p>
    <w:tbl>
      <w:tblPr>
        <w:tblStyle w:val="Tabelacomgrade"/>
        <w:tblW w:w="906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650"/>
        <w:gridCol w:w="1417"/>
      </w:tblGrid>
      <w:tr w:rsidR="006E3C14" w:rsidRPr="00516038" w14:paraId="531CFC81" w14:textId="77777777" w:rsidTr="00162468">
        <w:trPr>
          <w:trHeight w:val="391"/>
        </w:trPr>
        <w:tc>
          <w:tcPr>
            <w:tcW w:w="7650" w:type="dxa"/>
          </w:tcPr>
          <w:p w14:paraId="14628CA9" w14:textId="389836BC" w:rsidR="006E3C14" w:rsidRPr="00516038" w:rsidRDefault="00516038" w:rsidP="00EE3346">
            <w:pPr>
              <w:tabs>
                <w:tab w:val="clear" w:pos="1615"/>
              </w:tabs>
              <w:outlineLvl w:val="0"/>
              <w:rPr>
                <w:rFonts w:asciiTheme="majorHAnsi" w:hAnsiTheme="majorHAnsi" w:cstheme="majorHAnsi"/>
              </w:rPr>
            </w:pPr>
            <w:r w:rsidRPr="00516038">
              <w:rPr>
                <w:rFonts w:asciiTheme="majorHAnsi" w:hAnsiTheme="majorHAnsi" w:cstheme="majorHAnsi"/>
              </w:rPr>
              <w:t>APRESENTAÇÃO</w:t>
            </w:r>
          </w:p>
        </w:tc>
        <w:tc>
          <w:tcPr>
            <w:tcW w:w="1417" w:type="dxa"/>
          </w:tcPr>
          <w:p w14:paraId="23BADF80" w14:textId="7C86A67D" w:rsidR="006E3C14" w:rsidRPr="00516038" w:rsidRDefault="00BA0F38" w:rsidP="00EE3346">
            <w:pPr>
              <w:pStyle w:val="PargrafodaLista"/>
              <w:tabs>
                <w:tab w:val="clear" w:pos="1615"/>
              </w:tabs>
              <w:ind w:left="0"/>
              <w:outlineLvl w:val="0"/>
              <w:rPr>
                <w:rFonts w:asciiTheme="majorHAnsi" w:hAnsiTheme="majorHAnsi" w:cstheme="majorHAnsi"/>
                <w:bCs/>
              </w:rPr>
            </w:pPr>
            <w:r>
              <w:rPr>
                <w:rFonts w:asciiTheme="majorHAnsi" w:hAnsiTheme="majorHAnsi" w:cstheme="majorHAnsi"/>
                <w:bCs/>
              </w:rPr>
              <w:t>6</w:t>
            </w:r>
          </w:p>
        </w:tc>
      </w:tr>
      <w:tr w:rsidR="006E3C14" w:rsidRPr="00516038" w14:paraId="1752FEAE" w14:textId="77777777" w:rsidTr="00162468">
        <w:trPr>
          <w:trHeight w:val="391"/>
        </w:trPr>
        <w:tc>
          <w:tcPr>
            <w:tcW w:w="7650" w:type="dxa"/>
          </w:tcPr>
          <w:p w14:paraId="4C5394A5" w14:textId="77777777" w:rsidR="006E3C14" w:rsidRPr="00516038" w:rsidRDefault="006E3C14" w:rsidP="00EE3346">
            <w:pPr>
              <w:tabs>
                <w:tab w:val="clear" w:pos="1615"/>
              </w:tabs>
              <w:outlineLvl w:val="0"/>
              <w:rPr>
                <w:rFonts w:asciiTheme="majorHAnsi" w:hAnsiTheme="majorHAnsi" w:cstheme="majorHAnsi"/>
              </w:rPr>
            </w:pPr>
          </w:p>
        </w:tc>
        <w:tc>
          <w:tcPr>
            <w:tcW w:w="1417" w:type="dxa"/>
          </w:tcPr>
          <w:p w14:paraId="3D7A4918" w14:textId="77777777" w:rsidR="006E3C14" w:rsidRPr="00516038" w:rsidRDefault="006E3C14" w:rsidP="00EE3346">
            <w:pPr>
              <w:pStyle w:val="PargrafodaLista"/>
              <w:tabs>
                <w:tab w:val="clear" w:pos="1615"/>
              </w:tabs>
              <w:ind w:left="0"/>
              <w:outlineLvl w:val="0"/>
              <w:rPr>
                <w:rFonts w:asciiTheme="majorHAnsi" w:hAnsiTheme="majorHAnsi" w:cstheme="majorHAnsi"/>
                <w:bCs/>
              </w:rPr>
            </w:pPr>
          </w:p>
        </w:tc>
      </w:tr>
      <w:tr w:rsidR="00EE3346" w:rsidRPr="00516038" w14:paraId="3860B1E8" w14:textId="77777777" w:rsidTr="00162468">
        <w:trPr>
          <w:trHeight w:val="391"/>
        </w:trPr>
        <w:tc>
          <w:tcPr>
            <w:tcW w:w="7650" w:type="dxa"/>
          </w:tcPr>
          <w:p w14:paraId="03F81715" w14:textId="56E2FDF6" w:rsidR="00EE3346" w:rsidRPr="00516038" w:rsidRDefault="00516038" w:rsidP="00EE3346">
            <w:pPr>
              <w:tabs>
                <w:tab w:val="clear" w:pos="1615"/>
              </w:tabs>
              <w:outlineLvl w:val="0"/>
              <w:rPr>
                <w:rFonts w:asciiTheme="majorHAnsi" w:hAnsiTheme="majorHAnsi" w:cstheme="majorHAnsi"/>
                <w:bCs/>
              </w:rPr>
            </w:pPr>
            <w:r w:rsidRPr="00516038">
              <w:rPr>
                <w:rFonts w:asciiTheme="majorHAnsi" w:hAnsiTheme="majorHAnsi" w:cstheme="majorHAnsi"/>
              </w:rPr>
              <w:t>1. CONSIDERAÇÕES INICIAIS SOBRE ESTRUTURA E ORGANIZAÇÃO DIDÁTICO-PEDAGÓGICA</w:t>
            </w:r>
          </w:p>
        </w:tc>
        <w:tc>
          <w:tcPr>
            <w:tcW w:w="1417" w:type="dxa"/>
          </w:tcPr>
          <w:p w14:paraId="5F9A2A96" w14:textId="54ADFC0D" w:rsidR="00EE3346" w:rsidRPr="00516038" w:rsidRDefault="00BA0F38" w:rsidP="00EE3346">
            <w:pPr>
              <w:pStyle w:val="PargrafodaLista"/>
              <w:tabs>
                <w:tab w:val="clear" w:pos="1615"/>
              </w:tabs>
              <w:ind w:left="0"/>
              <w:outlineLvl w:val="0"/>
              <w:rPr>
                <w:rFonts w:asciiTheme="majorHAnsi" w:hAnsiTheme="majorHAnsi" w:cstheme="majorHAnsi"/>
                <w:bCs/>
              </w:rPr>
            </w:pPr>
            <w:r>
              <w:rPr>
                <w:rFonts w:asciiTheme="majorHAnsi" w:hAnsiTheme="majorHAnsi" w:cstheme="majorHAnsi"/>
                <w:bCs/>
              </w:rPr>
              <w:t>7</w:t>
            </w:r>
          </w:p>
        </w:tc>
      </w:tr>
      <w:tr w:rsidR="00EE3346" w:rsidRPr="00516038" w14:paraId="0744DDF5" w14:textId="77777777" w:rsidTr="00162468">
        <w:trPr>
          <w:trHeight w:val="391"/>
        </w:trPr>
        <w:tc>
          <w:tcPr>
            <w:tcW w:w="7650" w:type="dxa"/>
          </w:tcPr>
          <w:p w14:paraId="7095DCF5" w14:textId="77777777" w:rsidR="00EE3346" w:rsidRPr="00516038" w:rsidRDefault="00EE3346" w:rsidP="00EE3346">
            <w:pPr>
              <w:pStyle w:val="PargrafodaLista"/>
              <w:tabs>
                <w:tab w:val="clear" w:pos="1615"/>
              </w:tabs>
              <w:ind w:left="0"/>
              <w:outlineLvl w:val="0"/>
              <w:rPr>
                <w:rFonts w:asciiTheme="majorHAnsi" w:hAnsiTheme="majorHAnsi" w:cstheme="majorHAnsi"/>
                <w:bCs/>
              </w:rPr>
            </w:pPr>
          </w:p>
        </w:tc>
        <w:tc>
          <w:tcPr>
            <w:tcW w:w="1417" w:type="dxa"/>
          </w:tcPr>
          <w:p w14:paraId="404A8E60" w14:textId="77777777" w:rsidR="00EE3346" w:rsidRPr="00516038" w:rsidRDefault="00EE3346" w:rsidP="00EE3346">
            <w:pPr>
              <w:pStyle w:val="PargrafodaLista"/>
              <w:tabs>
                <w:tab w:val="clear" w:pos="1615"/>
              </w:tabs>
              <w:ind w:left="0"/>
              <w:outlineLvl w:val="0"/>
              <w:rPr>
                <w:rFonts w:asciiTheme="majorHAnsi" w:hAnsiTheme="majorHAnsi" w:cstheme="majorHAnsi"/>
                <w:bCs/>
              </w:rPr>
            </w:pPr>
          </w:p>
        </w:tc>
      </w:tr>
      <w:tr w:rsidR="00EE3346" w:rsidRPr="00516038" w14:paraId="6EB04FA9" w14:textId="77777777" w:rsidTr="00162468">
        <w:trPr>
          <w:trHeight w:val="391"/>
        </w:trPr>
        <w:tc>
          <w:tcPr>
            <w:tcW w:w="7650" w:type="dxa"/>
          </w:tcPr>
          <w:p w14:paraId="7803B4C0" w14:textId="70CA528D" w:rsidR="00EE3346" w:rsidRPr="00516038" w:rsidRDefault="00516038" w:rsidP="00EE3346">
            <w:pPr>
              <w:tabs>
                <w:tab w:val="clear" w:pos="1615"/>
              </w:tabs>
              <w:rPr>
                <w:rFonts w:asciiTheme="majorHAnsi" w:hAnsiTheme="majorHAnsi" w:cstheme="majorHAnsi"/>
                <w:bCs/>
              </w:rPr>
            </w:pPr>
            <w:r w:rsidRPr="00516038">
              <w:rPr>
                <w:rFonts w:asciiTheme="majorHAnsi" w:hAnsiTheme="majorHAnsi" w:cstheme="majorHAnsi"/>
              </w:rPr>
              <w:t>1.1 ABRANGÊNCIA E LIMITAÇÕES DE UMA INSTITUIÇÃO PÚBLICA DISTRITAL</w:t>
            </w:r>
          </w:p>
        </w:tc>
        <w:tc>
          <w:tcPr>
            <w:tcW w:w="1417" w:type="dxa"/>
          </w:tcPr>
          <w:p w14:paraId="413A2528" w14:textId="31AB5544" w:rsidR="00EE3346" w:rsidRPr="00516038" w:rsidRDefault="00BA0F38" w:rsidP="00EE3346">
            <w:pPr>
              <w:pStyle w:val="PargrafodaLista"/>
              <w:tabs>
                <w:tab w:val="clear" w:pos="1615"/>
              </w:tabs>
              <w:ind w:left="0"/>
              <w:rPr>
                <w:rFonts w:asciiTheme="majorHAnsi" w:hAnsiTheme="majorHAnsi" w:cstheme="majorHAnsi"/>
                <w:bCs/>
              </w:rPr>
            </w:pPr>
            <w:r>
              <w:rPr>
                <w:rFonts w:asciiTheme="majorHAnsi" w:hAnsiTheme="majorHAnsi" w:cstheme="majorHAnsi"/>
                <w:bCs/>
              </w:rPr>
              <w:t>8</w:t>
            </w:r>
          </w:p>
        </w:tc>
      </w:tr>
      <w:tr w:rsidR="00EE3346" w:rsidRPr="00516038" w14:paraId="3B4DF34E" w14:textId="77777777" w:rsidTr="00162468">
        <w:trPr>
          <w:trHeight w:val="391"/>
        </w:trPr>
        <w:tc>
          <w:tcPr>
            <w:tcW w:w="7650" w:type="dxa"/>
          </w:tcPr>
          <w:p w14:paraId="7CED0851" w14:textId="77777777" w:rsidR="00EE3346" w:rsidRPr="00516038" w:rsidRDefault="00EE3346" w:rsidP="00EE3346">
            <w:pPr>
              <w:pStyle w:val="PargrafodaLista"/>
              <w:tabs>
                <w:tab w:val="clear" w:pos="1615"/>
              </w:tabs>
              <w:ind w:left="0"/>
              <w:rPr>
                <w:rFonts w:asciiTheme="majorHAnsi" w:hAnsiTheme="majorHAnsi" w:cstheme="majorHAnsi"/>
                <w:bCs/>
              </w:rPr>
            </w:pPr>
          </w:p>
        </w:tc>
        <w:tc>
          <w:tcPr>
            <w:tcW w:w="1417" w:type="dxa"/>
          </w:tcPr>
          <w:p w14:paraId="2C650A6E" w14:textId="77777777" w:rsidR="00EE3346" w:rsidRPr="00516038" w:rsidRDefault="00EE3346" w:rsidP="00EE3346">
            <w:pPr>
              <w:pStyle w:val="PargrafodaLista"/>
              <w:tabs>
                <w:tab w:val="clear" w:pos="1615"/>
              </w:tabs>
              <w:ind w:left="0"/>
              <w:rPr>
                <w:rFonts w:asciiTheme="majorHAnsi" w:hAnsiTheme="majorHAnsi" w:cstheme="majorHAnsi"/>
                <w:bCs/>
              </w:rPr>
            </w:pPr>
          </w:p>
        </w:tc>
      </w:tr>
      <w:tr w:rsidR="00EE3346" w:rsidRPr="00516038" w14:paraId="7C5F6E6F" w14:textId="77777777" w:rsidTr="00162468">
        <w:trPr>
          <w:trHeight w:val="391"/>
        </w:trPr>
        <w:tc>
          <w:tcPr>
            <w:tcW w:w="7650" w:type="dxa"/>
          </w:tcPr>
          <w:p w14:paraId="387BCCE8" w14:textId="22D905D4" w:rsidR="00EE3346" w:rsidRPr="00516038" w:rsidRDefault="00516038" w:rsidP="00EE3346">
            <w:pPr>
              <w:tabs>
                <w:tab w:val="clear" w:pos="1615"/>
              </w:tabs>
              <w:rPr>
                <w:rFonts w:asciiTheme="majorHAnsi" w:hAnsiTheme="majorHAnsi" w:cstheme="majorHAnsi"/>
                <w:bCs/>
              </w:rPr>
            </w:pPr>
            <w:r w:rsidRPr="00516038">
              <w:rPr>
                <w:rFonts w:asciiTheme="majorHAnsi" w:hAnsiTheme="majorHAnsi" w:cstheme="majorHAnsi"/>
              </w:rPr>
              <w:t>1.2 COMPOSIÇÃO E CRIAÇÃO DA UNDF</w:t>
            </w:r>
          </w:p>
        </w:tc>
        <w:tc>
          <w:tcPr>
            <w:tcW w:w="1417" w:type="dxa"/>
          </w:tcPr>
          <w:p w14:paraId="0070A465" w14:textId="14F2E3AD" w:rsidR="00EE3346" w:rsidRPr="00516038" w:rsidRDefault="00BA0F38" w:rsidP="00EE3346">
            <w:pPr>
              <w:pStyle w:val="PargrafodaLista"/>
              <w:tabs>
                <w:tab w:val="clear" w:pos="1615"/>
              </w:tabs>
              <w:ind w:left="0"/>
              <w:rPr>
                <w:rFonts w:asciiTheme="majorHAnsi" w:hAnsiTheme="majorHAnsi" w:cstheme="majorHAnsi"/>
                <w:bCs/>
              </w:rPr>
            </w:pPr>
            <w:r>
              <w:rPr>
                <w:rFonts w:asciiTheme="majorHAnsi" w:hAnsiTheme="majorHAnsi" w:cstheme="majorHAnsi"/>
                <w:bCs/>
              </w:rPr>
              <w:t>9</w:t>
            </w:r>
          </w:p>
        </w:tc>
      </w:tr>
      <w:tr w:rsidR="00EE3346" w:rsidRPr="00516038" w14:paraId="12284E08" w14:textId="77777777" w:rsidTr="00162468">
        <w:trPr>
          <w:trHeight w:val="391"/>
        </w:trPr>
        <w:tc>
          <w:tcPr>
            <w:tcW w:w="7650" w:type="dxa"/>
          </w:tcPr>
          <w:p w14:paraId="741C9DEB" w14:textId="77777777" w:rsidR="00EE3346" w:rsidRPr="00516038" w:rsidRDefault="00EE3346" w:rsidP="00EE3346">
            <w:pPr>
              <w:tabs>
                <w:tab w:val="clear" w:pos="1615"/>
              </w:tabs>
              <w:rPr>
                <w:rFonts w:asciiTheme="majorHAnsi" w:hAnsiTheme="majorHAnsi" w:cstheme="majorHAnsi"/>
                <w:bCs/>
              </w:rPr>
            </w:pPr>
          </w:p>
        </w:tc>
        <w:tc>
          <w:tcPr>
            <w:tcW w:w="1417" w:type="dxa"/>
          </w:tcPr>
          <w:p w14:paraId="08E34705" w14:textId="77777777" w:rsidR="00EE3346" w:rsidRPr="00516038" w:rsidRDefault="00EE3346" w:rsidP="00EE3346">
            <w:pPr>
              <w:tabs>
                <w:tab w:val="clear" w:pos="1615"/>
              </w:tabs>
              <w:rPr>
                <w:rFonts w:asciiTheme="majorHAnsi" w:hAnsiTheme="majorHAnsi" w:cstheme="majorHAnsi"/>
                <w:bCs/>
              </w:rPr>
            </w:pPr>
          </w:p>
        </w:tc>
      </w:tr>
      <w:tr w:rsidR="00EE3346" w:rsidRPr="00516038" w14:paraId="320BD5A6" w14:textId="77777777" w:rsidTr="00162468">
        <w:trPr>
          <w:trHeight w:val="391"/>
        </w:trPr>
        <w:tc>
          <w:tcPr>
            <w:tcW w:w="7650" w:type="dxa"/>
          </w:tcPr>
          <w:p w14:paraId="2F4639C3" w14:textId="686EA76E" w:rsidR="00EE3346" w:rsidRPr="00516038" w:rsidRDefault="00516038" w:rsidP="00EE3346">
            <w:pPr>
              <w:tabs>
                <w:tab w:val="clear" w:pos="1615"/>
              </w:tabs>
              <w:rPr>
                <w:rFonts w:asciiTheme="majorHAnsi" w:hAnsiTheme="majorHAnsi" w:cstheme="majorHAnsi"/>
                <w:bCs/>
              </w:rPr>
            </w:pPr>
            <w:r w:rsidRPr="00516038">
              <w:rPr>
                <w:rFonts w:asciiTheme="majorHAnsi" w:hAnsiTheme="majorHAnsi" w:cstheme="majorHAnsi"/>
              </w:rPr>
              <w:t>1.2.1 ESCOLA SUPERIOR DE MAGISTÉRIO</w:t>
            </w:r>
          </w:p>
        </w:tc>
        <w:tc>
          <w:tcPr>
            <w:tcW w:w="1417" w:type="dxa"/>
          </w:tcPr>
          <w:p w14:paraId="3422B1CD" w14:textId="5948AD7D" w:rsidR="00EE3346" w:rsidRPr="00516038" w:rsidRDefault="00BA0F38" w:rsidP="00EE3346">
            <w:pPr>
              <w:tabs>
                <w:tab w:val="clear" w:pos="1615"/>
              </w:tabs>
              <w:rPr>
                <w:rFonts w:asciiTheme="majorHAnsi" w:hAnsiTheme="majorHAnsi" w:cstheme="majorHAnsi"/>
                <w:bCs/>
              </w:rPr>
            </w:pPr>
            <w:r>
              <w:rPr>
                <w:rFonts w:asciiTheme="majorHAnsi" w:hAnsiTheme="majorHAnsi" w:cstheme="majorHAnsi"/>
                <w:bCs/>
              </w:rPr>
              <w:t>10</w:t>
            </w:r>
          </w:p>
        </w:tc>
      </w:tr>
      <w:tr w:rsidR="00EE3346" w:rsidRPr="00516038" w14:paraId="3C5AAE02" w14:textId="77777777" w:rsidTr="00162468">
        <w:trPr>
          <w:trHeight w:val="391"/>
        </w:trPr>
        <w:tc>
          <w:tcPr>
            <w:tcW w:w="7650" w:type="dxa"/>
          </w:tcPr>
          <w:p w14:paraId="0B10026C" w14:textId="77777777" w:rsidR="00EE3346" w:rsidRPr="00516038" w:rsidRDefault="00EE3346" w:rsidP="00EE3346">
            <w:pPr>
              <w:tabs>
                <w:tab w:val="clear" w:pos="1615"/>
              </w:tabs>
              <w:rPr>
                <w:rFonts w:asciiTheme="majorHAnsi" w:hAnsiTheme="majorHAnsi" w:cstheme="majorHAnsi"/>
                <w:bCs/>
              </w:rPr>
            </w:pPr>
          </w:p>
        </w:tc>
        <w:tc>
          <w:tcPr>
            <w:tcW w:w="1417" w:type="dxa"/>
          </w:tcPr>
          <w:p w14:paraId="003996CC" w14:textId="77777777" w:rsidR="00EE3346" w:rsidRPr="00516038" w:rsidRDefault="00EE3346" w:rsidP="00EE3346">
            <w:pPr>
              <w:tabs>
                <w:tab w:val="clear" w:pos="1615"/>
              </w:tabs>
              <w:rPr>
                <w:rFonts w:asciiTheme="majorHAnsi" w:hAnsiTheme="majorHAnsi" w:cstheme="majorHAnsi"/>
                <w:bCs/>
              </w:rPr>
            </w:pPr>
          </w:p>
        </w:tc>
      </w:tr>
      <w:tr w:rsidR="00EE3346" w:rsidRPr="00516038" w14:paraId="75AFEA60" w14:textId="77777777" w:rsidTr="00162468">
        <w:trPr>
          <w:trHeight w:val="391"/>
        </w:trPr>
        <w:tc>
          <w:tcPr>
            <w:tcW w:w="7650" w:type="dxa"/>
          </w:tcPr>
          <w:p w14:paraId="7DD24868" w14:textId="1A35B7C8" w:rsidR="00EE3346" w:rsidRPr="00516038" w:rsidRDefault="00516038" w:rsidP="00EE3346">
            <w:pPr>
              <w:tabs>
                <w:tab w:val="clear" w:pos="1615"/>
              </w:tabs>
              <w:rPr>
                <w:rFonts w:asciiTheme="majorHAnsi" w:hAnsiTheme="majorHAnsi" w:cstheme="majorHAnsi"/>
                <w:bCs/>
              </w:rPr>
            </w:pPr>
            <w:r w:rsidRPr="00516038">
              <w:rPr>
                <w:rFonts w:asciiTheme="majorHAnsi" w:hAnsiTheme="majorHAnsi" w:cstheme="majorHAnsi"/>
              </w:rPr>
              <w:t>1.2.2 ESCOLA SUPERIOR DE POLÍCIA CIVIL</w:t>
            </w:r>
          </w:p>
        </w:tc>
        <w:tc>
          <w:tcPr>
            <w:tcW w:w="1417" w:type="dxa"/>
          </w:tcPr>
          <w:p w14:paraId="0730C987" w14:textId="7E53326E" w:rsidR="00EE3346" w:rsidRPr="00516038" w:rsidRDefault="00BA0F38" w:rsidP="00EE3346">
            <w:pPr>
              <w:tabs>
                <w:tab w:val="clear" w:pos="1615"/>
              </w:tabs>
              <w:rPr>
                <w:rFonts w:asciiTheme="majorHAnsi" w:hAnsiTheme="majorHAnsi" w:cstheme="majorHAnsi"/>
                <w:bCs/>
              </w:rPr>
            </w:pPr>
            <w:r>
              <w:rPr>
                <w:rFonts w:asciiTheme="majorHAnsi" w:hAnsiTheme="majorHAnsi" w:cstheme="majorHAnsi"/>
                <w:bCs/>
              </w:rPr>
              <w:t>10</w:t>
            </w:r>
          </w:p>
        </w:tc>
      </w:tr>
      <w:tr w:rsidR="00EE3346" w:rsidRPr="00516038" w14:paraId="791DAC88" w14:textId="77777777" w:rsidTr="00162468">
        <w:trPr>
          <w:trHeight w:val="391"/>
        </w:trPr>
        <w:tc>
          <w:tcPr>
            <w:tcW w:w="7650" w:type="dxa"/>
          </w:tcPr>
          <w:p w14:paraId="78BF56C3" w14:textId="77777777" w:rsidR="00EE3346" w:rsidRPr="00516038" w:rsidRDefault="00EE3346" w:rsidP="00EE3346">
            <w:pPr>
              <w:tabs>
                <w:tab w:val="clear" w:pos="1615"/>
              </w:tabs>
              <w:outlineLvl w:val="0"/>
              <w:rPr>
                <w:rFonts w:asciiTheme="majorHAnsi" w:hAnsiTheme="majorHAnsi" w:cstheme="majorHAnsi"/>
                <w:bCs/>
              </w:rPr>
            </w:pPr>
          </w:p>
        </w:tc>
        <w:tc>
          <w:tcPr>
            <w:tcW w:w="1417" w:type="dxa"/>
          </w:tcPr>
          <w:p w14:paraId="5F707AA3" w14:textId="77777777" w:rsidR="00EE3346" w:rsidRPr="00516038" w:rsidRDefault="00EE3346" w:rsidP="00EE3346">
            <w:pPr>
              <w:tabs>
                <w:tab w:val="clear" w:pos="1615"/>
              </w:tabs>
              <w:outlineLvl w:val="0"/>
              <w:rPr>
                <w:rFonts w:asciiTheme="majorHAnsi" w:hAnsiTheme="majorHAnsi" w:cstheme="majorHAnsi"/>
                <w:bCs/>
              </w:rPr>
            </w:pPr>
          </w:p>
        </w:tc>
      </w:tr>
      <w:tr w:rsidR="00EE3346" w:rsidRPr="00516038" w14:paraId="7B655D55" w14:textId="77777777" w:rsidTr="00162468">
        <w:trPr>
          <w:trHeight w:val="391"/>
        </w:trPr>
        <w:tc>
          <w:tcPr>
            <w:tcW w:w="7650" w:type="dxa"/>
          </w:tcPr>
          <w:p w14:paraId="0270DE23" w14:textId="189AE466" w:rsidR="00EE3346" w:rsidRPr="00516038" w:rsidRDefault="00516038" w:rsidP="00EE3346">
            <w:pPr>
              <w:tabs>
                <w:tab w:val="clear" w:pos="1615"/>
              </w:tabs>
              <w:rPr>
                <w:rFonts w:asciiTheme="majorHAnsi" w:hAnsiTheme="majorHAnsi" w:cstheme="majorHAnsi"/>
                <w:bCs/>
              </w:rPr>
            </w:pPr>
            <w:r w:rsidRPr="00516038">
              <w:rPr>
                <w:rFonts w:asciiTheme="majorHAnsi" w:hAnsiTheme="majorHAnsi" w:cstheme="majorHAnsi"/>
              </w:rPr>
              <w:t>1.2.3 ESCOLA SUPERIOR DO CERRADO</w:t>
            </w:r>
          </w:p>
        </w:tc>
        <w:tc>
          <w:tcPr>
            <w:tcW w:w="1417" w:type="dxa"/>
          </w:tcPr>
          <w:p w14:paraId="3F069A97" w14:textId="3EA128AD" w:rsidR="00EE3346" w:rsidRPr="00516038" w:rsidRDefault="00BA0F38" w:rsidP="00EE3346">
            <w:pPr>
              <w:tabs>
                <w:tab w:val="clear" w:pos="1615"/>
              </w:tabs>
              <w:rPr>
                <w:rFonts w:asciiTheme="majorHAnsi" w:hAnsiTheme="majorHAnsi" w:cstheme="majorHAnsi"/>
                <w:bCs/>
              </w:rPr>
            </w:pPr>
            <w:r>
              <w:rPr>
                <w:rFonts w:asciiTheme="majorHAnsi" w:hAnsiTheme="majorHAnsi" w:cstheme="majorHAnsi"/>
                <w:bCs/>
              </w:rPr>
              <w:t>11</w:t>
            </w:r>
          </w:p>
        </w:tc>
      </w:tr>
      <w:tr w:rsidR="00EE3346" w:rsidRPr="00516038" w14:paraId="051E2E06" w14:textId="77777777" w:rsidTr="00162468">
        <w:trPr>
          <w:trHeight w:val="391"/>
        </w:trPr>
        <w:tc>
          <w:tcPr>
            <w:tcW w:w="7650" w:type="dxa"/>
          </w:tcPr>
          <w:p w14:paraId="7ABA8BD9" w14:textId="01F7A41A" w:rsidR="00EE3346" w:rsidRPr="00516038" w:rsidRDefault="00EE3346" w:rsidP="00EE3346">
            <w:pPr>
              <w:tabs>
                <w:tab w:val="clear" w:pos="1615"/>
              </w:tabs>
              <w:outlineLvl w:val="0"/>
              <w:rPr>
                <w:rFonts w:asciiTheme="majorHAnsi" w:hAnsiTheme="majorHAnsi" w:cstheme="majorHAnsi"/>
                <w:bCs/>
              </w:rPr>
            </w:pPr>
          </w:p>
        </w:tc>
        <w:tc>
          <w:tcPr>
            <w:tcW w:w="1417" w:type="dxa"/>
          </w:tcPr>
          <w:p w14:paraId="6193FB57" w14:textId="33F42D93" w:rsidR="00EE3346" w:rsidRPr="00516038" w:rsidRDefault="00EE3346" w:rsidP="00EE3346">
            <w:pPr>
              <w:tabs>
                <w:tab w:val="clear" w:pos="1615"/>
              </w:tabs>
              <w:outlineLvl w:val="0"/>
              <w:rPr>
                <w:rFonts w:asciiTheme="majorHAnsi" w:hAnsiTheme="majorHAnsi" w:cstheme="majorHAnsi"/>
                <w:bCs/>
              </w:rPr>
            </w:pPr>
          </w:p>
        </w:tc>
      </w:tr>
      <w:tr w:rsidR="00EE3346" w:rsidRPr="00516038" w14:paraId="37D5F285" w14:textId="77777777" w:rsidTr="00162468">
        <w:trPr>
          <w:trHeight w:val="391"/>
        </w:trPr>
        <w:tc>
          <w:tcPr>
            <w:tcW w:w="7650" w:type="dxa"/>
          </w:tcPr>
          <w:p w14:paraId="71D8417E" w14:textId="67145B81" w:rsidR="00EE3346" w:rsidRPr="00516038" w:rsidRDefault="00516038" w:rsidP="00EE3346">
            <w:pPr>
              <w:tabs>
                <w:tab w:val="clear" w:pos="1615"/>
              </w:tabs>
              <w:rPr>
                <w:rFonts w:asciiTheme="majorHAnsi" w:hAnsiTheme="majorHAnsi" w:cstheme="majorHAnsi"/>
                <w:bCs/>
              </w:rPr>
            </w:pPr>
            <w:r w:rsidRPr="00516038">
              <w:rPr>
                <w:rFonts w:asciiTheme="majorHAnsi" w:hAnsiTheme="majorHAnsi" w:cstheme="majorHAnsi"/>
              </w:rPr>
              <w:t>1.2.4 ESCOLA SUPERIOR DE GESTÃO</w:t>
            </w:r>
          </w:p>
        </w:tc>
        <w:tc>
          <w:tcPr>
            <w:tcW w:w="1417" w:type="dxa"/>
          </w:tcPr>
          <w:p w14:paraId="10556A26" w14:textId="445DAD9F" w:rsidR="00EE3346" w:rsidRPr="00516038" w:rsidRDefault="00BA0F38" w:rsidP="00EE3346">
            <w:pPr>
              <w:tabs>
                <w:tab w:val="clear" w:pos="1615"/>
              </w:tabs>
              <w:rPr>
                <w:rFonts w:asciiTheme="majorHAnsi" w:hAnsiTheme="majorHAnsi" w:cstheme="majorHAnsi"/>
                <w:bCs/>
              </w:rPr>
            </w:pPr>
            <w:r>
              <w:rPr>
                <w:rFonts w:asciiTheme="majorHAnsi" w:hAnsiTheme="majorHAnsi" w:cstheme="majorHAnsi"/>
                <w:bCs/>
              </w:rPr>
              <w:t>11</w:t>
            </w:r>
          </w:p>
        </w:tc>
      </w:tr>
      <w:tr w:rsidR="00EE3346" w:rsidRPr="00516038" w14:paraId="7919FE6B" w14:textId="77777777" w:rsidTr="00162468">
        <w:trPr>
          <w:trHeight w:val="391"/>
        </w:trPr>
        <w:tc>
          <w:tcPr>
            <w:tcW w:w="7650" w:type="dxa"/>
          </w:tcPr>
          <w:p w14:paraId="25C5B36E" w14:textId="661C2551" w:rsidR="00EE3346" w:rsidRPr="00516038" w:rsidRDefault="00EE3346" w:rsidP="00EE3346">
            <w:pPr>
              <w:tabs>
                <w:tab w:val="clear" w:pos="1615"/>
              </w:tabs>
              <w:outlineLvl w:val="0"/>
              <w:rPr>
                <w:rFonts w:asciiTheme="majorHAnsi" w:hAnsiTheme="majorHAnsi" w:cstheme="majorHAnsi"/>
                <w:bCs/>
              </w:rPr>
            </w:pPr>
          </w:p>
        </w:tc>
        <w:tc>
          <w:tcPr>
            <w:tcW w:w="1417" w:type="dxa"/>
          </w:tcPr>
          <w:p w14:paraId="2C815802" w14:textId="77777777" w:rsidR="00EE3346" w:rsidRPr="00516038" w:rsidRDefault="00EE3346" w:rsidP="00EE3346">
            <w:pPr>
              <w:tabs>
                <w:tab w:val="clear" w:pos="1615"/>
              </w:tabs>
              <w:outlineLvl w:val="0"/>
              <w:rPr>
                <w:rFonts w:asciiTheme="majorHAnsi" w:hAnsiTheme="majorHAnsi" w:cstheme="majorHAnsi"/>
                <w:bCs/>
              </w:rPr>
            </w:pPr>
          </w:p>
        </w:tc>
      </w:tr>
      <w:tr w:rsidR="00EE3346" w:rsidRPr="00516038" w14:paraId="12349565" w14:textId="77777777" w:rsidTr="00162468">
        <w:trPr>
          <w:trHeight w:val="391"/>
        </w:trPr>
        <w:tc>
          <w:tcPr>
            <w:tcW w:w="7650" w:type="dxa"/>
          </w:tcPr>
          <w:p w14:paraId="754249D3" w14:textId="6EC4DC47" w:rsidR="00EE3346" w:rsidRPr="00516038" w:rsidRDefault="00516038" w:rsidP="00EE3346">
            <w:pPr>
              <w:tabs>
                <w:tab w:val="clear" w:pos="1615"/>
              </w:tabs>
              <w:rPr>
                <w:rFonts w:asciiTheme="majorHAnsi" w:hAnsiTheme="majorHAnsi" w:cstheme="majorHAnsi"/>
                <w:bCs/>
              </w:rPr>
            </w:pPr>
            <w:r w:rsidRPr="00516038">
              <w:rPr>
                <w:rFonts w:asciiTheme="majorHAnsi" w:hAnsiTheme="majorHAnsi" w:cstheme="majorHAnsi"/>
              </w:rPr>
              <w:t>1.2.5 ESCOLA SUPERIOR DE CIÊNCIAS DA SAÚDE (ESCS)</w:t>
            </w:r>
          </w:p>
        </w:tc>
        <w:tc>
          <w:tcPr>
            <w:tcW w:w="1417" w:type="dxa"/>
          </w:tcPr>
          <w:p w14:paraId="0B1726B5" w14:textId="52F1AD8A" w:rsidR="00EE3346" w:rsidRPr="00516038" w:rsidRDefault="00BA0F38" w:rsidP="00EE3346">
            <w:pPr>
              <w:tabs>
                <w:tab w:val="clear" w:pos="1615"/>
              </w:tabs>
              <w:rPr>
                <w:rFonts w:asciiTheme="majorHAnsi" w:hAnsiTheme="majorHAnsi" w:cstheme="majorHAnsi"/>
                <w:bCs/>
              </w:rPr>
            </w:pPr>
            <w:r>
              <w:rPr>
                <w:rFonts w:asciiTheme="majorHAnsi" w:hAnsiTheme="majorHAnsi" w:cstheme="majorHAnsi"/>
                <w:bCs/>
              </w:rPr>
              <w:t>12</w:t>
            </w:r>
          </w:p>
        </w:tc>
      </w:tr>
      <w:tr w:rsidR="00EE3346" w:rsidRPr="00516038" w14:paraId="6DB1F9B7" w14:textId="77777777" w:rsidTr="00162468">
        <w:trPr>
          <w:trHeight w:val="391"/>
        </w:trPr>
        <w:tc>
          <w:tcPr>
            <w:tcW w:w="7650" w:type="dxa"/>
          </w:tcPr>
          <w:p w14:paraId="0653FA8B" w14:textId="77777777" w:rsidR="00EE3346" w:rsidRPr="00516038" w:rsidRDefault="00EE3346" w:rsidP="00EE3346">
            <w:pPr>
              <w:tabs>
                <w:tab w:val="clear" w:pos="1615"/>
              </w:tabs>
              <w:outlineLvl w:val="0"/>
              <w:rPr>
                <w:rFonts w:asciiTheme="majorHAnsi" w:hAnsiTheme="majorHAnsi" w:cstheme="majorHAnsi"/>
                <w:bCs/>
              </w:rPr>
            </w:pPr>
          </w:p>
        </w:tc>
        <w:tc>
          <w:tcPr>
            <w:tcW w:w="1417" w:type="dxa"/>
            <w:vAlign w:val="center"/>
          </w:tcPr>
          <w:p w14:paraId="5EBF5879" w14:textId="77777777" w:rsidR="00EE3346" w:rsidRPr="00516038" w:rsidRDefault="00EE3346" w:rsidP="00EE3346">
            <w:pPr>
              <w:tabs>
                <w:tab w:val="clear" w:pos="1615"/>
              </w:tabs>
              <w:outlineLvl w:val="0"/>
              <w:rPr>
                <w:rFonts w:asciiTheme="majorHAnsi" w:hAnsiTheme="majorHAnsi" w:cstheme="majorHAnsi"/>
                <w:bCs/>
              </w:rPr>
            </w:pPr>
          </w:p>
        </w:tc>
      </w:tr>
      <w:tr w:rsidR="00EE3346" w:rsidRPr="00516038" w14:paraId="06D1FE7A" w14:textId="77777777" w:rsidTr="00162468">
        <w:trPr>
          <w:trHeight w:val="391"/>
        </w:trPr>
        <w:tc>
          <w:tcPr>
            <w:tcW w:w="7650" w:type="dxa"/>
          </w:tcPr>
          <w:p w14:paraId="5FC5C090" w14:textId="68AFF31B" w:rsidR="00EE3346" w:rsidRPr="00516038" w:rsidRDefault="00516038" w:rsidP="00EE3346">
            <w:pPr>
              <w:tabs>
                <w:tab w:val="clear" w:pos="1615"/>
              </w:tabs>
              <w:rPr>
                <w:rFonts w:asciiTheme="majorHAnsi" w:hAnsiTheme="majorHAnsi" w:cstheme="majorHAnsi"/>
                <w:bCs/>
              </w:rPr>
            </w:pPr>
            <w:r w:rsidRPr="00516038">
              <w:rPr>
                <w:rFonts w:asciiTheme="majorHAnsi" w:hAnsiTheme="majorHAnsi" w:cstheme="majorHAnsi"/>
              </w:rPr>
              <w:t>1.2.6 ESTATUTO PROPOSTO PARA A UNDF</w:t>
            </w:r>
          </w:p>
        </w:tc>
        <w:tc>
          <w:tcPr>
            <w:tcW w:w="1417" w:type="dxa"/>
          </w:tcPr>
          <w:p w14:paraId="4079417C" w14:textId="5697C901" w:rsidR="00EE3346" w:rsidRPr="00BA0F38" w:rsidRDefault="00BA0F38" w:rsidP="00EE3346">
            <w:pPr>
              <w:tabs>
                <w:tab w:val="clear" w:pos="1615"/>
              </w:tabs>
            </w:pPr>
            <w:r>
              <w:t>13</w:t>
            </w:r>
          </w:p>
        </w:tc>
      </w:tr>
      <w:tr w:rsidR="00EE3346" w:rsidRPr="00516038" w14:paraId="2D52673E" w14:textId="77777777" w:rsidTr="00162468">
        <w:trPr>
          <w:trHeight w:val="391"/>
        </w:trPr>
        <w:tc>
          <w:tcPr>
            <w:tcW w:w="7650" w:type="dxa"/>
          </w:tcPr>
          <w:p w14:paraId="1F2C43BB" w14:textId="77777777" w:rsidR="00EE3346" w:rsidRPr="00516038" w:rsidRDefault="00EE3346" w:rsidP="00EE3346">
            <w:pPr>
              <w:tabs>
                <w:tab w:val="clear" w:pos="1615"/>
              </w:tabs>
              <w:rPr>
                <w:rFonts w:asciiTheme="majorHAnsi" w:hAnsiTheme="majorHAnsi" w:cstheme="majorHAnsi"/>
                <w:bCs/>
              </w:rPr>
            </w:pPr>
          </w:p>
        </w:tc>
        <w:tc>
          <w:tcPr>
            <w:tcW w:w="1417" w:type="dxa"/>
          </w:tcPr>
          <w:p w14:paraId="002F3009" w14:textId="77777777" w:rsidR="00EE3346" w:rsidRPr="00516038" w:rsidRDefault="00EE3346" w:rsidP="00EE3346">
            <w:pPr>
              <w:tabs>
                <w:tab w:val="clear" w:pos="1615"/>
              </w:tabs>
              <w:rPr>
                <w:rFonts w:asciiTheme="majorHAnsi" w:hAnsiTheme="majorHAnsi" w:cstheme="majorHAnsi"/>
                <w:bCs/>
              </w:rPr>
            </w:pPr>
          </w:p>
        </w:tc>
      </w:tr>
      <w:tr w:rsidR="00EE3346" w:rsidRPr="00516038" w14:paraId="7DC1BA7B" w14:textId="77777777" w:rsidTr="00162468">
        <w:trPr>
          <w:trHeight w:val="391"/>
        </w:trPr>
        <w:tc>
          <w:tcPr>
            <w:tcW w:w="7650" w:type="dxa"/>
          </w:tcPr>
          <w:p w14:paraId="3F45E04E" w14:textId="5985BA72" w:rsidR="00EE3346" w:rsidRPr="00516038" w:rsidRDefault="00516038" w:rsidP="00EE3346">
            <w:pPr>
              <w:tabs>
                <w:tab w:val="clear" w:pos="1615"/>
              </w:tabs>
              <w:rPr>
                <w:rFonts w:asciiTheme="majorHAnsi" w:hAnsiTheme="majorHAnsi" w:cstheme="majorHAnsi"/>
                <w:bCs/>
              </w:rPr>
            </w:pPr>
            <w:r w:rsidRPr="00516038">
              <w:rPr>
                <w:rFonts w:asciiTheme="majorHAnsi" w:hAnsiTheme="majorHAnsi" w:cstheme="majorHAnsi"/>
              </w:rPr>
              <w:t>1.3 CONSIDERAÇÕES PRELIMINARES SOBRE O INGRESSO</w:t>
            </w:r>
          </w:p>
        </w:tc>
        <w:tc>
          <w:tcPr>
            <w:tcW w:w="1417" w:type="dxa"/>
          </w:tcPr>
          <w:p w14:paraId="76BAF7CF" w14:textId="385966CB" w:rsidR="00EE3346" w:rsidRPr="00516038" w:rsidRDefault="00BA0F38" w:rsidP="00EE3346">
            <w:pPr>
              <w:tabs>
                <w:tab w:val="clear" w:pos="1615"/>
              </w:tabs>
              <w:rPr>
                <w:rFonts w:asciiTheme="majorHAnsi" w:hAnsiTheme="majorHAnsi" w:cstheme="majorHAnsi"/>
                <w:bCs/>
              </w:rPr>
            </w:pPr>
            <w:r>
              <w:rPr>
                <w:rFonts w:asciiTheme="majorHAnsi" w:hAnsiTheme="majorHAnsi" w:cstheme="majorHAnsi"/>
                <w:bCs/>
              </w:rPr>
              <w:t>14</w:t>
            </w:r>
          </w:p>
        </w:tc>
      </w:tr>
      <w:tr w:rsidR="00EE3346" w:rsidRPr="00516038" w14:paraId="2BC662F5" w14:textId="77777777" w:rsidTr="00162468">
        <w:trPr>
          <w:trHeight w:val="391"/>
        </w:trPr>
        <w:tc>
          <w:tcPr>
            <w:tcW w:w="7650" w:type="dxa"/>
          </w:tcPr>
          <w:p w14:paraId="0DA19578" w14:textId="77777777" w:rsidR="00EE3346" w:rsidRPr="00516038" w:rsidRDefault="00EE3346" w:rsidP="00EE3346">
            <w:pPr>
              <w:tabs>
                <w:tab w:val="clear" w:pos="1615"/>
              </w:tabs>
              <w:rPr>
                <w:rFonts w:asciiTheme="majorHAnsi" w:hAnsiTheme="majorHAnsi" w:cstheme="majorHAnsi"/>
                <w:bCs/>
              </w:rPr>
            </w:pPr>
          </w:p>
        </w:tc>
        <w:tc>
          <w:tcPr>
            <w:tcW w:w="1417" w:type="dxa"/>
          </w:tcPr>
          <w:p w14:paraId="0AEFC788" w14:textId="1103D86E" w:rsidR="00EE3346" w:rsidRPr="00516038" w:rsidRDefault="00EE3346" w:rsidP="00EE3346">
            <w:pPr>
              <w:tabs>
                <w:tab w:val="clear" w:pos="1615"/>
              </w:tabs>
              <w:rPr>
                <w:rFonts w:asciiTheme="majorHAnsi" w:hAnsiTheme="majorHAnsi" w:cstheme="majorHAnsi"/>
                <w:bCs/>
              </w:rPr>
            </w:pPr>
          </w:p>
        </w:tc>
      </w:tr>
      <w:tr w:rsidR="00EE3346" w:rsidRPr="00516038" w14:paraId="14F63C2E" w14:textId="77777777" w:rsidTr="00162468">
        <w:trPr>
          <w:trHeight w:val="391"/>
        </w:trPr>
        <w:tc>
          <w:tcPr>
            <w:tcW w:w="7650" w:type="dxa"/>
          </w:tcPr>
          <w:p w14:paraId="5274837A" w14:textId="352B1976" w:rsidR="00EE3346" w:rsidRPr="00516038" w:rsidRDefault="00516038" w:rsidP="00EE3346">
            <w:pPr>
              <w:tabs>
                <w:tab w:val="clear" w:pos="1615"/>
              </w:tabs>
              <w:rPr>
                <w:rFonts w:asciiTheme="majorHAnsi" w:hAnsiTheme="majorHAnsi" w:cstheme="majorHAnsi"/>
                <w:bCs/>
              </w:rPr>
            </w:pPr>
            <w:r w:rsidRPr="00516038">
              <w:rPr>
                <w:rFonts w:asciiTheme="majorHAnsi" w:hAnsiTheme="majorHAnsi" w:cstheme="majorHAnsi"/>
              </w:rPr>
              <w:t>1.3.1 PROCESSO SELETIVO</w:t>
            </w:r>
          </w:p>
        </w:tc>
        <w:tc>
          <w:tcPr>
            <w:tcW w:w="1417" w:type="dxa"/>
          </w:tcPr>
          <w:p w14:paraId="5AE4C213" w14:textId="3C9E89ED" w:rsidR="00EE3346" w:rsidRPr="00516038" w:rsidRDefault="00BA0F38" w:rsidP="00EE3346">
            <w:pPr>
              <w:tabs>
                <w:tab w:val="clear" w:pos="1615"/>
              </w:tabs>
              <w:rPr>
                <w:rFonts w:asciiTheme="majorHAnsi" w:hAnsiTheme="majorHAnsi" w:cstheme="majorHAnsi"/>
                <w:bCs/>
              </w:rPr>
            </w:pPr>
            <w:r>
              <w:rPr>
                <w:rFonts w:asciiTheme="majorHAnsi" w:hAnsiTheme="majorHAnsi" w:cstheme="majorHAnsi"/>
                <w:bCs/>
              </w:rPr>
              <w:t>14</w:t>
            </w:r>
          </w:p>
        </w:tc>
      </w:tr>
      <w:tr w:rsidR="00EE3346" w:rsidRPr="00516038" w14:paraId="778CBFA1" w14:textId="77777777" w:rsidTr="00162468">
        <w:trPr>
          <w:trHeight w:val="391"/>
        </w:trPr>
        <w:tc>
          <w:tcPr>
            <w:tcW w:w="7650" w:type="dxa"/>
          </w:tcPr>
          <w:p w14:paraId="01F31516" w14:textId="77777777" w:rsidR="00EE3346" w:rsidRPr="00516038" w:rsidRDefault="00EE3346" w:rsidP="00EE3346">
            <w:pPr>
              <w:tabs>
                <w:tab w:val="clear" w:pos="1615"/>
              </w:tabs>
              <w:rPr>
                <w:rFonts w:asciiTheme="majorHAnsi" w:hAnsiTheme="majorHAnsi" w:cstheme="majorHAnsi"/>
                <w:bCs/>
              </w:rPr>
            </w:pPr>
          </w:p>
        </w:tc>
        <w:tc>
          <w:tcPr>
            <w:tcW w:w="1417" w:type="dxa"/>
            <w:vAlign w:val="center"/>
          </w:tcPr>
          <w:p w14:paraId="657C95D3" w14:textId="77777777" w:rsidR="00EE3346" w:rsidRPr="00516038" w:rsidRDefault="00EE3346" w:rsidP="00EE3346">
            <w:pPr>
              <w:tabs>
                <w:tab w:val="clear" w:pos="1615"/>
              </w:tabs>
              <w:rPr>
                <w:rFonts w:asciiTheme="majorHAnsi" w:hAnsiTheme="majorHAnsi" w:cstheme="majorHAnsi"/>
                <w:bCs/>
              </w:rPr>
            </w:pPr>
          </w:p>
        </w:tc>
      </w:tr>
      <w:tr w:rsidR="00EE3346" w:rsidRPr="00516038" w14:paraId="77F6EE9B" w14:textId="77777777" w:rsidTr="00162468">
        <w:trPr>
          <w:trHeight w:val="391"/>
        </w:trPr>
        <w:tc>
          <w:tcPr>
            <w:tcW w:w="7650" w:type="dxa"/>
          </w:tcPr>
          <w:p w14:paraId="3BE2DE85" w14:textId="336D896E" w:rsidR="00EE3346" w:rsidRPr="00516038" w:rsidRDefault="00516038" w:rsidP="00EE3346">
            <w:pPr>
              <w:tabs>
                <w:tab w:val="clear" w:pos="1615"/>
              </w:tabs>
              <w:rPr>
                <w:rFonts w:asciiTheme="majorHAnsi" w:hAnsiTheme="majorHAnsi" w:cstheme="majorHAnsi"/>
                <w:bCs/>
              </w:rPr>
            </w:pPr>
            <w:r w:rsidRPr="00516038">
              <w:rPr>
                <w:rFonts w:asciiTheme="majorHAnsi" w:hAnsiTheme="majorHAnsi" w:cstheme="majorHAnsi"/>
              </w:rPr>
              <w:t>1.3.2 TIPOS DE CURSOS PARA INGRESSO</w:t>
            </w:r>
          </w:p>
        </w:tc>
        <w:tc>
          <w:tcPr>
            <w:tcW w:w="1417" w:type="dxa"/>
            <w:vAlign w:val="center"/>
          </w:tcPr>
          <w:p w14:paraId="097F694A" w14:textId="0393E9D9" w:rsidR="00EE3346" w:rsidRPr="00516038" w:rsidRDefault="00BA0F38" w:rsidP="00EE3346">
            <w:pPr>
              <w:tabs>
                <w:tab w:val="clear" w:pos="1615"/>
              </w:tabs>
              <w:rPr>
                <w:rFonts w:asciiTheme="majorHAnsi" w:hAnsiTheme="majorHAnsi" w:cstheme="majorHAnsi"/>
                <w:bCs/>
              </w:rPr>
            </w:pPr>
            <w:r>
              <w:rPr>
                <w:rFonts w:asciiTheme="majorHAnsi" w:hAnsiTheme="majorHAnsi" w:cstheme="majorHAnsi"/>
                <w:bCs/>
              </w:rPr>
              <w:t>18</w:t>
            </w:r>
          </w:p>
        </w:tc>
      </w:tr>
      <w:tr w:rsidR="00EE3346" w:rsidRPr="00516038" w14:paraId="7D48801C" w14:textId="77777777" w:rsidTr="00162468">
        <w:trPr>
          <w:trHeight w:val="391"/>
        </w:trPr>
        <w:tc>
          <w:tcPr>
            <w:tcW w:w="7650" w:type="dxa"/>
          </w:tcPr>
          <w:p w14:paraId="10D8A65F" w14:textId="77777777" w:rsidR="00EE3346" w:rsidRPr="00516038" w:rsidRDefault="00EE3346" w:rsidP="00EE3346">
            <w:pPr>
              <w:tabs>
                <w:tab w:val="clear" w:pos="1615"/>
              </w:tabs>
              <w:rPr>
                <w:rFonts w:asciiTheme="majorHAnsi" w:hAnsiTheme="majorHAnsi" w:cstheme="majorHAnsi"/>
                <w:bCs/>
              </w:rPr>
            </w:pPr>
          </w:p>
        </w:tc>
        <w:tc>
          <w:tcPr>
            <w:tcW w:w="1417" w:type="dxa"/>
            <w:vAlign w:val="center"/>
          </w:tcPr>
          <w:p w14:paraId="6273531E" w14:textId="77777777" w:rsidR="00EE3346" w:rsidRPr="00516038" w:rsidRDefault="00EE3346" w:rsidP="00EE3346">
            <w:pPr>
              <w:tabs>
                <w:tab w:val="clear" w:pos="1615"/>
              </w:tabs>
              <w:rPr>
                <w:rFonts w:asciiTheme="majorHAnsi" w:hAnsiTheme="majorHAnsi" w:cstheme="majorHAnsi"/>
                <w:bCs/>
              </w:rPr>
            </w:pPr>
          </w:p>
        </w:tc>
      </w:tr>
      <w:tr w:rsidR="00EE3346" w:rsidRPr="00516038" w14:paraId="540AA1B6" w14:textId="77777777" w:rsidTr="00162468">
        <w:trPr>
          <w:trHeight w:val="391"/>
        </w:trPr>
        <w:tc>
          <w:tcPr>
            <w:tcW w:w="7650" w:type="dxa"/>
          </w:tcPr>
          <w:p w14:paraId="21AAD32E" w14:textId="426C609D" w:rsidR="00EE3346" w:rsidRPr="00516038" w:rsidRDefault="00516038" w:rsidP="00EE3346">
            <w:pPr>
              <w:tabs>
                <w:tab w:val="clear" w:pos="1615"/>
              </w:tabs>
              <w:rPr>
                <w:rFonts w:asciiTheme="majorHAnsi" w:hAnsiTheme="majorHAnsi" w:cstheme="majorHAnsi"/>
                <w:bCs/>
              </w:rPr>
            </w:pPr>
            <w:r w:rsidRPr="00516038">
              <w:rPr>
                <w:rFonts w:asciiTheme="majorHAnsi" w:hAnsiTheme="majorHAnsi" w:cstheme="majorHAnsi"/>
              </w:rPr>
              <w:t>1.3.3 FORMAS DE INGRESSO</w:t>
            </w:r>
          </w:p>
        </w:tc>
        <w:tc>
          <w:tcPr>
            <w:tcW w:w="1417" w:type="dxa"/>
            <w:vAlign w:val="center"/>
          </w:tcPr>
          <w:p w14:paraId="317441BC" w14:textId="6A96C9DB" w:rsidR="00EE3346" w:rsidRPr="00516038" w:rsidRDefault="00BA0F38" w:rsidP="00EE3346">
            <w:pPr>
              <w:tabs>
                <w:tab w:val="clear" w:pos="1615"/>
              </w:tabs>
              <w:rPr>
                <w:rFonts w:asciiTheme="majorHAnsi" w:hAnsiTheme="majorHAnsi" w:cstheme="majorHAnsi"/>
                <w:bCs/>
              </w:rPr>
            </w:pPr>
            <w:r>
              <w:rPr>
                <w:rFonts w:asciiTheme="majorHAnsi" w:hAnsiTheme="majorHAnsi" w:cstheme="majorHAnsi"/>
                <w:bCs/>
              </w:rPr>
              <w:t>21</w:t>
            </w:r>
          </w:p>
        </w:tc>
      </w:tr>
      <w:tr w:rsidR="00EE3346" w:rsidRPr="00516038" w14:paraId="6035B92F" w14:textId="77777777" w:rsidTr="00162468">
        <w:trPr>
          <w:trHeight w:val="391"/>
        </w:trPr>
        <w:tc>
          <w:tcPr>
            <w:tcW w:w="7650" w:type="dxa"/>
          </w:tcPr>
          <w:p w14:paraId="2504CF6F" w14:textId="77777777" w:rsidR="00EE3346" w:rsidRPr="00516038" w:rsidRDefault="00EE3346" w:rsidP="00EE3346">
            <w:pPr>
              <w:tabs>
                <w:tab w:val="clear" w:pos="1615"/>
              </w:tabs>
              <w:rPr>
                <w:rFonts w:asciiTheme="majorHAnsi" w:hAnsiTheme="majorHAnsi" w:cstheme="majorHAnsi"/>
                <w:bCs/>
              </w:rPr>
            </w:pPr>
          </w:p>
        </w:tc>
        <w:tc>
          <w:tcPr>
            <w:tcW w:w="1417" w:type="dxa"/>
            <w:vAlign w:val="center"/>
          </w:tcPr>
          <w:p w14:paraId="44969743" w14:textId="77777777" w:rsidR="00EE3346" w:rsidRPr="00516038" w:rsidRDefault="00EE3346" w:rsidP="00EE3346">
            <w:pPr>
              <w:tabs>
                <w:tab w:val="clear" w:pos="1615"/>
              </w:tabs>
              <w:rPr>
                <w:rFonts w:asciiTheme="majorHAnsi" w:hAnsiTheme="majorHAnsi" w:cstheme="majorHAnsi"/>
                <w:bCs/>
              </w:rPr>
            </w:pPr>
          </w:p>
        </w:tc>
      </w:tr>
      <w:tr w:rsidR="00EE3346" w:rsidRPr="00516038" w14:paraId="66D2D213" w14:textId="77777777" w:rsidTr="00162468">
        <w:trPr>
          <w:trHeight w:val="391"/>
        </w:trPr>
        <w:tc>
          <w:tcPr>
            <w:tcW w:w="7650" w:type="dxa"/>
          </w:tcPr>
          <w:p w14:paraId="67A6D746" w14:textId="52399D2C" w:rsidR="00EE3346" w:rsidRPr="00516038" w:rsidRDefault="00516038" w:rsidP="00EE3346">
            <w:pPr>
              <w:tabs>
                <w:tab w:val="clear" w:pos="1615"/>
              </w:tabs>
              <w:rPr>
                <w:rFonts w:asciiTheme="majorHAnsi" w:hAnsiTheme="majorHAnsi" w:cstheme="majorHAnsi"/>
                <w:bCs/>
              </w:rPr>
            </w:pPr>
            <w:r w:rsidRPr="00516038">
              <w:rPr>
                <w:rFonts w:asciiTheme="majorHAnsi" w:hAnsiTheme="majorHAnsi" w:cstheme="majorHAnsi"/>
              </w:rPr>
              <w:t>1.3.4 VAGAS PARA INGRESSO E ABANDONO ESCOLAR</w:t>
            </w:r>
          </w:p>
        </w:tc>
        <w:tc>
          <w:tcPr>
            <w:tcW w:w="1417" w:type="dxa"/>
            <w:vAlign w:val="center"/>
          </w:tcPr>
          <w:p w14:paraId="069D97BD" w14:textId="28CD2C15" w:rsidR="00EE3346" w:rsidRPr="00516038" w:rsidRDefault="00BA0F38" w:rsidP="00EE3346">
            <w:pPr>
              <w:tabs>
                <w:tab w:val="clear" w:pos="1615"/>
              </w:tabs>
              <w:rPr>
                <w:rFonts w:asciiTheme="majorHAnsi" w:hAnsiTheme="majorHAnsi" w:cstheme="majorHAnsi"/>
                <w:bCs/>
              </w:rPr>
            </w:pPr>
            <w:r>
              <w:rPr>
                <w:rFonts w:asciiTheme="majorHAnsi" w:hAnsiTheme="majorHAnsi" w:cstheme="majorHAnsi"/>
                <w:bCs/>
              </w:rPr>
              <w:t>23</w:t>
            </w:r>
          </w:p>
        </w:tc>
      </w:tr>
      <w:tr w:rsidR="00EE3346" w:rsidRPr="00516038" w14:paraId="7C6B8E36" w14:textId="77777777" w:rsidTr="00162468">
        <w:trPr>
          <w:trHeight w:val="391"/>
        </w:trPr>
        <w:tc>
          <w:tcPr>
            <w:tcW w:w="7650" w:type="dxa"/>
          </w:tcPr>
          <w:p w14:paraId="351D0087" w14:textId="77777777" w:rsidR="00EE3346" w:rsidRPr="00516038" w:rsidRDefault="00EE3346" w:rsidP="00EE3346">
            <w:pPr>
              <w:tabs>
                <w:tab w:val="clear" w:pos="1615"/>
              </w:tabs>
              <w:rPr>
                <w:rFonts w:asciiTheme="majorHAnsi" w:hAnsiTheme="majorHAnsi" w:cstheme="majorHAnsi"/>
                <w:bCs/>
              </w:rPr>
            </w:pPr>
          </w:p>
        </w:tc>
        <w:tc>
          <w:tcPr>
            <w:tcW w:w="1417" w:type="dxa"/>
            <w:vAlign w:val="center"/>
          </w:tcPr>
          <w:p w14:paraId="34AA181B" w14:textId="77777777" w:rsidR="00EE3346" w:rsidRPr="00516038" w:rsidRDefault="00EE3346" w:rsidP="00EE3346">
            <w:pPr>
              <w:tabs>
                <w:tab w:val="clear" w:pos="1615"/>
              </w:tabs>
              <w:rPr>
                <w:rFonts w:asciiTheme="majorHAnsi" w:hAnsiTheme="majorHAnsi" w:cstheme="majorHAnsi"/>
                <w:bCs/>
              </w:rPr>
            </w:pPr>
          </w:p>
        </w:tc>
      </w:tr>
      <w:tr w:rsidR="00BA0F38" w:rsidRPr="00516038" w14:paraId="1F4CF8F6" w14:textId="77777777" w:rsidTr="00A60026">
        <w:trPr>
          <w:trHeight w:val="391"/>
        </w:trPr>
        <w:tc>
          <w:tcPr>
            <w:tcW w:w="7650" w:type="dxa"/>
          </w:tcPr>
          <w:p w14:paraId="67DA7612" w14:textId="118926E9" w:rsidR="00BA0F38" w:rsidRPr="00516038" w:rsidRDefault="00BA0F38" w:rsidP="00BA0F38">
            <w:pPr>
              <w:tabs>
                <w:tab w:val="clear" w:pos="1615"/>
              </w:tabs>
              <w:rPr>
                <w:rFonts w:asciiTheme="majorHAnsi" w:hAnsiTheme="majorHAnsi" w:cstheme="majorHAnsi"/>
                <w:bCs/>
              </w:rPr>
            </w:pPr>
            <w:r w:rsidRPr="00516038">
              <w:rPr>
                <w:rFonts w:asciiTheme="majorHAnsi" w:hAnsiTheme="majorHAnsi" w:cstheme="majorHAnsi"/>
              </w:rPr>
              <w:t>1.4 TURNOS DE FUNCIONAMENTO E DURAÇÃO DOS CURSOS</w:t>
            </w:r>
          </w:p>
        </w:tc>
        <w:tc>
          <w:tcPr>
            <w:tcW w:w="1417" w:type="dxa"/>
          </w:tcPr>
          <w:p w14:paraId="42F07F35" w14:textId="51A85A0E" w:rsidR="00BA0F38" w:rsidRPr="00516038" w:rsidRDefault="00BA0F38" w:rsidP="00BA0F38">
            <w:pPr>
              <w:tabs>
                <w:tab w:val="clear" w:pos="1615"/>
              </w:tabs>
              <w:rPr>
                <w:rFonts w:asciiTheme="majorHAnsi" w:hAnsiTheme="majorHAnsi" w:cstheme="majorHAnsi"/>
                <w:bCs/>
              </w:rPr>
            </w:pPr>
            <w:r w:rsidRPr="00F973F3">
              <w:t>27</w:t>
            </w:r>
          </w:p>
        </w:tc>
      </w:tr>
      <w:tr w:rsidR="00BA0F38" w:rsidRPr="00516038" w14:paraId="44A9E6A8" w14:textId="77777777" w:rsidTr="00A60026">
        <w:trPr>
          <w:trHeight w:val="391"/>
        </w:trPr>
        <w:tc>
          <w:tcPr>
            <w:tcW w:w="7650" w:type="dxa"/>
          </w:tcPr>
          <w:p w14:paraId="48B20F78" w14:textId="77777777" w:rsidR="00BA0F38" w:rsidRPr="00516038" w:rsidRDefault="00BA0F38" w:rsidP="00BA0F38">
            <w:pPr>
              <w:tabs>
                <w:tab w:val="clear" w:pos="1615"/>
              </w:tabs>
              <w:rPr>
                <w:rFonts w:asciiTheme="majorHAnsi" w:hAnsiTheme="majorHAnsi" w:cstheme="majorHAnsi"/>
                <w:bCs/>
              </w:rPr>
            </w:pPr>
          </w:p>
        </w:tc>
        <w:tc>
          <w:tcPr>
            <w:tcW w:w="1417" w:type="dxa"/>
          </w:tcPr>
          <w:p w14:paraId="720854CB" w14:textId="77777777" w:rsidR="00BA0F38" w:rsidRPr="00516038" w:rsidRDefault="00BA0F38" w:rsidP="00BA0F38">
            <w:pPr>
              <w:tabs>
                <w:tab w:val="clear" w:pos="1615"/>
              </w:tabs>
              <w:rPr>
                <w:rFonts w:asciiTheme="majorHAnsi" w:hAnsiTheme="majorHAnsi" w:cstheme="majorHAnsi"/>
                <w:bCs/>
              </w:rPr>
            </w:pPr>
          </w:p>
        </w:tc>
      </w:tr>
      <w:tr w:rsidR="00BA0F38" w:rsidRPr="00516038" w14:paraId="7A27FBF0" w14:textId="77777777" w:rsidTr="00A60026">
        <w:trPr>
          <w:trHeight w:val="391"/>
        </w:trPr>
        <w:tc>
          <w:tcPr>
            <w:tcW w:w="7650" w:type="dxa"/>
          </w:tcPr>
          <w:p w14:paraId="6F8D5417" w14:textId="6DCAE4B5" w:rsidR="00BA0F38" w:rsidRPr="00516038" w:rsidRDefault="00BA0F38" w:rsidP="00BA0F38">
            <w:pPr>
              <w:tabs>
                <w:tab w:val="clear" w:pos="1615"/>
              </w:tabs>
              <w:rPr>
                <w:rFonts w:asciiTheme="majorHAnsi" w:hAnsiTheme="majorHAnsi" w:cstheme="majorHAnsi"/>
                <w:bCs/>
              </w:rPr>
            </w:pPr>
            <w:r w:rsidRPr="00516038">
              <w:rPr>
                <w:rFonts w:asciiTheme="majorHAnsi" w:hAnsiTheme="majorHAnsi" w:cstheme="majorHAnsi"/>
              </w:rPr>
              <w:lastRenderedPageBreak/>
              <w:t>1.4.1 TURNOS DE FUNCIONAMENTO</w:t>
            </w:r>
          </w:p>
        </w:tc>
        <w:tc>
          <w:tcPr>
            <w:tcW w:w="1417" w:type="dxa"/>
          </w:tcPr>
          <w:p w14:paraId="1BDFF789" w14:textId="4293A1EE" w:rsidR="00BA0F38" w:rsidRPr="00516038" w:rsidRDefault="00BA0F38" w:rsidP="00BA0F38">
            <w:pPr>
              <w:tabs>
                <w:tab w:val="clear" w:pos="1615"/>
              </w:tabs>
              <w:rPr>
                <w:rFonts w:asciiTheme="majorHAnsi" w:hAnsiTheme="majorHAnsi" w:cstheme="majorHAnsi"/>
                <w:bCs/>
              </w:rPr>
            </w:pPr>
            <w:r w:rsidRPr="00F973F3">
              <w:t>27</w:t>
            </w:r>
          </w:p>
        </w:tc>
      </w:tr>
      <w:tr w:rsidR="00BA0F38" w:rsidRPr="00516038" w14:paraId="1E40F863" w14:textId="77777777" w:rsidTr="00A60026">
        <w:trPr>
          <w:trHeight w:val="391"/>
        </w:trPr>
        <w:tc>
          <w:tcPr>
            <w:tcW w:w="7650" w:type="dxa"/>
          </w:tcPr>
          <w:p w14:paraId="55F0D20E" w14:textId="77777777" w:rsidR="00BA0F38" w:rsidRPr="00516038" w:rsidRDefault="00BA0F38" w:rsidP="00BA0F38">
            <w:pPr>
              <w:tabs>
                <w:tab w:val="clear" w:pos="1615"/>
              </w:tabs>
              <w:rPr>
                <w:rFonts w:asciiTheme="majorHAnsi" w:hAnsiTheme="majorHAnsi" w:cstheme="majorHAnsi"/>
                <w:bCs/>
              </w:rPr>
            </w:pPr>
          </w:p>
        </w:tc>
        <w:tc>
          <w:tcPr>
            <w:tcW w:w="1417" w:type="dxa"/>
          </w:tcPr>
          <w:p w14:paraId="12B754E8" w14:textId="77777777" w:rsidR="00BA0F38" w:rsidRPr="00516038" w:rsidRDefault="00BA0F38" w:rsidP="00BA0F38">
            <w:pPr>
              <w:tabs>
                <w:tab w:val="clear" w:pos="1615"/>
              </w:tabs>
              <w:rPr>
                <w:rFonts w:asciiTheme="majorHAnsi" w:hAnsiTheme="majorHAnsi" w:cstheme="majorHAnsi"/>
                <w:bCs/>
              </w:rPr>
            </w:pPr>
          </w:p>
        </w:tc>
      </w:tr>
      <w:tr w:rsidR="00BA0F38" w:rsidRPr="00516038" w14:paraId="3E49BCD1" w14:textId="77777777" w:rsidTr="00A60026">
        <w:trPr>
          <w:trHeight w:val="391"/>
        </w:trPr>
        <w:tc>
          <w:tcPr>
            <w:tcW w:w="7650" w:type="dxa"/>
          </w:tcPr>
          <w:p w14:paraId="369D9D44" w14:textId="033D0697" w:rsidR="00BA0F38" w:rsidRPr="00516038" w:rsidRDefault="00BA0F38" w:rsidP="00BA0F38">
            <w:pPr>
              <w:tabs>
                <w:tab w:val="clear" w:pos="1615"/>
              </w:tabs>
              <w:rPr>
                <w:rFonts w:asciiTheme="majorHAnsi" w:hAnsiTheme="majorHAnsi" w:cstheme="majorHAnsi"/>
                <w:bCs/>
              </w:rPr>
            </w:pPr>
            <w:r w:rsidRPr="00516038">
              <w:rPr>
                <w:rFonts w:asciiTheme="majorHAnsi" w:hAnsiTheme="majorHAnsi" w:cstheme="majorHAnsi"/>
              </w:rPr>
              <w:t>1.4.2 DURAÇÃO DE CADA PERÍODO LETIVO</w:t>
            </w:r>
          </w:p>
        </w:tc>
        <w:tc>
          <w:tcPr>
            <w:tcW w:w="1417" w:type="dxa"/>
          </w:tcPr>
          <w:p w14:paraId="57A70A7A" w14:textId="34B7FD54" w:rsidR="00BA0F38" w:rsidRPr="00516038" w:rsidRDefault="00BA0F38" w:rsidP="00BA0F38">
            <w:pPr>
              <w:tabs>
                <w:tab w:val="clear" w:pos="1615"/>
              </w:tabs>
              <w:rPr>
                <w:rFonts w:asciiTheme="majorHAnsi" w:hAnsiTheme="majorHAnsi" w:cstheme="majorHAnsi"/>
                <w:bCs/>
              </w:rPr>
            </w:pPr>
            <w:r w:rsidRPr="00F973F3">
              <w:t>28</w:t>
            </w:r>
          </w:p>
        </w:tc>
      </w:tr>
      <w:tr w:rsidR="00BA0F38" w:rsidRPr="00516038" w14:paraId="396D0E22" w14:textId="77777777" w:rsidTr="00A60026">
        <w:trPr>
          <w:trHeight w:val="391"/>
        </w:trPr>
        <w:tc>
          <w:tcPr>
            <w:tcW w:w="7650" w:type="dxa"/>
          </w:tcPr>
          <w:p w14:paraId="05726489" w14:textId="77777777" w:rsidR="00BA0F38" w:rsidRPr="00516038" w:rsidRDefault="00BA0F38" w:rsidP="00BA0F38">
            <w:pPr>
              <w:tabs>
                <w:tab w:val="clear" w:pos="1615"/>
              </w:tabs>
              <w:rPr>
                <w:rFonts w:asciiTheme="majorHAnsi" w:hAnsiTheme="majorHAnsi" w:cstheme="majorHAnsi"/>
                <w:bCs/>
              </w:rPr>
            </w:pPr>
          </w:p>
        </w:tc>
        <w:tc>
          <w:tcPr>
            <w:tcW w:w="1417" w:type="dxa"/>
          </w:tcPr>
          <w:p w14:paraId="10878103" w14:textId="77777777" w:rsidR="00BA0F38" w:rsidRPr="00516038" w:rsidRDefault="00BA0F38" w:rsidP="00BA0F38">
            <w:pPr>
              <w:tabs>
                <w:tab w:val="clear" w:pos="1615"/>
              </w:tabs>
              <w:rPr>
                <w:rFonts w:asciiTheme="majorHAnsi" w:hAnsiTheme="majorHAnsi" w:cstheme="majorHAnsi"/>
                <w:bCs/>
              </w:rPr>
            </w:pPr>
          </w:p>
        </w:tc>
      </w:tr>
      <w:tr w:rsidR="00BA0F38" w:rsidRPr="00516038" w14:paraId="33C7980D" w14:textId="77777777" w:rsidTr="00A60026">
        <w:trPr>
          <w:trHeight w:val="391"/>
        </w:trPr>
        <w:tc>
          <w:tcPr>
            <w:tcW w:w="7650" w:type="dxa"/>
          </w:tcPr>
          <w:p w14:paraId="2DA2C206" w14:textId="461DFB4E" w:rsidR="00BA0F38" w:rsidRPr="00516038" w:rsidRDefault="00BA0F38" w:rsidP="00BA0F38">
            <w:pPr>
              <w:tabs>
                <w:tab w:val="clear" w:pos="1615"/>
              </w:tabs>
              <w:rPr>
                <w:rFonts w:asciiTheme="majorHAnsi" w:hAnsiTheme="majorHAnsi" w:cstheme="majorHAnsi"/>
                <w:bCs/>
              </w:rPr>
            </w:pPr>
            <w:r w:rsidRPr="00516038">
              <w:rPr>
                <w:rFonts w:asciiTheme="majorHAnsi" w:hAnsiTheme="majorHAnsi" w:cstheme="majorHAnsi"/>
              </w:rPr>
              <w:t>1.4.3 DURAÇÃO DOS CURSOS</w:t>
            </w:r>
          </w:p>
        </w:tc>
        <w:tc>
          <w:tcPr>
            <w:tcW w:w="1417" w:type="dxa"/>
          </w:tcPr>
          <w:p w14:paraId="57FA2E1B" w14:textId="117E5F80" w:rsidR="00BA0F38" w:rsidRPr="00516038" w:rsidRDefault="00BA0F38" w:rsidP="00BA0F38">
            <w:pPr>
              <w:tabs>
                <w:tab w:val="clear" w:pos="1615"/>
              </w:tabs>
              <w:rPr>
                <w:rFonts w:asciiTheme="majorHAnsi" w:hAnsiTheme="majorHAnsi" w:cstheme="majorHAnsi"/>
                <w:bCs/>
              </w:rPr>
            </w:pPr>
            <w:r w:rsidRPr="00F973F3">
              <w:t>32</w:t>
            </w:r>
          </w:p>
        </w:tc>
      </w:tr>
      <w:tr w:rsidR="00BA0F38" w:rsidRPr="00516038" w14:paraId="5B719415" w14:textId="77777777" w:rsidTr="00A60026">
        <w:trPr>
          <w:trHeight w:val="391"/>
        </w:trPr>
        <w:tc>
          <w:tcPr>
            <w:tcW w:w="7650" w:type="dxa"/>
          </w:tcPr>
          <w:p w14:paraId="5A13E9BD" w14:textId="77777777" w:rsidR="00BA0F38" w:rsidRPr="00516038" w:rsidRDefault="00BA0F38" w:rsidP="00BA0F38">
            <w:pPr>
              <w:tabs>
                <w:tab w:val="clear" w:pos="1615"/>
              </w:tabs>
              <w:rPr>
                <w:rFonts w:asciiTheme="majorHAnsi" w:hAnsiTheme="majorHAnsi" w:cstheme="majorHAnsi"/>
              </w:rPr>
            </w:pPr>
          </w:p>
        </w:tc>
        <w:tc>
          <w:tcPr>
            <w:tcW w:w="1417" w:type="dxa"/>
          </w:tcPr>
          <w:p w14:paraId="48FAE009" w14:textId="77777777" w:rsidR="00BA0F38" w:rsidRPr="00516038" w:rsidRDefault="00BA0F38" w:rsidP="00BA0F38">
            <w:pPr>
              <w:tabs>
                <w:tab w:val="clear" w:pos="1615"/>
              </w:tabs>
              <w:rPr>
                <w:rFonts w:asciiTheme="majorHAnsi" w:hAnsiTheme="majorHAnsi" w:cstheme="majorHAnsi"/>
                <w:bCs/>
              </w:rPr>
            </w:pPr>
          </w:p>
        </w:tc>
      </w:tr>
      <w:tr w:rsidR="00BA0F38" w:rsidRPr="00516038" w14:paraId="33C31BB6" w14:textId="77777777" w:rsidTr="00A60026">
        <w:trPr>
          <w:trHeight w:val="391"/>
        </w:trPr>
        <w:tc>
          <w:tcPr>
            <w:tcW w:w="7650" w:type="dxa"/>
          </w:tcPr>
          <w:p w14:paraId="15470DC9" w14:textId="0D443A29" w:rsidR="00BA0F38" w:rsidRPr="00516038" w:rsidRDefault="00BA0F38" w:rsidP="00BA0F38">
            <w:pPr>
              <w:tabs>
                <w:tab w:val="clear" w:pos="1615"/>
              </w:tabs>
              <w:rPr>
                <w:rFonts w:asciiTheme="majorHAnsi" w:hAnsiTheme="majorHAnsi" w:cstheme="majorHAnsi"/>
              </w:rPr>
            </w:pPr>
            <w:r w:rsidRPr="00516038">
              <w:rPr>
                <w:rFonts w:asciiTheme="majorHAnsi" w:hAnsiTheme="majorHAnsi" w:cstheme="majorHAnsi"/>
              </w:rPr>
              <w:t>1.4.4 POLÍTICAS DE PERMANÊNCIA</w:t>
            </w:r>
          </w:p>
        </w:tc>
        <w:tc>
          <w:tcPr>
            <w:tcW w:w="1417" w:type="dxa"/>
          </w:tcPr>
          <w:p w14:paraId="61E89C5A" w14:textId="38227F20" w:rsidR="00BA0F38" w:rsidRPr="00516038" w:rsidRDefault="00BA0F38" w:rsidP="00BA0F38">
            <w:pPr>
              <w:tabs>
                <w:tab w:val="clear" w:pos="1615"/>
              </w:tabs>
              <w:rPr>
                <w:rFonts w:asciiTheme="majorHAnsi" w:hAnsiTheme="majorHAnsi" w:cstheme="majorHAnsi"/>
                <w:bCs/>
              </w:rPr>
            </w:pPr>
            <w:r w:rsidRPr="00F973F3">
              <w:t>34</w:t>
            </w:r>
          </w:p>
        </w:tc>
      </w:tr>
      <w:tr w:rsidR="00BA0F38" w:rsidRPr="00516038" w14:paraId="21FEE0D3" w14:textId="77777777" w:rsidTr="00A60026">
        <w:trPr>
          <w:trHeight w:val="391"/>
        </w:trPr>
        <w:tc>
          <w:tcPr>
            <w:tcW w:w="7650" w:type="dxa"/>
          </w:tcPr>
          <w:p w14:paraId="07CD3454" w14:textId="77777777" w:rsidR="00BA0F38" w:rsidRPr="00516038" w:rsidRDefault="00BA0F38" w:rsidP="00BA0F38">
            <w:pPr>
              <w:tabs>
                <w:tab w:val="clear" w:pos="1615"/>
              </w:tabs>
              <w:rPr>
                <w:rFonts w:asciiTheme="majorHAnsi" w:hAnsiTheme="majorHAnsi" w:cstheme="majorHAnsi"/>
              </w:rPr>
            </w:pPr>
          </w:p>
        </w:tc>
        <w:tc>
          <w:tcPr>
            <w:tcW w:w="1417" w:type="dxa"/>
          </w:tcPr>
          <w:p w14:paraId="665D3D20" w14:textId="77777777" w:rsidR="00BA0F38" w:rsidRPr="00516038" w:rsidRDefault="00BA0F38" w:rsidP="00BA0F38">
            <w:pPr>
              <w:tabs>
                <w:tab w:val="clear" w:pos="1615"/>
              </w:tabs>
              <w:rPr>
                <w:rFonts w:asciiTheme="majorHAnsi" w:hAnsiTheme="majorHAnsi" w:cstheme="majorHAnsi"/>
                <w:bCs/>
              </w:rPr>
            </w:pPr>
          </w:p>
        </w:tc>
      </w:tr>
      <w:tr w:rsidR="00BA0F38" w:rsidRPr="00516038" w14:paraId="4BA08540" w14:textId="77777777" w:rsidTr="00A60026">
        <w:trPr>
          <w:trHeight w:val="391"/>
        </w:trPr>
        <w:tc>
          <w:tcPr>
            <w:tcW w:w="7650" w:type="dxa"/>
          </w:tcPr>
          <w:p w14:paraId="7991FD99" w14:textId="2D8E63CF" w:rsidR="00BA0F38" w:rsidRPr="00516038" w:rsidRDefault="00BA0F38" w:rsidP="00BA0F38">
            <w:pPr>
              <w:tabs>
                <w:tab w:val="clear" w:pos="1615"/>
              </w:tabs>
              <w:rPr>
                <w:rFonts w:asciiTheme="majorHAnsi" w:hAnsiTheme="majorHAnsi" w:cstheme="majorHAnsi"/>
              </w:rPr>
            </w:pPr>
            <w:r w:rsidRPr="00516038">
              <w:rPr>
                <w:rFonts w:asciiTheme="majorHAnsi" w:hAnsiTheme="majorHAnsi" w:cstheme="majorHAnsi"/>
              </w:rPr>
              <w:t>1.5 CITAÇÕES BIBLIOGRÁFICAS E DA LEGISLAÇÃO</w:t>
            </w:r>
          </w:p>
        </w:tc>
        <w:tc>
          <w:tcPr>
            <w:tcW w:w="1417" w:type="dxa"/>
          </w:tcPr>
          <w:p w14:paraId="70BADC40" w14:textId="1E73CF5C" w:rsidR="00BA0F38" w:rsidRPr="00516038" w:rsidRDefault="00BA0F38" w:rsidP="00BA0F38">
            <w:pPr>
              <w:tabs>
                <w:tab w:val="clear" w:pos="1615"/>
              </w:tabs>
              <w:rPr>
                <w:rFonts w:asciiTheme="majorHAnsi" w:hAnsiTheme="majorHAnsi" w:cstheme="majorHAnsi"/>
                <w:bCs/>
              </w:rPr>
            </w:pPr>
            <w:r w:rsidRPr="00F973F3">
              <w:t>34</w:t>
            </w:r>
          </w:p>
        </w:tc>
      </w:tr>
      <w:tr w:rsidR="00BA0F38" w:rsidRPr="00516038" w14:paraId="5E8DF484" w14:textId="77777777" w:rsidTr="00A60026">
        <w:trPr>
          <w:trHeight w:val="391"/>
        </w:trPr>
        <w:tc>
          <w:tcPr>
            <w:tcW w:w="7650" w:type="dxa"/>
          </w:tcPr>
          <w:p w14:paraId="3D0C5BA0" w14:textId="77777777" w:rsidR="00BA0F38" w:rsidRPr="00516038" w:rsidRDefault="00BA0F38" w:rsidP="00BA0F38">
            <w:pPr>
              <w:tabs>
                <w:tab w:val="clear" w:pos="1615"/>
              </w:tabs>
              <w:rPr>
                <w:rFonts w:asciiTheme="majorHAnsi" w:hAnsiTheme="majorHAnsi" w:cstheme="majorHAnsi"/>
              </w:rPr>
            </w:pPr>
          </w:p>
        </w:tc>
        <w:tc>
          <w:tcPr>
            <w:tcW w:w="1417" w:type="dxa"/>
          </w:tcPr>
          <w:p w14:paraId="1E23CD76" w14:textId="77777777" w:rsidR="00BA0F38" w:rsidRPr="00516038" w:rsidRDefault="00BA0F38" w:rsidP="00BA0F38">
            <w:pPr>
              <w:tabs>
                <w:tab w:val="clear" w:pos="1615"/>
              </w:tabs>
              <w:rPr>
                <w:rFonts w:asciiTheme="majorHAnsi" w:hAnsiTheme="majorHAnsi" w:cstheme="majorHAnsi"/>
                <w:bCs/>
              </w:rPr>
            </w:pPr>
          </w:p>
        </w:tc>
      </w:tr>
      <w:tr w:rsidR="00BA0F38" w:rsidRPr="00516038" w14:paraId="07CC760B" w14:textId="77777777" w:rsidTr="00A60026">
        <w:trPr>
          <w:trHeight w:val="391"/>
        </w:trPr>
        <w:tc>
          <w:tcPr>
            <w:tcW w:w="7650" w:type="dxa"/>
          </w:tcPr>
          <w:p w14:paraId="40008873" w14:textId="39DEFEA3" w:rsidR="00BA0F38" w:rsidRPr="00516038" w:rsidRDefault="00BA0F38" w:rsidP="00BA0F38">
            <w:pPr>
              <w:tabs>
                <w:tab w:val="clear" w:pos="1615"/>
              </w:tabs>
              <w:rPr>
                <w:rFonts w:asciiTheme="majorHAnsi" w:hAnsiTheme="majorHAnsi" w:cstheme="majorHAnsi"/>
              </w:rPr>
            </w:pPr>
            <w:r w:rsidRPr="00516038">
              <w:rPr>
                <w:rFonts w:asciiTheme="majorHAnsi" w:hAnsiTheme="majorHAnsi" w:cstheme="majorHAnsi"/>
              </w:rPr>
              <w:t>2. DISCIPLINARIDADE, MULTIDISCIPLINARIDADE, INTERDISCIPLINARIDADE E TRANSDISCIPLINARIDADE</w:t>
            </w:r>
          </w:p>
        </w:tc>
        <w:tc>
          <w:tcPr>
            <w:tcW w:w="1417" w:type="dxa"/>
          </w:tcPr>
          <w:p w14:paraId="6F7F7586" w14:textId="5BE6C301" w:rsidR="00BA0F38" w:rsidRPr="00516038" w:rsidRDefault="00BA0F38" w:rsidP="00BA0F38">
            <w:pPr>
              <w:tabs>
                <w:tab w:val="clear" w:pos="1615"/>
              </w:tabs>
              <w:rPr>
                <w:rFonts w:asciiTheme="majorHAnsi" w:hAnsiTheme="majorHAnsi" w:cstheme="majorHAnsi"/>
                <w:bCs/>
              </w:rPr>
            </w:pPr>
            <w:r w:rsidRPr="00F973F3">
              <w:t>38</w:t>
            </w:r>
          </w:p>
        </w:tc>
      </w:tr>
      <w:tr w:rsidR="00BA0F38" w:rsidRPr="00516038" w14:paraId="70ED4ABB" w14:textId="77777777" w:rsidTr="00A60026">
        <w:trPr>
          <w:trHeight w:val="391"/>
        </w:trPr>
        <w:tc>
          <w:tcPr>
            <w:tcW w:w="7650" w:type="dxa"/>
          </w:tcPr>
          <w:p w14:paraId="5666669E" w14:textId="77777777" w:rsidR="00BA0F38" w:rsidRPr="00516038" w:rsidRDefault="00BA0F38" w:rsidP="00BA0F38">
            <w:pPr>
              <w:tabs>
                <w:tab w:val="clear" w:pos="1615"/>
              </w:tabs>
              <w:rPr>
                <w:rFonts w:asciiTheme="majorHAnsi" w:hAnsiTheme="majorHAnsi" w:cstheme="majorHAnsi"/>
              </w:rPr>
            </w:pPr>
          </w:p>
        </w:tc>
        <w:tc>
          <w:tcPr>
            <w:tcW w:w="1417" w:type="dxa"/>
          </w:tcPr>
          <w:p w14:paraId="317BAECA" w14:textId="77777777" w:rsidR="00BA0F38" w:rsidRPr="00516038" w:rsidRDefault="00BA0F38" w:rsidP="00BA0F38">
            <w:pPr>
              <w:tabs>
                <w:tab w:val="clear" w:pos="1615"/>
              </w:tabs>
              <w:rPr>
                <w:rFonts w:asciiTheme="majorHAnsi" w:hAnsiTheme="majorHAnsi" w:cstheme="majorHAnsi"/>
                <w:bCs/>
              </w:rPr>
            </w:pPr>
          </w:p>
        </w:tc>
      </w:tr>
      <w:tr w:rsidR="00BA0F38" w:rsidRPr="00516038" w14:paraId="0813C048" w14:textId="77777777" w:rsidTr="00A60026">
        <w:trPr>
          <w:trHeight w:val="391"/>
        </w:trPr>
        <w:tc>
          <w:tcPr>
            <w:tcW w:w="7650" w:type="dxa"/>
          </w:tcPr>
          <w:p w14:paraId="11A95112" w14:textId="157F8F96" w:rsidR="00BA0F38" w:rsidRPr="00516038" w:rsidRDefault="00BA0F38" w:rsidP="00BA0F38">
            <w:pPr>
              <w:tabs>
                <w:tab w:val="clear" w:pos="1615"/>
              </w:tabs>
              <w:rPr>
                <w:rFonts w:asciiTheme="majorHAnsi" w:hAnsiTheme="majorHAnsi" w:cstheme="majorHAnsi"/>
              </w:rPr>
            </w:pPr>
            <w:r w:rsidRPr="00516038">
              <w:rPr>
                <w:rFonts w:asciiTheme="majorHAnsi" w:hAnsiTheme="majorHAnsi" w:cstheme="majorHAnsi"/>
              </w:rPr>
              <w:t>2.1 DISCIPLINA, DISCIPLINARIDADE E PLURIDISCIPLINARIDADE</w:t>
            </w:r>
          </w:p>
        </w:tc>
        <w:tc>
          <w:tcPr>
            <w:tcW w:w="1417" w:type="dxa"/>
          </w:tcPr>
          <w:p w14:paraId="2797DD5B" w14:textId="3ED3DB40" w:rsidR="00BA0F38" w:rsidRPr="00516038" w:rsidRDefault="00BA0F38" w:rsidP="00BA0F38">
            <w:pPr>
              <w:tabs>
                <w:tab w:val="clear" w:pos="1615"/>
              </w:tabs>
              <w:rPr>
                <w:rFonts w:asciiTheme="majorHAnsi" w:hAnsiTheme="majorHAnsi" w:cstheme="majorHAnsi"/>
                <w:bCs/>
              </w:rPr>
            </w:pPr>
            <w:r w:rsidRPr="00F973F3">
              <w:t>39</w:t>
            </w:r>
          </w:p>
        </w:tc>
      </w:tr>
      <w:tr w:rsidR="00BA0F38" w:rsidRPr="00516038" w14:paraId="6BEA4CBB" w14:textId="77777777" w:rsidTr="00A60026">
        <w:trPr>
          <w:trHeight w:val="391"/>
        </w:trPr>
        <w:tc>
          <w:tcPr>
            <w:tcW w:w="7650" w:type="dxa"/>
          </w:tcPr>
          <w:p w14:paraId="5E624A08" w14:textId="77777777" w:rsidR="00BA0F38" w:rsidRPr="00516038" w:rsidRDefault="00BA0F38" w:rsidP="00BA0F38">
            <w:pPr>
              <w:tabs>
                <w:tab w:val="clear" w:pos="1615"/>
              </w:tabs>
              <w:rPr>
                <w:rFonts w:asciiTheme="majorHAnsi" w:hAnsiTheme="majorHAnsi" w:cstheme="majorHAnsi"/>
              </w:rPr>
            </w:pPr>
          </w:p>
        </w:tc>
        <w:tc>
          <w:tcPr>
            <w:tcW w:w="1417" w:type="dxa"/>
          </w:tcPr>
          <w:p w14:paraId="7BBF1089" w14:textId="77777777" w:rsidR="00BA0F38" w:rsidRPr="00516038" w:rsidRDefault="00BA0F38" w:rsidP="00BA0F38">
            <w:pPr>
              <w:tabs>
                <w:tab w:val="clear" w:pos="1615"/>
              </w:tabs>
              <w:rPr>
                <w:rFonts w:asciiTheme="majorHAnsi" w:hAnsiTheme="majorHAnsi" w:cstheme="majorHAnsi"/>
                <w:bCs/>
              </w:rPr>
            </w:pPr>
          </w:p>
        </w:tc>
      </w:tr>
      <w:tr w:rsidR="00BA0F38" w:rsidRPr="00516038" w14:paraId="002A3622" w14:textId="77777777" w:rsidTr="00A60026">
        <w:trPr>
          <w:trHeight w:val="391"/>
        </w:trPr>
        <w:tc>
          <w:tcPr>
            <w:tcW w:w="7650" w:type="dxa"/>
          </w:tcPr>
          <w:p w14:paraId="3448C6D0" w14:textId="22089873" w:rsidR="00BA0F38" w:rsidRPr="00516038" w:rsidRDefault="00BA0F38" w:rsidP="00BA0F38">
            <w:pPr>
              <w:tabs>
                <w:tab w:val="clear" w:pos="1615"/>
              </w:tabs>
              <w:rPr>
                <w:rFonts w:asciiTheme="majorHAnsi" w:hAnsiTheme="majorHAnsi" w:cstheme="majorHAnsi"/>
              </w:rPr>
            </w:pPr>
            <w:r w:rsidRPr="00516038">
              <w:rPr>
                <w:rFonts w:asciiTheme="majorHAnsi" w:hAnsiTheme="majorHAnsi" w:cstheme="majorHAnsi"/>
              </w:rPr>
              <w:t>2.2 INTERDISCIPLINARIDADE E TRANSDISCIPLINARIDADE</w:t>
            </w:r>
          </w:p>
        </w:tc>
        <w:tc>
          <w:tcPr>
            <w:tcW w:w="1417" w:type="dxa"/>
          </w:tcPr>
          <w:p w14:paraId="66FFD8BA" w14:textId="608EF094" w:rsidR="00BA0F38" w:rsidRPr="00516038" w:rsidRDefault="00BA0F38" w:rsidP="00BA0F38">
            <w:pPr>
              <w:tabs>
                <w:tab w:val="clear" w:pos="1615"/>
              </w:tabs>
              <w:rPr>
                <w:rFonts w:asciiTheme="majorHAnsi" w:hAnsiTheme="majorHAnsi" w:cstheme="majorHAnsi"/>
                <w:bCs/>
              </w:rPr>
            </w:pPr>
            <w:r w:rsidRPr="00F973F3">
              <w:t>42</w:t>
            </w:r>
          </w:p>
        </w:tc>
      </w:tr>
      <w:tr w:rsidR="00BA0F38" w:rsidRPr="00516038" w14:paraId="450CB153" w14:textId="77777777" w:rsidTr="00A60026">
        <w:trPr>
          <w:trHeight w:val="391"/>
        </w:trPr>
        <w:tc>
          <w:tcPr>
            <w:tcW w:w="7650" w:type="dxa"/>
          </w:tcPr>
          <w:p w14:paraId="42ED05D0" w14:textId="77777777" w:rsidR="00BA0F38" w:rsidRPr="00516038" w:rsidRDefault="00BA0F38" w:rsidP="00BA0F38">
            <w:pPr>
              <w:tabs>
                <w:tab w:val="clear" w:pos="1615"/>
              </w:tabs>
              <w:rPr>
                <w:rFonts w:asciiTheme="majorHAnsi" w:hAnsiTheme="majorHAnsi" w:cstheme="majorHAnsi"/>
              </w:rPr>
            </w:pPr>
          </w:p>
        </w:tc>
        <w:tc>
          <w:tcPr>
            <w:tcW w:w="1417" w:type="dxa"/>
          </w:tcPr>
          <w:p w14:paraId="1A04CBD7" w14:textId="77777777" w:rsidR="00BA0F38" w:rsidRPr="00516038" w:rsidRDefault="00BA0F38" w:rsidP="00BA0F38">
            <w:pPr>
              <w:tabs>
                <w:tab w:val="clear" w:pos="1615"/>
              </w:tabs>
              <w:rPr>
                <w:rFonts w:asciiTheme="majorHAnsi" w:hAnsiTheme="majorHAnsi" w:cstheme="majorHAnsi"/>
                <w:bCs/>
              </w:rPr>
            </w:pPr>
          </w:p>
        </w:tc>
      </w:tr>
      <w:tr w:rsidR="00BA0F38" w:rsidRPr="00516038" w14:paraId="5194D286" w14:textId="77777777" w:rsidTr="00A60026">
        <w:trPr>
          <w:trHeight w:val="391"/>
        </w:trPr>
        <w:tc>
          <w:tcPr>
            <w:tcW w:w="7650" w:type="dxa"/>
          </w:tcPr>
          <w:p w14:paraId="52542AC2" w14:textId="5F4DDB73" w:rsidR="00BA0F38" w:rsidRPr="00516038" w:rsidRDefault="00BA0F38" w:rsidP="00BA0F38">
            <w:pPr>
              <w:tabs>
                <w:tab w:val="clear" w:pos="1615"/>
              </w:tabs>
              <w:rPr>
                <w:rFonts w:asciiTheme="majorHAnsi" w:hAnsiTheme="majorHAnsi" w:cstheme="majorHAnsi"/>
              </w:rPr>
            </w:pPr>
            <w:r w:rsidRPr="00516038">
              <w:rPr>
                <w:rFonts w:asciiTheme="majorHAnsi" w:hAnsiTheme="majorHAnsi" w:cstheme="majorHAnsi"/>
              </w:rPr>
              <w:t>2.3 REFLEXÕES COMPLEMENTARES</w:t>
            </w:r>
          </w:p>
        </w:tc>
        <w:tc>
          <w:tcPr>
            <w:tcW w:w="1417" w:type="dxa"/>
          </w:tcPr>
          <w:p w14:paraId="01F93C8E" w14:textId="66B03ECC" w:rsidR="00BA0F38" w:rsidRPr="00516038" w:rsidRDefault="00BA0F38" w:rsidP="00BA0F38">
            <w:pPr>
              <w:tabs>
                <w:tab w:val="clear" w:pos="1615"/>
              </w:tabs>
              <w:rPr>
                <w:rFonts w:asciiTheme="majorHAnsi" w:hAnsiTheme="majorHAnsi" w:cstheme="majorHAnsi"/>
                <w:bCs/>
              </w:rPr>
            </w:pPr>
            <w:r w:rsidRPr="00F973F3">
              <w:t>46</w:t>
            </w:r>
          </w:p>
        </w:tc>
      </w:tr>
      <w:tr w:rsidR="00BA0F38" w:rsidRPr="00516038" w14:paraId="3CCA29D4" w14:textId="77777777" w:rsidTr="00A60026">
        <w:trPr>
          <w:trHeight w:val="391"/>
        </w:trPr>
        <w:tc>
          <w:tcPr>
            <w:tcW w:w="7650" w:type="dxa"/>
          </w:tcPr>
          <w:p w14:paraId="77D8063B" w14:textId="77777777" w:rsidR="00BA0F38" w:rsidRPr="00516038" w:rsidRDefault="00BA0F38" w:rsidP="00BA0F38">
            <w:pPr>
              <w:tabs>
                <w:tab w:val="clear" w:pos="1615"/>
              </w:tabs>
              <w:rPr>
                <w:rFonts w:asciiTheme="majorHAnsi" w:hAnsiTheme="majorHAnsi" w:cstheme="majorHAnsi"/>
              </w:rPr>
            </w:pPr>
          </w:p>
        </w:tc>
        <w:tc>
          <w:tcPr>
            <w:tcW w:w="1417" w:type="dxa"/>
          </w:tcPr>
          <w:p w14:paraId="3573F6A7" w14:textId="77777777" w:rsidR="00BA0F38" w:rsidRPr="00516038" w:rsidRDefault="00BA0F38" w:rsidP="00BA0F38">
            <w:pPr>
              <w:tabs>
                <w:tab w:val="clear" w:pos="1615"/>
              </w:tabs>
              <w:rPr>
                <w:rFonts w:asciiTheme="majorHAnsi" w:hAnsiTheme="majorHAnsi" w:cstheme="majorHAnsi"/>
                <w:bCs/>
              </w:rPr>
            </w:pPr>
          </w:p>
        </w:tc>
      </w:tr>
      <w:tr w:rsidR="00BA0F38" w:rsidRPr="00516038" w14:paraId="1A9B292E" w14:textId="77777777" w:rsidTr="00A60026">
        <w:trPr>
          <w:trHeight w:val="391"/>
        </w:trPr>
        <w:tc>
          <w:tcPr>
            <w:tcW w:w="7650" w:type="dxa"/>
          </w:tcPr>
          <w:p w14:paraId="15D58C2E" w14:textId="1FBDF60C" w:rsidR="00BA0F38" w:rsidRPr="00516038" w:rsidRDefault="00BA0F38" w:rsidP="00BA0F38">
            <w:pPr>
              <w:tabs>
                <w:tab w:val="clear" w:pos="1615"/>
              </w:tabs>
              <w:rPr>
                <w:rFonts w:asciiTheme="majorHAnsi" w:hAnsiTheme="majorHAnsi" w:cstheme="majorHAnsi"/>
              </w:rPr>
            </w:pPr>
            <w:r w:rsidRPr="00516038">
              <w:rPr>
                <w:rFonts w:asciiTheme="majorHAnsi" w:hAnsiTheme="majorHAnsi" w:cstheme="majorHAnsi"/>
              </w:rPr>
              <w:t>2.4 CITAÇÕES BIBLIOGRÁFICAS E DA LEGISLAÇÃO</w:t>
            </w:r>
          </w:p>
        </w:tc>
        <w:tc>
          <w:tcPr>
            <w:tcW w:w="1417" w:type="dxa"/>
          </w:tcPr>
          <w:p w14:paraId="3C6F72FD" w14:textId="1265FA91" w:rsidR="00BA0F38" w:rsidRPr="00516038" w:rsidRDefault="00BA0F38" w:rsidP="00BA0F38">
            <w:pPr>
              <w:tabs>
                <w:tab w:val="clear" w:pos="1615"/>
              </w:tabs>
              <w:rPr>
                <w:rFonts w:asciiTheme="majorHAnsi" w:hAnsiTheme="majorHAnsi" w:cstheme="majorHAnsi"/>
                <w:bCs/>
              </w:rPr>
            </w:pPr>
            <w:r w:rsidRPr="00F973F3">
              <w:t>51</w:t>
            </w:r>
          </w:p>
        </w:tc>
      </w:tr>
      <w:tr w:rsidR="00EE3346" w:rsidRPr="00516038" w14:paraId="0CC05E78" w14:textId="77777777" w:rsidTr="00162468">
        <w:trPr>
          <w:trHeight w:val="391"/>
        </w:trPr>
        <w:tc>
          <w:tcPr>
            <w:tcW w:w="7650" w:type="dxa"/>
          </w:tcPr>
          <w:p w14:paraId="030403FC" w14:textId="77777777" w:rsidR="00EE3346" w:rsidRPr="00516038" w:rsidRDefault="00EE3346" w:rsidP="00EE3346">
            <w:pPr>
              <w:tabs>
                <w:tab w:val="clear" w:pos="1615"/>
              </w:tabs>
              <w:rPr>
                <w:rFonts w:asciiTheme="majorHAnsi" w:hAnsiTheme="majorHAnsi" w:cstheme="majorHAnsi"/>
              </w:rPr>
            </w:pPr>
          </w:p>
        </w:tc>
        <w:tc>
          <w:tcPr>
            <w:tcW w:w="1417" w:type="dxa"/>
            <w:vAlign w:val="center"/>
          </w:tcPr>
          <w:p w14:paraId="4C1996F0" w14:textId="77777777" w:rsidR="00EE3346" w:rsidRPr="00516038" w:rsidRDefault="00EE3346" w:rsidP="00EE3346">
            <w:pPr>
              <w:tabs>
                <w:tab w:val="clear" w:pos="1615"/>
              </w:tabs>
              <w:rPr>
                <w:rFonts w:asciiTheme="majorHAnsi" w:hAnsiTheme="majorHAnsi" w:cstheme="majorHAnsi"/>
                <w:bCs/>
              </w:rPr>
            </w:pPr>
          </w:p>
        </w:tc>
      </w:tr>
      <w:tr w:rsidR="00846DED" w:rsidRPr="00516038" w14:paraId="185C5F7F" w14:textId="77777777" w:rsidTr="00F50567">
        <w:trPr>
          <w:trHeight w:val="391"/>
        </w:trPr>
        <w:tc>
          <w:tcPr>
            <w:tcW w:w="7650" w:type="dxa"/>
          </w:tcPr>
          <w:p w14:paraId="304AC4F1" w14:textId="4DB2AE06" w:rsidR="00846DED" w:rsidRPr="00516038" w:rsidRDefault="00846DED" w:rsidP="00846DED">
            <w:pPr>
              <w:tabs>
                <w:tab w:val="clear" w:pos="1615"/>
              </w:tabs>
              <w:rPr>
                <w:rFonts w:asciiTheme="majorHAnsi" w:hAnsiTheme="majorHAnsi" w:cstheme="majorHAnsi"/>
              </w:rPr>
            </w:pPr>
            <w:r w:rsidRPr="00516038">
              <w:rPr>
                <w:rFonts w:asciiTheme="majorHAnsi" w:hAnsiTheme="majorHAnsi" w:cstheme="majorHAnsi"/>
              </w:rPr>
              <w:t>3. MÉTODOS, TÉCNICAS E METODOLOGIAS ATIVAS DE ENSINO</w:t>
            </w:r>
          </w:p>
        </w:tc>
        <w:tc>
          <w:tcPr>
            <w:tcW w:w="1417" w:type="dxa"/>
          </w:tcPr>
          <w:p w14:paraId="3F7220AD" w14:textId="6A2F00FD" w:rsidR="00846DED" w:rsidRPr="00516038" w:rsidRDefault="00846DED" w:rsidP="00846DED">
            <w:pPr>
              <w:tabs>
                <w:tab w:val="clear" w:pos="1615"/>
              </w:tabs>
              <w:rPr>
                <w:rFonts w:asciiTheme="majorHAnsi" w:hAnsiTheme="majorHAnsi" w:cstheme="majorHAnsi"/>
                <w:bCs/>
              </w:rPr>
            </w:pPr>
            <w:r w:rsidRPr="00A25103">
              <w:t>54</w:t>
            </w:r>
          </w:p>
        </w:tc>
      </w:tr>
      <w:tr w:rsidR="00846DED" w:rsidRPr="00516038" w14:paraId="1B972EED" w14:textId="77777777" w:rsidTr="00F50567">
        <w:trPr>
          <w:trHeight w:val="391"/>
        </w:trPr>
        <w:tc>
          <w:tcPr>
            <w:tcW w:w="7650" w:type="dxa"/>
          </w:tcPr>
          <w:p w14:paraId="26A6A993" w14:textId="77777777" w:rsidR="00846DED" w:rsidRPr="00516038" w:rsidRDefault="00846DED" w:rsidP="00846DED">
            <w:pPr>
              <w:tabs>
                <w:tab w:val="clear" w:pos="1615"/>
              </w:tabs>
              <w:rPr>
                <w:rFonts w:asciiTheme="majorHAnsi" w:hAnsiTheme="majorHAnsi" w:cstheme="majorHAnsi"/>
              </w:rPr>
            </w:pPr>
          </w:p>
        </w:tc>
        <w:tc>
          <w:tcPr>
            <w:tcW w:w="1417" w:type="dxa"/>
          </w:tcPr>
          <w:p w14:paraId="62C430F6" w14:textId="77777777" w:rsidR="00846DED" w:rsidRPr="00516038" w:rsidRDefault="00846DED" w:rsidP="00846DED">
            <w:pPr>
              <w:tabs>
                <w:tab w:val="clear" w:pos="1615"/>
              </w:tabs>
              <w:rPr>
                <w:rFonts w:asciiTheme="majorHAnsi" w:hAnsiTheme="majorHAnsi" w:cstheme="majorHAnsi"/>
                <w:bCs/>
              </w:rPr>
            </w:pPr>
          </w:p>
        </w:tc>
      </w:tr>
      <w:tr w:rsidR="00846DED" w:rsidRPr="00516038" w14:paraId="25411870" w14:textId="77777777" w:rsidTr="00F50567">
        <w:trPr>
          <w:trHeight w:val="391"/>
        </w:trPr>
        <w:tc>
          <w:tcPr>
            <w:tcW w:w="7650" w:type="dxa"/>
          </w:tcPr>
          <w:p w14:paraId="1725AC86" w14:textId="35D4606E" w:rsidR="00846DED" w:rsidRPr="00516038" w:rsidRDefault="00846DED" w:rsidP="00846DED">
            <w:pPr>
              <w:tabs>
                <w:tab w:val="clear" w:pos="1615"/>
              </w:tabs>
              <w:rPr>
                <w:rFonts w:asciiTheme="majorHAnsi" w:hAnsiTheme="majorHAnsi" w:cstheme="majorHAnsi"/>
              </w:rPr>
            </w:pPr>
            <w:r w:rsidRPr="00516038">
              <w:rPr>
                <w:rFonts w:asciiTheme="majorHAnsi" w:hAnsiTheme="majorHAnsi" w:cstheme="majorHAnsi"/>
              </w:rPr>
              <w:t>3.1 SURGIMENTO E CARACTERÍSTICAS DAS METODOLOGIAS ATIVAS DE APRENDIZAGEM (MAA)</w:t>
            </w:r>
          </w:p>
        </w:tc>
        <w:tc>
          <w:tcPr>
            <w:tcW w:w="1417" w:type="dxa"/>
          </w:tcPr>
          <w:p w14:paraId="1B584AFA" w14:textId="2845C82C" w:rsidR="00846DED" w:rsidRPr="00516038" w:rsidRDefault="00846DED" w:rsidP="00846DED">
            <w:pPr>
              <w:tabs>
                <w:tab w:val="clear" w:pos="1615"/>
              </w:tabs>
              <w:rPr>
                <w:rFonts w:asciiTheme="majorHAnsi" w:hAnsiTheme="majorHAnsi" w:cstheme="majorHAnsi"/>
                <w:bCs/>
              </w:rPr>
            </w:pPr>
            <w:r w:rsidRPr="00A25103">
              <w:t>55</w:t>
            </w:r>
          </w:p>
        </w:tc>
      </w:tr>
      <w:tr w:rsidR="00846DED" w:rsidRPr="00516038" w14:paraId="17FA7E36" w14:textId="77777777" w:rsidTr="00F50567">
        <w:trPr>
          <w:trHeight w:val="391"/>
        </w:trPr>
        <w:tc>
          <w:tcPr>
            <w:tcW w:w="7650" w:type="dxa"/>
          </w:tcPr>
          <w:p w14:paraId="2AFC99EF" w14:textId="77777777" w:rsidR="00846DED" w:rsidRPr="00516038" w:rsidRDefault="00846DED" w:rsidP="00846DED">
            <w:pPr>
              <w:tabs>
                <w:tab w:val="clear" w:pos="1615"/>
              </w:tabs>
              <w:rPr>
                <w:rFonts w:asciiTheme="majorHAnsi" w:hAnsiTheme="majorHAnsi" w:cstheme="majorHAnsi"/>
              </w:rPr>
            </w:pPr>
          </w:p>
        </w:tc>
        <w:tc>
          <w:tcPr>
            <w:tcW w:w="1417" w:type="dxa"/>
          </w:tcPr>
          <w:p w14:paraId="37AA3686" w14:textId="77777777" w:rsidR="00846DED" w:rsidRPr="00516038" w:rsidRDefault="00846DED" w:rsidP="00846DED">
            <w:pPr>
              <w:tabs>
                <w:tab w:val="clear" w:pos="1615"/>
              </w:tabs>
              <w:rPr>
                <w:rFonts w:asciiTheme="majorHAnsi" w:hAnsiTheme="majorHAnsi" w:cstheme="majorHAnsi"/>
                <w:bCs/>
              </w:rPr>
            </w:pPr>
          </w:p>
        </w:tc>
      </w:tr>
      <w:tr w:rsidR="00846DED" w:rsidRPr="00516038" w14:paraId="2F28A0C9" w14:textId="77777777" w:rsidTr="00F50567">
        <w:trPr>
          <w:trHeight w:val="391"/>
        </w:trPr>
        <w:tc>
          <w:tcPr>
            <w:tcW w:w="7650" w:type="dxa"/>
          </w:tcPr>
          <w:p w14:paraId="23890B9F" w14:textId="7E69E722" w:rsidR="00846DED" w:rsidRPr="00516038" w:rsidRDefault="00846DED" w:rsidP="00846DED">
            <w:pPr>
              <w:tabs>
                <w:tab w:val="clear" w:pos="1615"/>
              </w:tabs>
              <w:rPr>
                <w:rFonts w:asciiTheme="majorHAnsi" w:hAnsiTheme="majorHAnsi" w:cstheme="majorHAnsi"/>
              </w:rPr>
            </w:pPr>
            <w:r w:rsidRPr="00516038">
              <w:rPr>
                <w:rFonts w:asciiTheme="majorHAnsi" w:hAnsiTheme="majorHAnsi" w:cstheme="majorHAnsi"/>
              </w:rPr>
              <w:t>3.1.1 MAA, SALAS DE AULA, LABORATÓRIOS E ESPAÇOS DE APRENDIZAGEM</w:t>
            </w:r>
          </w:p>
        </w:tc>
        <w:tc>
          <w:tcPr>
            <w:tcW w:w="1417" w:type="dxa"/>
          </w:tcPr>
          <w:p w14:paraId="5B8F9A8B" w14:textId="181D06CB" w:rsidR="00846DED" w:rsidRPr="00516038" w:rsidRDefault="00846DED" w:rsidP="00846DED">
            <w:pPr>
              <w:tabs>
                <w:tab w:val="clear" w:pos="1615"/>
              </w:tabs>
              <w:rPr>
                <w:rFonts w:asciiTheme="majorHAnsi" w:hAnsiTheme="majorHAnsi" w:cstheme="majorHAnsi"/>
                <w:bCs/>
              </w:rPr>
            </w:pPr>
            <w:r w:rsidRPr="00A25103">
              <w:t>59</w:t>
            </w:r>
          </w:p>
        </w:tc>
      </w:tr>
      <w:tr w:rsidR="00846DED" w:rsidRPr="00516038" w14:paraId="5E911E0F" w14:textId="77777777" w:rsidTr="00F50567">
        <w:trPr>
          <w:trHeight w:val="391"/>
        </w:trPr>
        <w:tc>
          <w:tcPr>
            <w:tcW w:w="7650" w:type="dxa"/>
          </w:tcPr>
          <w:p w14:paraId="41E76E7F" w14:textId="77777777" w:rsidR="00846DED" w:rsidRPr="00516038" w:rsidRDefault="00846DED" w:rsidP="00846DED">
            <w:pPr>
              <w:tabs>
                <w:tab w:val="clear" w:pos="1615"/>
              </w:tabs>
              <w:rPr>
                <w:rFonts w:asciiTheme="majorHAnsi" w:hAnsiTheme="majorHAnsi" w:cstheme="majorHAnsi"/>
              </w:rPr>
            </w:pPr>
          </w:p>
        </w:tc>
        <w:tc>
          <w:tcPr>
            <w:tcW w:w="1417" w:type="dxa"/>
          </w:tcPr>
          <w:p w14:paraId="6686DB1F" w14:textId="77777777" w:rsidR="00846DED" w:rsidRPr="00516038" w:rsidRDefault="00846DED" w:rsidP="00846DED">
            <w:pPr>
              <w:tabs>
                <w:tab w:val="clear" w:pos="1615"/>
              </w:tabs>
              <w:rPr>
                <w:rFonts w:asciiTheme="majorHAnsi" w:hAnsiTheme="majorHAnsi" w:cstheme="majorHAnsi"/>
                <w:bCs/>
              </w:rPr>
            </w:pPr>
          </w:p>
        </w:tc>
      </w:tr>
      <w:tr w:rsidR="00846DED" w:rsidRPr="00516038" w14:paraId="5EED8D2F" w14:textId="77777777" w:rsidTr="00F50567">
        <w:trPr>
          <w:trHeight w:val="391"/>
        </w:trPr>
        <w:tc>
          <w:tcPr>
            <w:tcW w:w="7650" w:type="dxa"/>
          </w:tcPr>
          <w:p w14:paraId="17F38D4D" w14:textId="67FF26E3" w:rsidR="00846DED" w:rsidRPr="00516038" w:rsidRDefault="00846DED" w:rsidP="00846DED">
            <w:pPr>
              <w:tabs>
                <w:tab w:val="clear" w:pos="1615"/>
              </w:tabs>
              <w:rPr>
                <w:rFonts w:asciiTheme="majorHAnsi" w:hAnsiTheme="majorHAnsi" w:cstheme="majorHAnsi"/>
              </w:rPr>
            </w:pPr>
            <w:r w:rsidRPr="00516038">
              <w:rPr>
                <w:rFonts w:asciiTheme="majorHAnsi" w:hAnsiTheme="majorHAnsi" w:cstheme="majorHAnsi"/>
              </w:rPr>
              <w:t>3.1.2 MAA, ENSINO A DISTÂNCIA, ENSINO HÍBRIDO E COVID-19</w:t>
            </w:r>
          </w:p>
        </w:tc>
        <w:tc>
          <w:tcPr>
            <w:tcW w:w="1417" w:type="dxa"/>
          </w:tcPr>
          <w:p w14:paraId="758087FB" w14:textId="2C9A662D" w:rsidR="00846DED" w:rsidRPr="00516038" w:rsidRDefault="00846DED" w:rsidP="00846DED">
            <w:pPr>
              <w:tabs>
                <w:tab w:val="clear" w:pos="1615"/>
              </w:tabs>
              <w:rPr>
                <w:rFonts w:asciiTheme="majorHAnsi" w:hAnsiTheme="majorHAnsi" w:cstheme="majorHAnsi"/>
                <w:bCs/>
              </w:rPr>
            </w:pPr>
            <w:r w:rsidRPr="00A25103">
              <w:t>62</w:t>
            </w:r>
          </w:p>
        </w:tc>
      </w:tr>
      <w:tr w:rsidR="00846DED" w:rsidRPr="00516038" w14:paraId="3452AD9F" w14:textId="77777777" w:rsidTr="00F50567">
        <w:trPr>
          <w:trHeight w:val="391"/>
        </w:trPr>
        <w:tc>
          <w:tcPr>
            <w:tcW w:w="7650" w:type="dxa"/>
          </w:tcPr>
          <w:p w14:paraId="1CC223EF" w14:textId="77777777" w:rsidR="00846DED" w:rsidRPr="00516038" w:rsidRDefault="00846DED" w:rsidP="00846DED">
            <w:pPr>
              <w:tabs>
                <w:tab w:val="clear" w:pos="1615"/>
              </w:tabs>
              <w:rPr>
                <w:rFonts w:asciiTheme="majorHAnsi" w:hAnsiTheme="majorHAnsi" w:cstheme="majorHAnsi"/>
              </w:rPr>
            </w:pPr>
          </w:p>
        </w:tc>
        <w:tc>
          <w:tcPr>
            <w:tcW w:w="1417" w:type="dxa"/>
          </w:tcPr>
          <w:p w14:paraId="5EE93993" w14:textId="77777777" w:rsidR="00846DED" w:rsidRPr="00516038" w:rsidRDefault="00846DED" w:rsidP="00846DED">
            <w:pPr>
              <w:tabs>
                <w:tab w:val="clear" w:pos="1615"/>
              </w:tabs>
              <w:rPr>
                <w:rFonts w:asciiTheme="majorHAnsi" w:hAnsiTheme="majorHAnsi" w:cstheme="majorHAnsi"/>
                <w:bCs/>
              </w:rPr>
            </w:pPr>
          </w:p>
        </w:tc>
      </w:tr>
      <w:tr w:rsidR="00846DED" w:rsidRPr="00516038" w14:paraId="0CEC1F37" w14:textId="77777777" w:rsidTr="00F50567">
        <w:trPr>
          <w:trHeight w:val="391"/>
        </w:trPr>
        <w:tc>
          <w:tcPr>
            <w:tcW w:w="7650" w:type="dxa"/>
          </w:tcPr>
          <w:p w14:paraId="23465A14" w14:textId="54FC69E3" w:rsidR="00846DED" w:rsidRPr="00516038" w:rsidRDefault="00846DED" w:rsidP="00846DED">
            <w:pPr>
              <w:tabs>
                <w:tab w:val="clear" w:pos="1615"/>
              </w:tabs>
              <w:rPr>
                <w:rFonts w:asciiTheme="majorHAnsi" w:hAnsiTheme="majorHAnsi" w:cstheme="majorHAnsi"/>
              </w:rPr>
            </w:pPr>
            <w:r w:rsidRPr="00516038">
              <w:rPr>
                <w:rFonts w:asciiTheme="majorHAnsi" w:hAnsiTheme="majorHAnsi" w:cstheme="majorHAnsi"/>
              </w:rPr>
              <w:t>3.2 MAA PARA O DESENVOLVIMENTO DE CURSOS</w:t>
            </w:r>
          </w:p>
        </w:tc>
        <w:tc>
          <w:tcPr>
            <w:tcW w:w="1417" w:type="dxa"/>
          </w:tcPr>
          <w:p w14:paraId="5CFA6471" w14:textId="3A4E8A50" w:rsidR="00846DED" w:rsidRPr="00516038" w:rsidRDefault="00846DED" w:rsidP="00846DED">
            <w:pPr>
              <w:tabs>
                <w:tab w:val="clear" w:pos="1615"/>
              </w:tabs>
              <w:rPr>
                <w:rFonts w:asciiTheme="majorHAnsi" w:hAnsiTheme="majorHAnsi" w:cstheme="majorHAnsi"/>
                <w:bCs/>
              </w:rPr>
            </w:pPr>
            <w:r w:rsidRPr="00A25103">
              <w:t>66</w:t>
            </w:r>
          </w:p>
        </w:tc>
      </w:tr>
      <w:tr w:rsidR="00846DED" w:rsidRPr="00516038" w14:paraId="04843E56" w14:textId="77777777" w:rsidTr="00F50567">
        <w:trPr>
          <w:trHeight w:val="391"/>
        </w:trPr>
        <w:tc>
          <w:tcPr>
            <w:tcW w:w="7650" w:type="dxa"/>
          </w:tcPr>
          <w:p w14:paraId="7385A256" w14:textId="77777777" w:rsidR="00846DED" w:rsidRPr="00516038" w:rsidRDefault="00846DED" w:rsidP="00846DED">
            <w:pPr>
              <w:tabs>
                <w:tab w:val="clear" w:pos="1615"/>
              </w:tabs>
              <w:rPr>
                <w:rFonts w:asciiTheme="majorHAnsi" w:hAnsiTheme="majorHAnsi" w:cstheme="majorHAnsi"/>
              </w:rPr>
            </w:pPr>
          </w:p>
        </w:tc>
        <w:tc>
          <w:tcPr>
            <w:tcW w:w="1417" w:type="dxa"/>
          </w:tcPr>
          <w:p w14:paraId="68B1B546" w14:textId="77777777" w:rsidR="00846DED" w:rsidRPr="00516038" w:rsidRDefault="00846DED" w:rsidP="00846DED">
            <w:pPr>
              <w:tabs>
                <w:tab w:val="clear" w:pos="1615"/>
              </w:tabs>
              <w:rPr>
                <w:rFonts w:asciiTheme="majorHAnsi" w:hAnsiTheme="majorHAnsi" w:cstheme="majorHAnsi"/>
                <w:bCs/>
              </w:rPr>
            </w:pPr>
          </w:p>
        </w:tc>
      </w:tr>
      <w:tr w:rsidR="00846DED" w:rsidRPr="00516038" w14:paraId="3C4BDD5B" w14:textId="77777777" w:rsidTr="00F50567">
        <w:trPr>
          <w:trHeight w:val="391"/>
        </w:trPr>
        <w:tc>
          <w:tcPr>
            <w:tcW w:w="7650" w:type="dxa"/>
          </w:tcPr>
          <w:p w14:paraId="6805C3F3" w14:textId="5EC8CAD6" w:rsidR="00846DED" w:rsidRPr="00516038" w:rsidRDefault="00846DED" w:rsidP="00846DED">
            <w:pPr>
              <w:tabs>
                <w:tab w:val="clear" w:pos="1615"/>
              </w:tabs>
              <w:rPr>
                <w:rFonts w:asciiTheme="majorHAnsi" w:hAnsiTheme="majorHAnsi" w:cstheme="majorHAnsi"/>
              </w:rPr>
            </w:pPr>
            <w:r w:rsidRPr="00516038">
              <w:rPr>
                <w:rFonts w:asciiTheme="majorHAnsi" w:hAnsiTheme="majorHAnsi" w:cstheme="majorHAnsi"/>
              </w:rPr>
              <w:t>3.2.1 APRENDIZAGEM BASEADA EM PROBLEMAS (ABP)</w:t>
            </w:r>
          </w:p>
        </w:tc>
        <w:tc>
          <w:tcPr>
            <w:tcW w:w="1417" w:type="dxa"/>
          </w:tcPr>
          <w:p w14:paraId="403B417B" w14:textId="721D0137" w:rsidR="00846DED" w:rsidRPr="00516038" w:rsidRDefault="00846DED" w:rsidP="00846DED">
            <w:pPr>
              <w:tabs>
                <w:tab w:val="clear" w:pos="1615"/>
              </w:tabs>
              <w:rPr>
                <w:rFonts w:asciiTheme="majorHAnsi" w:hAnsiTheme="majorHAnsi" w:cstheme="majorHAnsi"/>
                <w:bCs/>
              </w:rPr>
            </w:pPr>
            <w:r w:rsidRPr="00A25103">
              <w:t>67</w:t>
            </w:r>
          </w:p>
        </w:tc>
      </w:tr>
      <w:tr w:rsidR="00846DED" w:rsidRPr="00516038" w14:paraId="1FB75D42" w14:textId="77777777" w:rsidTr="00F50567">
        <w:trPr>
          <w:trHeight w:val="391"/>
        </w:trPr>
        <w:tc>
          <w:tcPr>
            <w:tcW w:w="7650" w:type="dxa"/>
          </w:tcPr>
          <w:p w14:paraId="5CED411D" w14:textId="77777777" w:rsidR="00846DED" w:rsidRPr="00516038" w:rsidRDefault="00846DED" w:rsidP="00846DED">
            <w:pPr>
              <w:tabs>
                <w:tab w:val="clear" w:pos="1615"/>
              </w:tabs>
              <w:rPr>
                <w:rFonts w:asciiTheme="majorHAnsi" w:hAnsiTheme="majorHAnsi" w:cstheme="majorHAnsi"/>
              </w:rPr>
            </w:pPr>
          </w:p>
        </w:tc>
        <w:tc>
          <w:tcPr>
            <w:tcW w:w="1417" w:type="dxa"/>
          </w:tcPr>
          <w:p w14:paraId="14E7E7E1" w14:textId="77777777" w:rsidR="00846DED" w:rsidRPr="00516038" w:rsidRDefault="00846DED" w:rsidP="00846DED">
            <w:pPr>
              <w:tabs>
                <w:tab w:val="clear" w:pos="1615"/>
              </w:tabs>
              <w:rPr>
                <w:rFonts w:asciiTheme="majorHAnsi" w:hAnsiTheme="majorHAnsi" w:cstheme="majorHAnsi"/>
                <w:bCs/>
              </w:rPr>
            </w:pPr>
          </w:p>
        </w:tc>
      </w:tr>
      <w:tr w:rsidR="00846DED" w:rsidRPr="00516038" w14:paraId="035B7AE0" w14:textId="77777777" w:rsidTr="00F50567">
        <w:trPr>
          <w:trHeight w:val="391"/>
        </w:trPr>
        <w:tc>
          <w:tcPr>
            <w:tcW w:w="7650" w:type="dxa"/>
          </w:tcPr>
          <w:p w14:paraId="097755BD" w14:textId="42E2EA05" w:rsidR="00846DED" w:rsidRPr="00516038" w:rsidRDefault="00846DED" w:rsidP="00846DED">
            <w:pPr>
              <w:tabs>
                <w:tab w:val="clear" w:pos="1615"/>
              </w:tabs>
              <w:rPr>
                <w:rFonts w:asciiTheme="majorHAnsi" w:hAnsiTheme="majorHAnsi" w:cstheme="majorHAnsi"/>
              </w:rPr>
            </w:pPr>
            <w:r w:rsidRPr="00516038">
              <w:rPr>
                <w:rFonts w:asciiTheme="majorHAnsi" w:hAnsiTheme="majorHAnsi" w:cstheme="majorHAnsi"/>
              </w:rPr>
              <w:t>3.2.2 PEDAGOGIA DA PROBLEMATIZAÇÃO (PP)</w:t>
            </w:r>
          </w:p>
        </w:tc>
        <w:tc>
          <w:tcPr>
            <w:tcW w:w="1417" w:type="dxa"/>
          </w:tcPr>
          <w:p w14:paraId="4220E770" w14:textId="5DC4993C" w:rsidR="00846DED" w:rsidRPr="00516038" w:rsidRDefault="00846DED" w:rsidP="00846DED">
            <w:pPr>
              <w:tabs>
                <w:tab w:val="clear" w:pos="1615"/>
              </w:tabs>
              <w:rPr>
                <w:rFonts w:asciiTheme="majorHAnsi" w:hAnsiTheme="majorHAnsi" w:cstheme="majorHAnsi"/>
                <w:bCs/>
              </w:rPr>
            </w:pPr>
            <w:r w:rsidRPr="00A25103">
              <w:t>71</w:t>
            </w:r>
          </w:p>
        </w:tc>
      </w:tr>
      <w:tr w:rsidR="00846DED" w:rsidRPr="00516038" w14:paraId="42580B48" w14:textId="77777777" w:rsidTr="00F50567">
        <w:trPr>
          <w:trHeight w:val="391"/>
        </w:trPr>
        <w:tc>
          <w:tcPr>
            <w:tcW w:w="7650" w:type="dxa"/>
          </w:tcPr>
          <w:p w14:paraId="329374C0" w14:textId="77777777" w:rsidR="00846DED" w:rsidRPr="00516038" w:rsidRDefault="00846DED" w:rsidP="00846DED">
            <w:pPr>
              <w:tabs>
                <w:tab w:val="clear" w:pos="1615"/>
              </w:tabs>
              <w:rPr>
                <w:rFonts w:asciiTheme="majorHAnsi" w:hAnsiTheme="majorHAnsi" w:cstheme="majorHAnsi"/>
              </w:rPr>
            </w:pPr>
          </w:p>
        </w:tc>
        <w:tc>
          <w:tcPr>
            <w:tcW w:w="1417" w:type="dxa"/>
          </w:tcPr>
          <w:p w14:paraId="5DF2B008" w14:textId="77777777" w:rsidR="00846DED" w:rsidRPr="00516038" w:rsidRDefault="00846DED" w:rsidP="00846DED">
            <w:pPr>
              <w:tabs>
                <w:tab w:val="clear" w:pos="1615"/>
              </w:tabs>
              <w:rPr>
                <w:rFonts w:asciiTheme="majorHAnsi" w:hAnsiTheme="majorHAnsi" w:cstheme="majorHAnsi"/>
                <w:bCs/>
              </w:rPr>
            </w:pPr>
          </w:p>
        </w:tc>
      </w:tr>
      <w:tr w:rsidR="00846DED" w:rsidRPr="00516038" w14:paraId="0CBDE9AF" w14:textId="77777777" w:rsidTr="00F50567">
        <w:trPr>
          <w:trHeight w:val="391"/>
        </w:trPr>
        <w:tc>
          <w:tcPr>
            <w:tcW w:w="7650" w:type="dxa"/>
          </w:tcPr>
          <w:p w14:paraId="249C2AAB" w14:textId="11FB0444" w:rsidR="00846DED" w:rsidRPr="00516038" w:rsidRDefault="00846DED" w:rsidP="00846DED">
            <w:pPr>
              <w:tabs>
                <w:tab w:val="clear" w:pos="1615"/>
              </w:tabs>
              <w:rPr>
                <w:rFonts w:asciiTheme="majorHAnsi" w:hAnsiTheme="majorHAnsi" w:cstheme="majorHAnsi"/>
              </w:rPr>
            </w:pPr>
            <w:r w:rsidRPr="00516038">
              <w:rPr>
                <w:rFonts w:asciiTheme="majorHAnsi" w:hAnsiTheme="majorHAnsi" w:cstheme="majorHAnsi"/>
              </w:rPr>
              <w:t>3.2.3 APRENDIZAGEM BASEADA EM PROJETOS (ABP)</w:t>
            </w:r>
          </w:p>
        </w:tc>
        <w:tc>
          <w:tcPr>
            <w:tcW w:w="1417" w:type="dxa"/>
          </w:tcPr>
          <w:p w14:paraId="161DB538" w14:textId="5A376F2F" w:rsidR="00846DED" w:rsidRPr="00516038" w:rsidRDefault="00846DED" w:rsidP="00846DED">
            <w:pPr>
              <w:tabs>
                <w:tab w:val="clear" w:pos="1615"/>
              </w:tabs>
              <w:rPr>
                <w:rFonts w:asciiTheme="majorHAnsi" w:hAnsiTheme="majorHAnsi" w:cstheme="majorHAnsi"/>
                <w:bCs/>
              </w:rPr>
            </w:pPr>
            <w:r w:rsidRPr="00A25103">
              <w:t>73</w:t>
            </w:r>
          </w:p>
        </w:tc>
      </w:tr>
      <w:tr w:rsidR="00846DED" w:rsidRPr="00516038" w14:paraId="43818926" w14:textId="77777777" w:rsidTr="00F50567">
        <w:trPr>
          <w:trHeight w:val="391"/>
        </w:trPr>
        <w:tc>
          <w:tcPr>
            <w:tcW w:w="7650" w:type="dxa"/>
          </w:tcPr>
          <w:p w14:paraId="5A6F0579" w14:textId="77777777" w:rsidR="00846DED" w:rsidRPr="00516038" w:rsidRDefault="00846DED" w:rsidP="00846DED">
            <w:pPr>
              <w:tabs>
                <w:tab w:val="clear" w:pos="1615"/>
              </w:tabs>
              <w:rPr>
                <w:rFonts w:asciiTheme="majorHAnsi" w:hAnsiTheme="majorHAnsi" w:cstheme="majorHAnsi"/>
              </w:rPr>
            </w:pPr>
          </w:p>
        </w:tc>
        <w:tc>
          <w:tcPr>
            <w:tcW w:w="1417" w:type="dxa"/>
          </w:tcPr>
          <w:p w14:paraId="7031D9E8" w14:textId="77777777" w:rsidR="00846DED" w:rsidRPr="00516038" w:rsidRDefault="00846DED" w:rsidP="00846DED">
            <w:pPr>
              <w:tabs>
                <w:tab w:val="clear" w:pos="1615"/>
              </w:tabs>
              <w:rPr>
                <w:rFonts w:asciiTheme="majorHAnsi" w:hAnsiTheme="majorHAnsi" w:cstheme="majorHAnsi"/>
                <w:bCs/>
              </w:rPr>
            </w:pPr>
          </w:p>
        </w:tc>
      </w:tr>
      <w:tr w:rsidR="00846DED" w:rsidRPr="00516038" w14:paraId="36E1FA91" w14:textId="77777777" w:rsidTr="00F50567">
        <w:trPr>
          <w:trHeight w:val="391"/>
        </w:trPr>
        <w:tc>
          <w:tcPr>
            <w:tcW w:w="7650" w:type="dxa"/>
          </w:tcPr>
          <w:p w14:paraId="581C38B5" w14:textId="441010D7" w:rsidR="00846DED" w:rsidRPr="00516038" w:rsidRDefault="00846DED" w:rsidP="00846DED">
            <w:pPr>
              <w:tabs>
                <w:tab w:val="clear" w:pos="1615"/>
              </w:tabs>
              <w:rPr>
                <w:rFonts w:asciiTheme="majorHAnsi" w:hAnsiTheme="majorHAnsi" w:cstheme="majorHAnsi"/>
              </w:rPr>
            </w:pPr>
            <w:r w:rsidRPr="00516038">
              <w:rPr>
                <w:rFonts w:asciiTheme="majorHAnsi" w:hAnsiTheme="majorHAnsi" w:cstheme="majorHAnsi"/>
              </w:rPr>
              <w:t>3.2.4 SÍNTESE COMPARATIVA</w:t>
            </w:r>
          </w:p>
        </w:tc>
        <w:tc>
          <w:tcPr>
            <w:tcW w:w="1417" w:type="dxa"/>
          </w:tcPr>
          <w:p w14:paraId="4DB86AB2" w14:textId="1BB1367E" w:rsidR="00846DED" w:rsidRPr="00516038" w:rsidRDefault="00846DED" w:rsidP="00846DED">
            <w:pPr>
              <w:tabs>
                <w:tab w:val="clear" w:pos="1615"/>
              </w:tabs>
              <w:rPr>
                <w:rFonts w:asciiTheme="majorHAnsi" w:hAnsiTheme="majorHAnsi" w:cstheme="majorHAnsi"/>
                <w:bCs/>
              </w:rPr>
            </w:pPr>
            <w:r w:rsidRPr="00A25103">
              <w:t>76</w:t>
            </w:r>
          </w:p>
        </w:tc>
      </w:tr>
      <w:tr w:rsidR="00846DED" w:rsidRPr="00516038" w14:paraId="193DF3D6" w14:textId="77777777" w:rsidTr="00F50567">
        <w:trPr>
          <w:trHeight w:val="391"/>
        </w:trPr>
        <w:tc>
          <w:tcPr>
            <w:tcW w:w="7650" w:type="dxa"/>
          </w:tcPr>
          <w:p w14:paraId="281CE868" w14:textId="77777777" w:rsidR="00846DED" w:rsidRPr="00516038" w:rsidRDefault="00846DED" w:rsidP="00846DED">
            <w:pPr>
              <w:tabs>
                <w:tab w:val="clear" w:pos="1615"/>
              </w:tabs>
              <w:rPr>
                <w:rFonts w:asciiTheme="majorHAnsi" w:hAnsiTheme="majorHAnsi" w:cstheme="majorHAnsi"/>
              </w:rPr>
            </w:pPr>
          </w:p>
        </w:tc>
        <w:tc>
          <w:tcPr>
            <w:tcW w:w="1417" w:type="dxa"/>
          </w:tcPr>
          <w:p w14:paraId="780CAC61" w14:textId="77777777" w:rsidR="00846DED" w:rsidRPr="00516038" w:rsidRDefault="00846DED" w:rsidP="00846DED">
            <w:pPr>
              <w:tabs>
                <w:tab w:val="clear" w:pos="1615"/>
              </w:tabs>
              <w:rPr>
                <w:rFonts w:asciiTheme="majorHAnsi" w:hAnsiTheme="majorHAnsi" w:cstheme="majorHAnsi"/>
                <w:bCs/>
              </w:rPr>
            </w:pPr>
          </w:p>
        </w:tc>
      </w:tr>
      <w:tr w:rsidR="00846DED" w:rsidRPr="00516038" w14:paraId="12444342" w14:textId="77777777" w:rsidTr="00F50567">
        <w:trPr>
          <w:trHeight w:val="391"/>
        </w:trPr>
        <w:tc>
          <w:tcPr>
            <w:tcW w:w="7650" w:type="dxa"/>
          </w:tcPr>
          <w:p w14:paraId="09B8FF50" w14:textId="67ADF0A5" w:rsidR="00846DED" w:rsidRPr="00516038" w:rsidRDefault="00846DED" w:rsidP="00846DED">
            <w:pPr>
              <w:tabs>
                <w:tab w:val="clear" w:pos="1615"/>
              </w:tabs>
              <w:rPr>
                <w:rFonts w:asciiTheme="majorHAnsi" w:hAnsiTheme="majorHAnsi" w:cstheme="majorHAnsi"/>
              </w:rPr>
            </w:pPr>
            <w:r w:rsidRPr="00516038">
              <w:rPr>
                <w:rFonts w:asciiTheme="majorHAnsi" w:hAnsiTheme="majorHAnsi" w:cstheme="majorHAnsi"/>
              </w:rPr>
              <w:t>3.3 MAA PARA ATIVIDADES CURRICULARES EM GERAL</w:t>
            </w:r>
          </w:p>
        </w:tc>
        <w:tc>
          <w:tcPr>
            <w:tcW w:w="1417" w:type="dxa"/>
          </w:tcPr>
          <w:p w14:paraId="1927430F" w14:textId="78844022" w:rsidR="00846DED" w:rsidRPr="00516038" w:rsidRDefault="00846DED" w:rsidP="00846DED">
            <w:pPr>
              <w:tabs>
                <w:tab w:val="clear" w:pos="1615"/>
              </w:tabs>
              <w:rPr>
                <w:rFonts w:asciiTheme="majorHAnsi" w:hAnsiTheme="majorHAnsi" w:cstheme="majorHAnsi"/>
                <w:bCs/>
              </w:rPr>
            </w:pPr>
            <w:r w:rsidRPr="00A25103">
              <w:t>77</w:t>
            </w:r>
          </w:p>
        </w:tc>
      </w:tr>
      <w:tr w:rsidR="00846DED" w:rsidRPr="00516038" w14:paraId="2D672EE5" w14:textId="77777777" w:rsidTr="00F50567">
        <w:trPr>
          <w:trHeight w:val="391"/>
        </w:trPr>
        <w:tc>
          <w:tcPr>
            <w:tcW w:w="7650" w:type="dxa"/>
          </w:tcPr>
          <w:p w14:paraId="7012F32E" w14:textId="77777777" w:rsidR="00846DED" w:rsidRPr="00516038" w:rsidRDefault="00846DED" w:rsidP="00846DED">
            <w:pPr>
              <w:tabs>
                <w:tab w:val="clear" w:pos="1615"/>
              </w:tabs>
              <w:rPr>
                <w:rFonts w:asciiTheme="majorHAnsi" w:hAnsiTheme="majorHAnsi" w:cstheme="majorHAnsi"/>
              </w:rPr>
            </w:pPr>
          </w:p>
        </w:tc>
        <w:tc>
          <w:tcPr>
            <w:tcW w:w="1417" w:type="dxa"/>
          </w:tcPr>
          <w:p w14:paraId="22082459" w14:textId="77777777" w:rsidR="00846DED" w:rsidRPr="00516038" w:rsidRDefault="00846DED" w:rsidP="00846DED">
            <w:pPr>
              <w:tabs>
                <w:tab w:val="clear" w:pos="1615"/>
              </w:tabs>
              <w:rPr>
                <w:rFonts w:asciiTheme="majorHAnsi" w:hAnsiTheme="majorHAnsi" w:cstheme="majorHAnsi"/>
                <w:bCs/>
              </w:rPr>
            </w:pPr>
          </w:p>
        </w:tc>
      </w:tr>
      <w:tr w:rsidR="00846DED" w:rsidRPr="00516038" w14:paraId="6C7C2862" w14:textId="77777777" w:rsidTr="00F50567">
        <w:trPr>
          <w:trHeight w:val="391"/>
        </w:trPr>
        <w:tc>
          <w:tcPr>
            <w:tcW w:w="7650" w:type="dxa"/>
          </w:tcPr>
          <w:p w14:paraId="7E0EF6DF" w14:textId="6F8F685E" w:rsidR="00846DED" w:rsidRPr="00516038" w:rsidRDefault="00846DED" w:rsidP="00846DED">
            <w:pPr>
              <w:tabs>
                <w:tab w:val="clear" w:pos="1615"/>
              </w:tabs>
              <w:rPr>
                <w:rFonts w:asciiTheme="majorHAnsi" w:hAnsiTheme="majorHAnsi" w:cstheme="majorHAnsi"/>
              </w:rPr>
            </w:pPr>
            <w:r w:rsidRPr="00516038">
              <w:rPr>
                <w:rFonts w:asciiTheme="majorHAnsi" w:hAnsiTheme="majorHAnsi" w:cstheme="majorHAnsi"/>
              </w:rPr>
              <w:t>3.3.1 SALA DE AULA INVERTIDA (SAI) OU FLIPPED CLASSROOM (FP)</w:t>
            </w:r>
          </w:p>
        </w:tc>
        <w:tc>
          <w:tcPr>
            <w:tcW w:w="1417" w:type="dxa"/>
          </w:tcPr>
          <w:p w14:paraId="1F21BDD4" w14:textId="049D59AF" w:rsidR="00846DED" w:rsidRPr="00516038" w:rsidRDefault="00846DED" w:rsidP="00846DED">
            <w:pPr>
              <w:tabs>
                <w:tab w:val="clear" w:pos="1615"/>
              </w:tabs>
              <w:rPr>
                <w:rFonts w:asciiTheme="majorHAnsi" w:hAnsiTheme="majorHAnsi" w:cstheme="majorHAnsi"/>
                <w:bCs/>
              </w:rPr>
            </w:pPr>
            <w:r w:rsidRPr="00A25103">
              <w:t>78</w:t>
            </w:r>
          </w:p>
        </w:tc>
      </w:tr>
      <w:tr w:rsidR="00846DED" w:rsidRPr="00516038" w14:paraId="30229458" w14:textId="77777777" w:rsidTr="00F50567">
        <w:trPr>
          <w:trHeight w:val="391"/>
        </w:trPr>
        <w:tc>
          <w:tcPr>
            <w:tcW w:w="7650" w:type="dxa"/>
          </w:tcPr>
          <w:p w14:paraId="2110E589" w14:textId="77777777" w:rsidR="00846DED" w:rsidRPr="00516038" w:rsidRDefault="00846DED" w:rsidP="00846DED">
            <w:pPr>
              <w:tabs>
                <w:tab w:val="clear" w:pos="1615"/>
              </w:tabs>
              <w:rPr>
                <w:rFonts w:asciiTheme="majorHAnsi" w:hAnsiTheme="majorHAnsi" w:cstheme="majorHAnsi"/>
              </w:rPr>
            </w:pPr>
          </w:p>
        </w:tc>
        <w:tc>
          <w:tcPr>
            <w:tcW w:w="1417" w:type="dxa"/>
          </w:tcPr>
          <w:p w14:paraId="2042722B" w14:textId="77777777" w:rsidR="00846DED" w:rsidRPr="00516038" w:rsidRDefault="00846DED" w:rsidP="00846DED">
            <w:pPr>
              <w:tabs>
                <w:tab w:val="clear" w:pos="1615"/>
              </w:tabs>
              <w:rPr>
                <w:rFonts w:asciiTheme="majorHAnsi" w:hAnsiTheme="majorHAnsi" w:cstheme="majorHAnsi"/>
                <w:bCs/>
              </w:rPr>
            </w:pPr>
          </w:p>
        </w:tc>
      </w:tr>
      <w:tr w:rsidR="00846DED" w:rsidRPr="00516038" w14:paraId="3665169A" w14:textId="77777777" w:rsidTr="00F50567">
        <w:trPr>
          <w:trHeight w:val="391"/>
        </w:trPr>
        <w:tc>
          <w:tcPr>
            <w:tcW w:w="7650" w:type="dxa"/>
          </w:tcPr>
          <w:p w14:paraId="4B1E7D48" w14:textId="664139C1" w:rsidR="00846DED" w:rsidRPr="00516038" w:rsidRDefault="00846DED" w:rsidP="00846DED">
            <w:pPr>
              <w:tabs>
                <w:tab w:val="clear" w:pos="1615"/>
              </w:tabs>
              <w:rPr>
                <w:rFonts w:asciiTheme="majorHAnsi" w:hAnsiTheme="majorHAnsi" w:cstheme="majorHAnsi"/>
              </w:rPr>
            </w:pPr>
            <w:r w:rsidRPr="00516038">
              <w:rPr>
                <w:rFonts w:asciiTheme="majorHAnsi" w:hAnsiTheme="majorHAnsi" w:cstheme="majorHAnsi"/>
              </w:rPr>
              <w:t>3.3.2 APRENDIZAGEM BASEADA EM EQUIPES (ABE) OU TEAM BASED LEARNING (TBL)</w:t>
            </w:r>
          </w:p>
        </w:tc>
        <w:tc>
          <w:tcPr>
            <w:tcW w:w="1417" w:type="dxa"/>
          </w:tcPr>
          <w:p w14:paraId="6BB914EF" w14:textId="23862F78" w:rsidR="00846DED" w:rsidRPr="00516038" w:rsidRDefault="00846DED" w:rsidP="00846DED">
            <w:pPr>
              <w:tabs>
                <w:tab w:val="clear" w:pos="1615"/>
              </w:tabs>
              <w:rPr>
                <w:rFonts w:asciiTheme="majorHAnsi" w:hAnsiTheme="majorHAnsi" w:cstheme="majorHAnsi"/>
                <w:bCs/>
              </w:rPr>
            </w:pPr>
            <w:r w:rsidRPr="00A25103">
              <w:t>79</w:t>
            </w:r>
          </w:p>
        </w:tc>
      </w:tr>
      <w:tr w:rsidR="00846DED" w:rsidRPr="00516038" w14:paraId="76870D84" w14:textId="77777777" w:rsidTr="00F50567">
        <w:trPr>
          <w:trHeight w:val="391"/>
        </w:trPr>
        <w:tc>
          <w:tcPr>
            <w:tcW w:w="7650" w:type="dxa"/>
          </w:tcPr>
          <w:p w14:paraId="4C9BB0FF" w14:textId="77777777" w:rsidR="00846DED" w:rsidRPr="00516038" w:rsidRDefault="00846DED" w:rsidP="00846DED">
            <w:pPr>
              <w:tabs>
                <w:tab w:val="clear" w:pos="1615"/>
              </w:tabs>
              <w:rPr>
                <w:rFonts w:asciiTheme="majorHAnsi" w:hAnsiTheme="majorHAnsi" w:cstheme="majorHAnsi"/>
              </w:rPr>
            </w:pPr>
          </w:p>
        </w:tc>
        <w:tc>
          <w:tcPr>
            <w:tcW w:w="1417" w:type="dxa"/>
          </w:tcPr>
          <w:p w14:paraId="0BE1F52A" w14:textId="77777777" w:rsidR="00846DED" w:rsidRPr="00516038" w:rsidRDefault="00846DED" w:rsidP="00846DED">
            <w:pPr>
              <w:tabs>
                <w:tab w:val="clear" w:pos="1615"/>
              </w:tabs>
              <w:rPr>
                <w:rFonts w:asciiTheme="majorHAnsi" w:hAnsiTheme="majorHAnsi" w:cstheme="majorHAnsi"/>
                <w:bCs/>
              </w:rPr>
            </w:pPr>
          </w:p>
        </w:tc>
      </w:tr>
      <w:tr w:rsidR="00846DED" w:rsidRPr="00516038" w14:paraId="5A057D3E" w14:textId="77777777" w:rsidTr="00F50567">
        <w:trPr>
          <w:trHeight w:val="391"/>
        </w:trPr>
        <w:tc>
          <w:tcPr>
            <w:tcW w:w="7650" w:type="dxa"/>
          </w:tcPr>
          <w:p w14:paraId="156E7F53" w14:textId="26E351EA" w:rsidR="00846DED" w:rsidRPr="00516038" w:rsidRDefault="00846DED" w:rsidP="00846DED">
            <w:pPr>
              <w:tabs>
                <w:tab w:val="clear" w:pos="1615"/>
              </w:tabs>
              <w:rPr>
                <w:rFonts w:asciiTheme="majorHAnsi" w:hAnsiTheme="majorHAnsi" w:cstheme="majorHAnsi"/>
              </w:rPr>
            </w:pPr>
            <w:r w:rsidRPr="00516038">
              <w:rPr>
                <w:rFonts w:asciiTheme="majorHAnsi" w:hAnsiTheme="majorHAnsi" w:cstheme="majorHAnsi"/>
              </w:rPr>
              <w:t>3.3.3 INSTRUÇÃO POR PARES (IP) OU PEER INSTRUCTION (PI)</w:t>
            </w:r>
          </w:p>
        </w:tc>
        <w:tc>
          <w:tcPr>
            <w:tcW w:w="1417" w:type="dxa"/>
          </w:tcPr>
          <w:p w14:paraId="4B175ADC" w14:textId="6DD7DE77" w:rsidR="00846DED" w:rsidRPr="00516038" w:rsidRDefault="00846DED" w:rsidP="00846DED">
            <w:pPr>
              <w:tabs>
                <w:tab w:val="clear" w:pos="1615"/>
              </w:tabs>
              <w:rPr>
                <w:rFonts w:asciiTheme="majorHAnsi" w:hAnsiTheme="majorHAnsi" w:cstheme="majorHAnsi"/>
                <w:bCs/>
              </w:rPr>
            </w:pPr>
            <w:r w:rsidRPr="00A25103">
              <w:t>79</w:t>
            </w:r>
          </w:p>
        </w:tc>
      </w:tr>
      <w:tr w:rsidR="00846DED" w:rsidRPr="00516038" w14:paraId="380367AC" w14:textId="77777777" w:rsidTr="00F50567">
        <w:trPr>
          <w:trHeight w:val="391"/>
        </w:trPr>
        <w:tc>
          <w:tcPr>
            <w:tcW w:w="7650" w:type="dxa"/>
          </w:tcPr>
          <w:p w14:paraId="0602E4C6" w14:textId="77777777" w:rsidR="00846DED" w:rsidRPr="00516038" w:rsidRDefault="00846DED" w:rsidP="00846DED">
            <w:pPr>
              <w:tabs>
                <w:tab w:val="clear" w:pos="1615"/>
              </w:tabs>
              <w:rPr>
                <w:rFonts w:asciiTheme="majorHAnsi" w:hAnsiTheme="majorHAnsi" w:cstheme="majorHAnsi"/>
              </w:rPr>
            </w:pPr>
          </w:p>
        </w:tc>
        <w:tc>
          <w:tcPr>
            <w:tcW w:w="1417" w:type="dxa"/>
          </w:tcPr>
          <w:p w14:paraId="380F24CC" w14:textId="77777777" w:rsidR="00846DED" w:rsidRPr="00516038" w:rsidRDefault="00846DED" w:rsidP="00846DED">
            <w:pPr>
              <w:tabs>
                <w:tab w:val="clear" w:pos="1615"/>
              </w:tabs>
              <w:rPr>
                <w:rFonts w:asciiTheme="majorHAnsi" w:hAnsiTheme="majorHAnsi" w:cstheme="majorHAnsi"/>
                <w:bCs/>
              </w:rPr>
            </w:pPr>
          </w:p>
        </w:tc>
      </w:tr>
      <w:tr w:rsidR="00846DED" w:rsidRPr="00516038" w14:paraId="4193992C" w14:textId="77777777" w:rsidTr="00F50567">
        <w:trPr>
          <w:trHeight w:val="391"/>
        </w:trPr>
        <w:tc>
          <w:tcPr>
            <w:tcW w:w="7650" w:type="dxa"/>
          </w:tcPr>
          <w:p w14:paraId="56E811B9" w14:textId="5F3A984D" w:rsidR="00846DED" w:rsidRPr="00516038" w:rsidRDefault="00846DED" w:rsidP="00846DED">
            <w:pPr>
              <w:tabs>
                <w:tab w:val="clear" w:pos="1615"/>
              </w:tabs>
              <w:rPr>
                <w:rFonts w:asciiTheme="majorHAnsi" w:hAnsiTheme="majorHAnsi" w:cstheme="majorHAnsi"/>
              </w:rPr>
            </w:pPr>
            <w:r w:rsidRPr="00516038">
              <w:rPr>
                <w:rFonts w:asciiTheme="majorHAnsi" w:hAnsiTheme="majorHAnsi" w:cstheme="majorHAnsi"/>
              </w:rPr>
              <w:t>3.3.4 GAMES E GAMIFICAÇÃO</w:t>
            </w:r>
          </w:p>
        </w:tc>
        <w:tc>
          <w:tcPr>
            <w:tcW w:w="1417" w:type="dxa"/>
          </w:tcPr>
          <w:p w14:paraId="1FFCD567" w14:textId="0D7E6D33" w:rsidR="00846DED" w:rsidRPr="00516038" w:rsidRDefault="00846DED" w:rsidP="00846DED">
            <w:pPr>
              <w:tabs>
                <w:tab w:val="clear" w:pos="1615"/>
              </w:tabs>
              <w:rPr>
                <w:rFonts w:asciiTheme="majorHAnsi" w:hAnsiTheme="majorHAnsi" w:cstheme="majorHAnsi"/>
                <w:bCs/>
              </w:rPr>
            </w:pPr>
            <w:r w:rsidRPr="00A25103">
              <w:t>80</w:t>
            </w:r>
          </w:p>
        </w:tc>
      </w:tr>
      <w:tr w:rsidR="00846DED" w:rsidRPr="00516038" w14:paraId="03E17584" w14:textId="77777777" w:rsidTr="00F50567">
        <w:trPr>
          <w:trHeight w:val="391"/>
        </w:trPr>
        <w:tc>
          <w:tcPr>
            <w:tcW w:w="7650" w:type="dxa"/>
          </w:tcPr>
          <w:p w14:paraId="7781B0A8" w14:textId="77777777" w:rsidR="00846DED" w:rsidRPr="00516038" w:rsidRDefault="00846DED" w:rsidP="00846DED">
            <w:pPr>
              <w:tabs>
                <w:tab w:val="clear" w:pos="1615"/>
              </w:tabs>
              <w:rPr>
                <w:rFonts w:asciiTheme="majorHAnsi" w:hAnsiTheme="majorHAnsi" w:cstheme="majorHAnsi"/>
              </w:rPr>
            </w:pPr>
          </w:p>
        </w:tc>
        <w:tc>
          <w:tcPr>
            <w:tcW w:w="1417" w:type="dxa"/>
          </w:tcPr>
          <w:p w14:paraId="45630C73" w14:textId="77777777" w:rsidR="00846DED" w:rsidRPr="00516038" w:rsidRDefault="00846DED" w:rsidP="00846DED">
            <w:pPr>
              <w:tabs>
                <w:tab w:val="clear" w:pos="1615"/>
              </w:tabs>
              <w:rPr>
                <w:rFonts w:asciiTheme="majorHAnsi" w:hAnsiTheme="majorHAnsi" w:cstheme="majorHAnsi"/>
                <w:bCs/>
              </w:rPr>
            </w:pPr>
          </w:p>
        </w:tc>
      </w:tr>
      <w:tr w:rsidR="00846DED" w:rsidRPr="00516038" w14:paraId="7EF22D4D" w14:textId="77777777" w:rsidTr="00F50567">
        <w:trPr>
          <w:trHeight w:val="391"/>
        </w:trPr>
        <w:tc>
          <w:tcPr>
            <w:tcW w:w="7650" w:type="dxa"/>
          </w:tcPr>
          <w:p w14:paraId="43122E4E" w14:textId="02353DC1" w:rsidR="00846DED" w:rsidRPr="00516038" w:rsidRDefault="00846DED" w:rsidP="00846DED">
            <w:pPr>
              <w:tabs>
                <w:tab w:val="clear" w:pos="1615"/>
              </w:tabs>
              <w:rPr>
                <w:rFonts w:asciiTheme="majorHAnsi" w:hAnsiTheme="majorHAnsi" w:cstheme="majorHAnsi"/>
              </w:rPr>
            </w:pPr>
            <w:r w:rsidRPr="00516038">
              <w:rPr>
                <w:rFonts w:asciiTheme="majorHAnsi" w:hAnsiTheme="majorHAnsi" w:cstheme="majorHAnsi"/>
              </w:rPr>
              <w:t>3.3.5 FILMES, STORYTELLING, DRAMATIZAÇÃO E ROLE PLAYING GAMES</w:t>
            </w:r>
          </w:p>
        </w:tc>
        <w:tc>
          <w:tcPr>
            <w:tcW w:w="1417" w:type="dxa"/>
          </w:tcPr>
          <w:p w14:paraId="2B8741C0" w14:textId="462FFBA5" w:rsidR="00846DED" w:rsidRPr="00516038" w:rsidRDefault="00846DED" w:rsidP="00846DED">
            <w:pPr>
              <w:tabs>
                <w:tab w:val="clear" w:pos="1615"/>
              </w:tabs>
              <w:rPr>
                <w:rFonts w:asciiTheme="majorHAnsi" w:hAnsiTheme="majorHAnsi" w:cstheme="majorHAnsi"/>
                <w:bCs/>
              </w:rPr>
            </w:pPr>
            <w:r w:rsidRPr="00A25103">
              <w:t>81</w:t>
            </w:r>
          </w:p>
        </w:tc>
      </w:tr>
      <w:tr w:rsidR="00846DED" w:rsidRPr="00516038" w14:paraId="22DA405E" w14:textId="77777777" w:rsidTr="00F50567">
        <w:trPr>
          <w:trHeight w:val="391"/>
        </w:trPr>
        <w:tc>
          <w:tcPr>
            <w:tcW w:w="7650" w:type="dxa"/>
          </w:tcPr>
          <w:p w14:paraId="73E938EC" w14:textId="77777777" w:rsidR="00846DED" w:rsidRPr="00516038" w:rsidRDefault="00846DED" w:rsidP="00846DED">
            <w:pPr>
              <w:tabs>
                <w:tab w:val="clear" w:pos="1615"/>
              </w:tabs>
              <w:rPr>
                <w:rFonts w:asciiTheme="majorHAnsi" w:hAnsiTheme="majorHAnsi" w:cstheme="majorHAnsi"/>
              </w:rPr>
            </w:pPr>
          </w:p>
        </w:tc>
        <w:tc>
          <w:tcPr>
            <w:tcW w:w="1417" w:type="dxa"/>
          </w:tcPr>
          <w:p w14:paraId="5539BB7B" w14:textId="77777777" w:rsidR="00846DED" w:rsidRPr="00516038" w:rsidRDefault="00846DED" w:rsidP="00846DED">
            <w:pPr>
              <w:tabs>
                <w:tab w:val="clear" w:pos="1615"/>
              </w:tabs>
              <w:rPr>
                <w:rFonts w:asciiTheme="majorHAnsi" w:hAnsiTheme="majorHAnsi" w:cstheme="majorHAnsi"/>
                <w:bCs/>
              </w:rPr>
            </w:pPr>
          </w:p>
        </w:tc>
      </w:tr>
      <w:tr w:rsidR="00846DED" w:rsidRPr="00516038" w14:paraId="045E9B06" w14:textId="77777777" w:rsidTr="00F50567">
        <w:trPr>
          <w:trHeight w:val="391"/>
        </w:trPr>
        <w:tc>
          <w:tcPr>
            <w:tcW w:w="7650" w:type="dxa"/>
          </w:tcPr>
          <w:p w14:paraId="106FF926" w14:textId="1405B263" w:rsidR="00846DED" w:rsidRPr="00516038" w:rsidRDefault="00846DED" w:rsidP="00846DED">
            <w:pPr>
              <w:tabs>
                <w:tab w:val="clear" w:pos="1615"/>
              </w:tabs>
              <w:rPr>
                <w:rFonts w:asciiTheme="majorHAnsi" w:hAnsiTheme="majorHAnsi" w:cstheme="majorHAnsi"/>
              </w:rPr>
            </w:pPr>
            <w:r w:rsidRPr="00516038">
              <w:rPr>
                <w:rFonts w:asciiTheme="majorHAnsi" w:hAnsiTheme="majorHAnsi" w:cstheme="majorHAnsi"/>
              </w:rPr>
              <w:t>3.3.6 MAPAS CONCEITUAIS, DEBATES, BRAIMSTORMING, SARAUS, RODAS DE CONVERSA</w:t>
            </w:r>
          </w:p>
        </w:tc>
        <w:tc>
          <w:tcPr>
            <w:tcW w:w="1417" w:type="dxa"/>
          </w:tcPr>
          <w:p w14:paraId="32B5D2A4" w14:textId="39D5B2AC" w:rsidR="00846DED" w:rsidRPr="00516038" w:rsidRDefault="00846DED" w:rsidP="00846DED">
            <w:pPr>
              <w:tabs>
                <w:tab w:val="clear" w:pos="1615"/>
              </w:tabs>
              <w:rPr>
                <w:rFonts w:asciiTheme="majorHAnsi" w:hAnsiTheme="majorHAnsi" w:cstheme="majorHAnsi"/>
                <w:bCs/>
              </w:rPr>
            </w:pPr>
            <w:r w:rsidRPr="00A25103">
              <w:t>83</w:t>
            </w:r>
          </w:p>
        </w:tc>
      </w:tr>
      <w:tr w:rsidR="00846DED" w:rsidRPr="00516038" w14:paraId="1526B74A" w14:textId="77777777" w:rsidTr="00F50567">
        <w:trPr>
          <w:trHeight w:val="391"/>
        </w:trPr>
        <w:tc>
          <w:tcPr>
            <w:tcW w:w="7650" w:type="dxa"/>
          </w:tcPr>
          <w:p w14:paraId="40187EAB" w14:textId="77777777" w:rsidR="00846DED" w:rsidRPr="00516038" w:rsidRDefault="00846DED" w:rsidP="00846DED">
            <w:pPr>
              <w:tabs>
                <w:tab w:val="clear" w:pos="1615"/>
              </w:tabs>
              <w:rPr>
                <w:rFonts w:asciiTheme="majorHAnsi" w:hAnsiTheme="majorHAnsi" w:cstheme="majorHAnsi"/>
              </w:rPr>
            </w:pPr>
          </w:p>
        </w:tc>
        <w:tc>
          <w:tcPr>
            <w:tcW w:w="1417" w:type="dxa"/>
          </w:tcPr>
          <w:p w14:paraId="06C02A62" w14:textId="77777777" w:rsidR="00846DED" w:rsidRPr="00516038" w:rsidRDefault="00846DED" w:rsidP="00846DED">
            <w:pPr>
              <w:tabs>
                <w:tab w:val="clear" w:pos="1615"/>
              </w:tabs>
              <w:rPr>
                <w:rFonts w:asciiTheme="majorHAnsi" w:hAnsiTheme="majorHAnsi" w:cstheme="majorHAnsi"/>
                <w:bCs/>
              </w:rPr>
            </w:pPr>
          </w:p>
        </w:tc>
      </w:tr>
      <w:tr w:rsidR="00846DED" w:rsidRPr="00516038" w14:paraId="5406FAC9" w14:textId="77777777" w:rsidTr="00F50567">
        <w:trPr>
          <w:trHeight w:val="391"/>
        </w:trPr>
        <w:tc>
          <w:tcPr>
            <w:tcW w:w="7650" w:type="dxa"/>
          </w:tcPr>
          <w:p w14:paraId="11D23644" w14:textId="4936FB1B" w:rsidR="00846DED" w:rsidRPr="00516038" w:rsidRDefault="00846DED" w:rsidP="00846DED">
            <w:pPr>
              <w:tabs>
                <w:tab w:val="clear" w:pos="1615"/>
              </w:tabs>
              <w:rPr>
                <w:rFonts w:asciiTheme="majorHAnsi" w:hAnsiTheme="majorHAnsi" w:cstheme="majorHAnsi"/>
              </w:rPr>
            </w:pPr>
            <w:r w:rsidRPr="00516038">
              <w:rPr>
                <w:rFonts w:asciiTheme="majorHAnsi" w:hAnsiTheme="majorHAnsi" w:cstheme="majorHAnsi"/>
              </w:rPr>
              <w:t>3.3.7 OUTRAS POSSIBILIDADES</w:t>
            </w:r>
          </w:p>
        </w:tc>
        <w:tc>
          <w:tcPr>
            <w:tcW w:w="1417" w:type="dxa"/>
          </w:tcPr>
          <w:p w14:paraId="48788EB1" w14:textId="56344022" w:rsidR="00846DED" w:rsidRPr="00516038" w:rsidRDefault="00846DED" w:rsidP="00846DED">
            <w:pPr>
              <w:tabs>
                <w:tab w:val="clear" w:pos="1615"/>
              </w:tabs>
              <w:rPr>
                <w:rFonts w:asciiTheme="majorHAnsi" w:hAnsiTheme="majorHAnsi" w:cstheme="majorHAnsi"/>
                <w:bCs/>
              </w:rPr>
            </w:pPr>
            <w:r w:rsidRPr="00A25103">
              <w:t>84</w:t>
            </w:r>
          </w:p>
        </w:tc>
      </w:tr>
      <w:tr w:rsidR="00846DED" w:rsidRPr="00516038" w14:paraId="3DCC83FF" w14:textId="77777777" w:rsidTr="00F50567">
        <w:trPr>
          <w:trHeight w:val="391"/>
        </w:trPr>
        <w:tc>
          <w:tcPr>
            <w:tcW w:w="7650" w:type="dxa"/>
          </w:tcPr>
          <w:p w14:paraId="46C396E0" w14:textId="77777777" w:rsidR="00846DED" w:rsidRPr="00516038" w:rsidRDefault="00846DED" w:rsidP="00846DED">
            <w:pPr>
              <w:tabs>
                <w:tab w:val="clear" w:pos="1615"/>
              </w:tabs>
              <w:rPr>
                <w:rFonts w:asciiTheme="majorHAnsi" w:hAnsiTheme="majorHAnsi" w:cstheme="majorHAnsi"/>
              </w:rPr>
            </w:pPr>
          </w:p>
        </w:tc>
        <w:tc>
          <w:tcPr>
            <w:tcW w:w="1417" w:type="dxa"/>
          </w:tcPr>
          <w:p w14:paraId="587FE6F7" w14:textId="77777777" w:rsidR="00846DED" w:rsidRPr="00516038" w:rsidRDefault="00846DED" w:rsidP="00846DED">
            <w:pPr>
              <w:tabs>
                <w:tab w:val="clear" w:pos="1615"/>
              </w:tabs>
              <w:rPr>
                <w:rFonts w:asciiTheme="majorHAnsi" w:hAnsiTheme="majorHAnsi" w:cstheme="majorHAnsi"/>
                <w:bCs/>
              </w:rPr>
            </w:pPr>
          </w:p>
        </w:tc>
      </w:tr>
      <w:tr w:rsidR="00846DED" w:rsidRPr="00516038" w14:paraId="140FF6BF" w14:textId="77777777" w:rsidTr="00F50567">
        <w:trPr>
          <w:trHeight w:val="391"/>
        </w:trPr>
        <w:tc>
          <w:tcPr>
            <w:tcW w:w="7650" w:type="dxa"/>
          </w:tcPr>
          <w:p w14:paraId="73B9878D" w14:textId="4A569AC3" w:rsidR="00846DED" w:rsidRPr="00516038" w:rsidRDefault="00846DED" w:rsidP="00846DED">
            <w:pPr>
              <w:tabs>
                <w:tab w:val="clear" w:pos="1615"/>
              </w:tabs>
              <w:rPr>
                <w:rFonts w:asciiTheme="majorHAnsi" w:hAnsiTheme="majorHAnsi" w:cstheme="majorHAnsi"/>
              </w:rPr>
            </w:pPr>
            <w:r w:rsidRPr="00516038">
              <w:rPr>
                <w:rFonts w:asciiTheme="majorHAnsi" w:hAnsiTheme="majorHAnsi" w:cstheme="majorHAnsi"/>
              </w:rPr>
              <w:t>3.4 PLANEJAMENTO E AVALIAÇÃO</w:t>
            </w:r>
          </w:p>
        </w:tc>
        <w:tc>
          <w:tcPr>
            <w:tcW w:w="1417" w:type="dxa"/>
          </w:tcPr>
          <w:p w14:paraId="2F922130" w14:textId="2D8D356A" w:rsidR="00846DED" w:rsidRPr="00516038" w:rsidRDefault="00846DED" w:rsidP="00846DED">
            <w:pPr>
              <w:tabs>
                <w:tab w:val="clear" w:pos="1615"/>
              </w:tabs>
              <w:rPr>
                <w:rFonts w:asciiTheme="majorHAnsi" w:hAnsiTheme="majorHAnsi" w:cstheme="majorHAnsi"/>
                <w:bCs/>
              </w:rPr>
            </w:pPr>
            <w:r w:rsidRPr="00A25103">
              <w:t>85</w:t>
            </w:r>
          </w:p>
        </w:tc>
      </w:tr>
      <w:tr w:rsidR="00846DED" w:rsidRPr="00516038" w14:paraId="30109AA1" w14:textId="77777777" w:rsidTr="00F50567">
        <w:trPr>
          <w:trHeight w:val="391"/>
        </w:trPr>
        <w:tc>
          <w:tcPr>
            <w:tcW w:w="7650" w:type="dxa"/>
          </w:tcPr>
          <w:p w14:paraId="63B88D8A" w14:textId="77777777" w:rsidR="00846DED" w:rsidRPr="00516038" w:rsidRDefault="00846DED" w:rsidP="00846DED">
            <w:pPr>
              <w:tabs>
                <w:tab w:val="clear" w:pos="1615"/>
              </w:tabs>
              <w:rPr>
                <w:rFonts w:asciiTheme="majorHAnsi" w:hAnsiTheme="majorHAnsi" w:cstheme="majorHAnsi"/>
              </w:rPr>
            </w:pPr>
          </w:p>
        </w:tc>
        <w:tc>
          <w:tcPr>
            <w:tcW w:w="1417" w:type="dxa"/>
          </w:tcPr>
          <w:p w14:paraId="3A1AC552" w14:textId="77777777" w:rsidR="00846DED" w:rsidRPr="00516038" w:rsidRDefault="00846DED" w:rsidP="00846DED">
            <w:pPr>
              <w:tabs>
                <w:tab w:val="clear" w:pos="1615"/>
              </w:tabs>
              <w:rPr>
                <w:rFonts w:asciiTheme="majorHAnsi" w:hAnsiTheme="majorHAnsi" w:cstheme="majorHAnsi"/>
                <w:bCs/>
              </w:rPr>
            </w:pPr>
          </w:p>
        </w:tc>
      </w:tr>
      <w:tr w:rsidR="00846DED" w:rsidRPr="00516038" w14:paraId="254AB986" w14:textId="77777777" w:rsidTr="00F50567">
        <w:trPr>
          <w:trHeight w:val="391"/>
        </w:trPr>
        <w:tc>
          <w:tcPr>
            <w:tcW w:w="7650" w:type="dxa"/>
          </w:tcPr>
          <w:p w14:paraId="47E0D462" w14:textId="6B95BB56" w:rsidR="00846DED" w:rsidRPr="00516038" w:rsidRDefault="00846DED" w:rsidP="00846DED">
            <w:pPr>
              <w:tabs>
                <w:tab w:val="clear" w:pos="1615"/>
              </w:tabs>
              <w:rPr>
                <w:rFonts w:asciiTheme="majorHAnsi" w:hAnsiTheme="majorHAnsi" w:cstheme="majorHAnsi"/>
              </w:rPr>
            </w:pPr>
            <w:r w:rsidRPr="00516038">
              <w:rPr>
                <w:rFonts w:asciiTheme="majorHAnsi" w:hAnsiTheme="majorHAnsi" w:cstheme="majorHAnsi"/>
              </w:rPr>
              <w:t>3.4.1 AS CONDIÇÕES QUE A INSTRUÇÃO OCORRERÁ</w:t>
            </w:r>
          </w:p>
        </w:tc>
        <w:tc>
          <w:tcPr>
            <w:tcW w:w="1417" w:type="dxa"/>
          </w:tcPr>
          <w:p w14:paraId="1740A01A" w14:textId="1D46EDEA" w:rsidR="00846DED" w:rsidRPr="00516038" w:rsidRDefault="00846DED" w:rsidP="00846DED">
            <w:pPr>
              <w:tabs>
                <w:tab w:val="clear" w:pos="1615"/>
              </w:tabs>
              <w:rPr>
                <w:rFonts w:asciiTheme="majorHAnsi" w:hAnsiTheme="majorHAnsi" w:cstheme="majorHAnsi"/>
                <w:bCs/>
              </w:rPr>
            </w:pPr>
            <w:r w:rsidRPr="00A25103">
              <w:t>85</w:t>
            </w:r>
          </w:p>
        </w:tc>
      </w:tr>
      <w:tr w:rsidR="00846DED" w:rsidRPr="00516038" w14:paraId="22F08EBE" w14:textId="77777777" w:rsidTr="00F50567">
        <w:trPr>
          <w:trHeight w:val="391"/>
        </w:trPr>
        <w:tc>
          <w:tcPr>
            <w:tcW w:w="7650" w:type="dxa"/>
          </w:tcPr>
          <w:p w14:paraId="0601B9D6" w14:textId="77777777" w:rsidR="00846DED" w:rsidRPr="00516038" w:rsidRDefault="00846DED" w:rsidP="00846DED">
            <w:pPr>
              <w:tabs>
                <w:tab w:val="clear" w:pos="1615"/>
              </w:tabs>
              <w:rPr>
                <w:rFonts w:asciiTheme="majorHAnsi" w:hAnsiTheme="majorHAnsi" w:cstheme="majorHAnsi"/>
              </w:rPr>
            </w:pPr>
          </w:p>
        </w:tc>
        <w:tc>
          <w:tcPr>
            <w:tcW w:w="1417" w:type="dxa"/>
          </w:tcPr>
          <w:p w14:paraId="0B42F653" w14:textId="77777777" w:rsidR="00846DED" w:rsidRPr="00516038" w:rsidRDefault="00846DED" w:rsidP="00846DED">
            <w:pPr>
              <w:tabs>
                <w:tab w:val="clear" w:pos="1615"/>
              </w:tabs>
              <w:rPr>
                <w:rFonts w:asciiTheme="majorHAnsi" w:hAnsiTheme="majorHAnsi" w:cstheme="majorHAnsi"/>
                <w:bCs/>
              </w:rPr>
            </w:pPr>
          </w:p>
        </w:tc>
      </w:tr>
      <w:tr w:rsidR="00846DED" w:rsidRPr="00516038" w14:paraId="51452BD5" w14:textId="77777777" w:rsidTr="00F50567">
        <w:trPr>
          <w:trHeight w:val="391"/>
        </w:trPr>
        <w:tc>
          <w:tcPr>
            <w:tcW w:w="7650" w:type="dxa"/>
          </w:tcPr>
          <w:p w14:paraId="0F035F3C" w14:textId="54042F17" w:rsidR="00846DED" w:rsidRPr="00516038" w:rsidRDefault="00846DED" w:rsidP="00846DED">
            <w:pPr>
              <w:tabs>
                <w:tab w:val="clear" w:pos="1615"/>
              </w:tabs>
              <w:rPr>
                <w:rFonts w:asciiTheme="majorHAnsi" w:hAnsiTheme="majorHAnsi" w:cstheme="majorHAnsi"/>
              </w:rPr>
            </w:pPr>
            <w:r w:rsidRPr="00516038">
              <w:rPr>
                <w:rFonts w:asciiTheme="majorHAnsi" w:hAnsiTheme="majorHAnsi" w:cstheme="majorHAnsi"/>
              </w:rPr>
              <w:t>3.4.2 RESULTADOS E ESTRATÉGIAS</w:t>
            </w:r>
          </w:p>
        </w:tc>
        <w:tc>
          <w:tcPr>
            <w:tcW w:w="1417" w:type="dxa"/>
          </w:tcPr>
          <w:p w14:paraId="0F692F38" w14:textId="4521EBA5" w:rsidR="00846DED" w:rsidRPr="00516038" w:rsidRDefault="00846DED" w:rsidP="00846DED">
            <w:pPr>
              <w:tabs>
                <w:tab w:val="clear" w:pos="1615"/>
              </w:tabs>
              <w:rPr>
                <w:rFonts w:asciiTheme="majorHAnsi" w:hAnsiTheme="majorHAnsi" w:cstheme="majorHAnsi"/>
                <w:bCs/>
              </w:rPr>
            </w:pPr>
            <w:r w:rsidRPr="00A25103">
              <w:t>85</w:t>
            </w:r>
          </w:p>
        </w:tc>
      </w:tr>
      <w:tr w:rsidR="00846DED" w:rsidRPr="00516038" w14:paraId="6251308D" w14:textId="77777777" w:rsidTr="00F50567">
        <w:trPr>
          <w:trHeight w:val="391"/>
        </w:trPr>
        <w:tc>
          <w:tcPr>
            <w:tcW w:w="7650" w:type="dxa"/>
          </w:tcPr>
          <w:p w14:paraId="0595EC82" w14:textId="77777777" w:rsidR="00846DED" w:rsidRPr="00516038" w:rsidRDefault="00846DED" w:rsidP="00846DED">
            <w:pPr>
              <w:tabs>
                <w:tab w:val="clear" w:pos="1615"/>
              </w:tabs>
              <w:rPr>
                <w:rFonts w:asciiTheme="majorHAnsi" w:hAnsiTheme="majorHAnsi" w:cstheme="majorHAnsi"/>
              </w:rPr>
            </w:pPr>
          </w:p>
        </w:tc>
        <w:tc>
          <w:tcPr>
            <w:tcW w:w="1417" w:type="dxa"/>
          </w:tcPr>
          <w:p w14:paraId="639EE8AD" w14:textId="77777777" w:rsidR="00846DED" w:rsidRPr="00516038" w:rsidRDefault="00846DED" w:rsidP="00846DED">
            <w:pPr>
              <w:tabs>
                <w:tab w:val="clear" w:pos="1615"/>
              </w:tabs>
              <w:rPr>
                <w:rFonts w:asciiTheme="majorHAnsi" w:hAnsiTheme="majorHAnsi" w:cstheme="majorHAnsi"/>
                <w:bCs/>
              </w:rPr>
            </w:pPr>
          </w:p>
        </w:tc>
      </w:tr>
      <w:tr w:rsidR="00846DED" w:rsidRPr="00516038" w14:paraId="695DEFA7" w14:textId="77777777" w:rsidTr="00F50567">
        <w:trPr>
          <w:trHeight w:val="391"/>
        </w:trPr>
        <w:tc>
          <w:tcPr>
            <w:tcW w:w="7650" w:type="dxa"/>
          </w:tcPr>
          <w:p w14:paraId="4309A0B0" w14:textId="5E6B866A" w:rsidR="00846DED" w:rsidRPr="00516038" w:rsidRDefault="00846DED" w:rsidP="00846DED">
            <w:pPr>
              <w:tabs>
                <w:tab w:val="clear" w:pos="1615"/>
              </w:tabs>
              <w:rPr>
                <w:rFonts w:asciiTheme="majorHAnsi" w:hAnsiTheme="majorHAnsi" w:cstheme="majorHAnsi"/>
              </w:rPr>
            </w:pPr>
            <w:r w:rsidRPr="00516038">
              <w:rPr>
                <w:rFonts w:asciiTheme="majorHAnsi" w:hAnsiTheme="majorHAnsi" w:cstheme="majorHAnsi"/>
              </w:rPr>
              <w:t>3.4.3 AVALIAÇÕES E ACOMPANHAMENTO DA APRENDIZAGEM</w:t>
            </w:r>
          </w:p>
        </w:tc>
        <w:tc>
          <w:tcPr>
            <w:tcW w:w="1417" w:type="dxa"/>
          </w:tcPr>
          <w:p w14:paraId="63665F2B" w14:textId="4159F747" w:rsidR="00846DED" w:rsidRPr="00516038" w:rsidRDefault="00846DED" w:rsidP="00846DED">
            <w:pPr>
              <w:tabs>
                <w:tab w:val="clear" w:pos="1615"/>
              </w:tabs>
              <w:rPr>
                <w:rFonts w:asciiTheme="majorHAnsi" w:hAnsiTheme="majorHAnsi" w:cstheme="majorHAnsi"/>
                <w:bCs/>
              </w:rPr>
            </w:pPr>
            <w:r w:rsidRPr="00A25103">
              <w:t>85</w:t>
            </w:r>
          </w:p>
        </w:tc>
      </w:tr>
      <w:tr w:rsidR="00846DED" w:rsidRPr="00516038" w14:paraId="5FFF67AB" w14:textId="77777777" w:rsidTr="00F50567">
        <w:trPr>
          <w:trHeight w:val="391"/>
        </w:trPr>
        <w:tc>
          <w:tcPr>
            <w:tcW w:w="7650" w:type="dxa"/>
          </w:tcPr>
          <w:p w14:paraId="169F3DBC" w14:textId="77777777" w:rsidR="00846DED" w:rsidRPr="00516038" w:rsidRDefault="00846DED" w:rsidP="00846DED">
            <w:pPr>
              <w:tabs>
                <w:tab w:val="clear" w:pos="1615"/>
              </w:tabs>
              <w:rPr>
                <w:rFonts w:asciiTheme="majorHAnsi" w:hAnsiTheme="majorHAnsi" w:cstheme="majorHAnsi"/>
              </w:rPr>
            </w:pPr>
          </w:p>
        </w:tc>
        <w:tc>
          <w:tcPr>
            <w:tcW w:w="1417" w:type="dxa"/>
          </w:tcPr>
          <w:p w14:paraId="76100792" w14:textId="77777777" w:rsidR="00846DED" w:rsidRPr="00516038" w:rsidRDefault="00846DED" w:rsidP="00846DED">
            <w:pPr>
              <w:tabs>
                <w:tab w:val="clear" w:pos="1615"/>
              </w:tabs>
              <w:rPr>
                <w:rFonts w:asciiTheme="majorHAnsi" w:hAnsiTheme="majorHAnsi" w:cstheme="majorHAnsi"/>
                <w:bCs/>
              </w:rPr>
            </w:pPr>
          </w:p>
        </w:tc>
      </w:tr>
      <w:tr w:rsidR="00846DED" w:rsidRPr="00516038" w14:paraId="6D5B4FCB" w14:textId="77777777" w:rsidTr="00F50567">
        <w:trPr>
          <w:trHeight w:val="391"/>
        </w:trPr>
        <w:tc>
          <w:tcPr>
            <w:tcW w:w="7650" w:type="dxa"/>
          </w:tcPr>
          <w:p w14:paraId="75328039" w14:textId="39422DAF" w:rsidR="00846DED" w:rsidRPr="00516038" w:rsidRDefault="00846DED" w:rsidP="00846DED">
            <w:pPr>
              <w:tabs>
                <w:tab w:val="clear" w:pos="1615"/>
              </w:tabs>
              <w:rPr>
                <w:rFonts w:asciiTheme="majorHAnsi" w:hAnsiTheme="majorHAnsi" w:cstheme="majorHAnsi"/>
              </w:rPr>
            </w:pPr>
            <w:r w:rsidRPr="00516038">
              <w:rPr>
                <w:rFonts w:asciiTheme="majorHAnsi" w:hAnsiTheme="majorHAnsi" w:cstheme="majorHAnsi"/>
              </w:rPr>
              <w:t>3.5 CITAÇÕES BIBLIOGRÁFICAS E DA LEGISLAÇÃO</w:t>
            </w:r>
          </w:p>
        </w:tc>
        <w:tc>
          <w:tcPr>
            <w:tcW w:w="1417" w:type="dxa"/>
          </w:tcPr>
          <w:p w14:paraId="2D6DEE4A" w14:textId="33702C92" w:rsidR="00846DED" w:rsidRPr="00516038" w:rsidRDefault="00846DED" w:rsidP="00846DED">
            <w:pPr>
              <w:tabs>
                <w:tab w:val="clear" w:pos="1615"/>
              </w:tabs>
              <w:rPr>
                <w:rFonts w:asciiTheme="majorHAnsi" w:hAnsiTheme="majorHAnsi" w:cstheme="majorHAnsi"/>
                <w:bCs/>
              </w:rPr>
            </w:pPr>
            <w:r w:rsidRPr="00A25103">
              <w:t>86</w:t>
            </w:r>
          </w:p>
        </w:tc>
      </w:tr>
      <w:tr w:rsidR="00EE3346" w:rsidRPr="00516038" w14:paraId="7AEBF0E6" w14:textId="77777777" w:rsidTr="00162468">
        <w:trPr>
          <w:trHeight w:val="391"/>
        </w:trPr>
        <w:tc>
          <w:tcPr>
            <w:tcW w:w="7650" w:type="dxa"/>
          </w:tcPr>
          <w:p w14:paraId="4679E72B" w14:textId="77777777" w:rsidR="00EE3346" w:rsidRPr="00516038" w:rsidRDefault="00EE3346" w:rsidP="00EE3346">
            <w:pPr>
              <w:tabs>
                <w:tab w:val="clear" w:pos="1615"/>
              </w:tabs>
              <w:rPr>
                <w:rFonts w:asciiTheme="majorHAnsi" w:hAnsiTheme="majorHAnsi" w:cstheme="majorHAnsi"/>
              </w:rPr>
            </w:pPr>
          </w:p>
        </w:tc>
        <w:tc>
          <w:tcPr>
            <w:tcW w:w="1417" w:type="dxa"/>
            <w:vAlign w:val="center"/>
          </w:tcPr>
          <w:p w14:paraId="4DA62BD2" w14:textId="77777777" w:rsidR="00EE3346" w:rsidRPr="00516038" w:rsidRDefault="00EE3346" w:rsidP="00EE3346">
            <w:pPr>
              <w:tabs>
                <w:tab w:val="clear" w:pos="1615"/>
              </w:tabs>
              <w:rPr>
                <w:rFonts w:asciiTheme="majorHAnsi" w:hAnsiTheme="majorHAnsi" w:cstheme="majorHAnsi"/>
                <w:bCs/>
              </w:rPr>
            </w:pPr>
          </w:p>
        </w:tc>
      </w:tr>
      <w:tr w:rsidR="00E93FD5" w:rsidRPr="00516038" w14:paraId="5E65F40A" w14:textId="77777777" w:rsidTr="00BA6012">
        <w:trPr>
          <w:trHeight w:val="391"/>
        </w:trPr>
        <w:tc>
          <w:tcPr>
            <w:tcW w:w="7650" w:type="dxa"/>
          </w:tcPr>
          <w:p w14:paraId="517BA882" w14:textId="253873BF" w:rsidR="00E93FD5" w:rsidRPr="00516038" w:rsidRDefault="00E93FD5" w:rsidP="00E93FD5">
            <w:pPr>
              <w:tabs>
                <w:tab w:val="clear" w:pos="1615"/>
              </w:tabs>
              <w:rPr>
                <w:rFonts w:asciiTheme="majorHAnsi" w:hAnsiTheme="majorHAnsi" w:cstheme="majorHAnsi"/>
              </w:rPr>
            </w:pPr>
            <w:r w:rsidRPr="00516038">
              <w:rPr>
                <w:rFonts w:asciiTheme="majorHAnsi" w:hAnsiTheme="majorHAnsi" w:cstheme="majorHAnsi"/>
              </w:rPr>
              <w:t>4. ORGANIZAÇÃO DIDÁTICO-PEDAGÓGICA DOS CURSOS</w:t>
            </w:r>
          </w:p>
        </w:tc>
        <w:tc>
          <w:tcPr>
            <w:tcW w:w="1417" w:type="dxa"/>
          </w:tcPr>
          <w:p w14:paraId="0FFC556D" w14:textId="61D896F8" w:rsidR="00E93FD5" w:rsidRPr="00516038" w:rsidRDefault="00E93FD5" w:rsidP="00E93FD5">
            <w:pPr>
              <w:tabs>
                <w:tab w:val="clear" w:pos="1615"/>
              </w:tabs>
              <w:rPr>
                <w:rFonts w:asciiTheme="majorHAnsi" w:hAnsiTheme="majorHAnsi" w:cstheme="majorHAnsi"/>
                <w:bCs/>
              </w:rPr>
            </w:pPr>
            <w:r w:rsidRPr="004837FB">
              <w:t>91</w:t>
            </w:r>
          </w:p>
        </w:tc>
      </w:tr>
      <w:tr w:rsidR="00E93FD5" w:rsidRPr="00516038" w14:paraId="22A93F06" w14:textId="77777777" w:rsidTr="00BA6012">
        <w:trPr>
          <w:trHeight w:val="391"/>
        </w:trPr>
        <w:tc>
          <w:tcPr>
            <w:tcW w:w="7650" w:type="dxa"/>
          </w:tcPr>
          <w:p w14:paraId="555850F0" w14:textId="77777777" w:rsidR="00E93FD5" w:rsidRPr="00516038" w:rsidRDefault="00E93FD5" w:rsidP="00E93FD5">
            <w:pPr>
              <w:tabs>
                <w:tab w:val="clear" w:pos="1615"/>
              </w:tabs>
              <w:rPr>
                <w:rFonts w:asciiTheme="majorHAnsi" w:hAnsiTheme="majorHAnsi" w:cstheme="majorHAnsi"/>
              </w:rPr>
            </w:pPr>
          </w:p>
        </w:tc>
        <w:tc>
          <w:tcPr>
            <w:tcW w:w="1417" w:type="dxa"/>
          </w:tcPr>
          <w:p w14:paraId="3825F15D" w14:textId="77777777" w:rsidR="00E93FD5" w:rsidRPr="00516038" w:rsidRDefault="00E93FD5" w:rsidP="00E93FD5">
            <w:pPr>
              <w:tabs>
                <w:tab w:val="clear" w:pos="1615"/>
              </w:tabs>
              <w:rPr>
                <w:rFonts w:asciiTheme="majorHAnsi" w:hAnsiTheme="majorHAnsi" w:cstheme="majorHAnsi"/>
                <w:bCs/>
              </w:rPr>
            </w:pPr>
          </w:p>
        </w:tc>
      </w:tr>
      <w:tr w:rsidR="00E93FD5" w:rsidRPr="00516038" w14:paraId="3AAA539A" w14:textId="77777777" w:rsidTr="00BA6012">
        <w:trPr>
          <w:trHeight w:val="391"/>
        </w:trPr>
        <w:tc>
          <w:tcPr>
            <w:tcW w:w="7650" w:type="dxa"/>
          </w:tcPr>
          <w:p w14:paraId="26223CDB" w14:textId="51A101E9" w:rsidR="00E93FD5" w:rsidRPr="00516038" w:rsidRDefault="00E93FD5" w:rsidP="00E93FD5">
            <w:pPr>
              <w:tabs>
                <w:tab w:val="clear" w:pos="1615"/>
              </w:tabs>
              <w:rPr>
                <w:rFonts w:asciiTheme="majorHAnsi" w:hAnsiTheme="majorHAnsi" w:cstheme="majorHAnsi"/>
              </w:rPr>
            </w:pPr>
            <w:r w:rsidRPr="00516038">
              <w:rPr>
                <w:rFonts w:asciiTheme="majorHAnsi" w:hAnsiTheme="majorHAnsi" w:cstheme="majorHAnsi"/>
              </w:rPr>
              <w:t>4.1 POSSIBILIDADES PARA INGRESSO E DESENVOLVIMENTO DE CURSOS</w:t>
            </w:r>
          </w:p>
        </w:tc>
        <w:tc>
          <w:tcPr>
            <w:tcW w:w="1417" w:type="dxa"/>
          </w:tcPr>
          <w:p w14:paraId="0A856618" w14:textId="4D2494AA" w:rsidR="00E93FD5" w:rsidRPr="00516038" w:rsidRDefault="00E93FD5" w:rsidP="00E93FD5">
            <w:pPr>
              <w:tabs>
                <w:tab w:val="clear" w:pos="1615"/>
              </w:tabs>
              <w:rPr>
                <w:rFonts w:asciiTheme="majorHAnsi" w:hAnsiTheme="majorHAnsi" w:cstheme="majorHAnsi"/>
                <w:bCs/>
              </w:rPr>
            </w:pPr>
            <w:r w:rsidRPr="004837FB">
              <w:t>92</w:t>
            </w:r>
          </w:p>
        </w:tc>
      </w:tr>
      <w:tr w:rsidR="00E93FD5" w:rsidRPr="00516038" w14:paraId="64232D86" w14:textId="77777777" w:rsidTr="00BA6012">
        <w:trPr>
          <w:trHeight w:val="391"/>
        </w:trPr>
        <w:tc>
          <w:tcPr>
            <w:tcW w:w="7650" w:type="dxa"/>
          </w:tcPr>
          <w:p w14:paraId="1EF27CBC" w14:textId="77777777" w:rsidR="00E93FD5" w:rsidRPr="00516038" w:rsidRDefault="00E93FD5" w:rsidP="00E93FD5">
            <w:pPr>
              <w:tabs>
                <w:tab w:val="clear" w:pos="1615"/>
              </w:tabs>
              <w:rPr>
                <w:rFonts w:asciiTheme="majorHAnsi" w:hAnsiTheme="majorHAnsi" w:cstheme="majorHAnsi"/>
              </w:rPr>
            </w:pPr>
          </w:p>
        </w:tc>
        <w:tc>
          <w:tcPr>
            <w:tcW w:w="1417" w:type="dxa"/>
          </w:tcPr>
          <w:p w14:paraId="57A8070C" w14:textId="77777777" w:rsidR="00E93FD5" w:rsidRPr="00516038" w:rsidRDefault="00E93FD5" w:rsidP="00E93FD5">
            <w:pPr>
              <w:tabs>
                <w:tab w:val="clear" w:pos="1615"/>
              </w:tabs>
              <w:rPr>
                <w:rFonts w:asciiTheme="majorHAnsi" w:hAnsiTheme="majorHAnsi" w:cstheme="majorHAnsi"/>
                <w:bCs/>
              </w:rPr>
            </w:pPr>
          </w:p>
        </w:tc>
      </w:tr>
      <w:tr w:rsidR="00E93FD5" w:rsidRPr="00516038" w14:paraId="722926CD" w14:textId="77777777" w:rsidTr="00BA6012">
        <w:trPr>
          <w:trHeight w:val="391"/>
        </w:trPr>
        <w:tc>
          <w:tcPr>
            <w:tcW w:w="7650" w:type="dxa"/>
          </w:tcPr>
          <w:p w14:paraId="18BAAFAA" w14:textId="460362DF" w:rsidR="00E93FD5" w:rsidRPr="00516038" w:rsidRDefault="00E93FD5" w:rsidP="00E93FD5">
            <w:pPr>
              <w:tabs>
                <w:tab w:val="clear" w:pos="1615"/>
              </w:tabs>
              <w:rPr>
                <w:rFonts w:asciiTheme="majorHAnsi" w:hAnsiTheme="majorHAnsi" w:cstheme="majorHAnsi"/>
              </w:rPr>
            </w:pPr>
            <w:r w:rsidRPr="00516038">
              <w:rPr>
                <w:rFonts w:asciiTheme="majorHAnsi" w:hAnsiTheme="majorHAnsi" w:cstheme="majorHAnsi"/>
              </w:rPr>
              <w:t>4.2 ANÁLISE DE ALGUNS MODELOS EXISTENTES</w:t>
            </w:r>
          </w:p>
        </w:tc>
        <w:tc>
          <w:tcPr>
            <w:tcW w:w="1417" w:type="dxa"/>
          </w:tcPr>
          <w:p w14:paraId="4CF1C541" w14:textId="0F681F2B" w:rsidR="00E93FD5" w:rsidRPr="00516038" w:rsidRDefault="00E93FD5" w:rsidP="00E93FD5">
            <w:pPr>
              <w:tabs>
                <w:tab w:val="clear" w:pos="1615"/>
              </w:tabs>
              <w:rPr>
                <w:rFonts w:asciiTheme="majorHAnsi" w:hAnsiTheme="majorHAnsi" w:cstheme="majorHAnsi"/>
                <w:bCs/>
              </w:rPr>
            </w:pPr>
            <w:r w:rsidRPr="004837FB">
              <w:t>98</w:t>
            </w:r>
          </w:p>
        </w:tc>
      </w:tr>
      <w:tr w:rsidR="00E93FD5" w:rsidRPr="00516038" w14:paraId="0139D875" w14:textId="77777777" w:rsidTr="00BA6012">
        <w:trPr>
          <w:trHeight w:val="391"/>
        </w:trPr>
        <w:tc>
          <w:tcPr>
            <w:tcW w:w="7650" w:type="dxa"/>
          </w:tcPr>
          <w:p w14:paraId="37A2C168" w14:textId="77777777" w:rsidR="00E93FD5" w:rsidRPr="00516038" w:rsidRDefault="00E93FD5" w:rsidP="00E93FD5">
            <w:pPr>
              <w:tabs>
                <w:tab w:val="clear" w:pos="1615"/>
              </w:tabs>
              <w:rPr>
                <w:rFonts w:asciiTheme="majorHAnsi" w:hAnsiTheme="majorHAnsi" w:cstheme="majorHAnsi"/>
              </w:rPr>
            </w:pPr>
          </w:p>
        </w:tc>
        <w:tc>
          <w:tcPr>
            <w:tcW w:w="1417" w:type="dxa"/>
          </w:tcPr>
          <w:p w14:paraId="79E27F48" w14:textId="77777777" w:rsidR="00E93FD5" w:rsidRPr="00516038" w:rsidRDefault="00E93FD5" w:rsidP="00E93FD5">
            <w:pPr>
              <w:tabs>
                <w:tab w:val="clear" w:pos="1615"/>
              </w:tabs>
              <w:rPr>
                <w:rFonts w:asciiTheme="majorHAnsi" w:hAnsiTheme="majorHAnsi" w:cstheme="majorHAnsi"/>
                <w:bCs/>
              </w:rPr>
            </w:pPr>
          </w:p>
        </w:tc>
      </w:tr>
      <w:tr w:rsidR="00E93FD5" w:rsidRPr="00516038" w14:paraId="729B466E" w14:textId="77777777" w:rsidTr="00BA6012">
        <w:trPr>
          <w:trHeight w:val="391"/>
        </w:trPr>
        <w:tc>
          <w:tcPr>
            <w:tcW w:w="7650" w:type="dxa"/>
          </w:tcPr>
          <w:p w14:paraId="78676153" w14:textId="1568D40E" w:rsidR="00E93FD5" w:rsidRPr="00516038" w:rsidRDefault="00E93FD5" w:rsidP="00E93FD5">
            <w:pPr>
              <w:tabs>
                <w:tab w:val="clear" w:pos="1615"/>
              </w:tabs>
              <w:rPr>
                <w:rFonts w:asciiTheme="majorHAnsi" w:hAnsiTheme="majorHAnsi" w:cstheme="majorHAnsi"/>
              </w:rPr>
            </w:pPr>
            <w:r w:rsidRPr="00516038">
              <w:rPr>
                <w:rFonts w:asciiTheme="majorHAnsi" w:hAnsiTheme="majorHAnsi" w:cstheme="majorHAnsi"/>
              </w:rPr>
              <w:lastRenderedPageBreak/>
              <w:t>4.2.1 BACHARELADO INTERDISCIPLINAR EM CIÊNCIA E TECNOLOGIA</w:t>
            </w:r>
          </w:p>
        </w:tc>
        <w:tc>
          <w:tcPr>
            <w:tcW w:w="1417" w:type="dxa"/>
          </w:tcPr>
          <w:p w14:paraId="310D9F0B" w14:textId="28806D32" w:rsidR="00E93FD5" w:rsidRPr="00516038" w:rsidRDefault="00E93FD5" w:rsidP="00E93FD5">
            <w:pPr>
              <w:tabs>
                <w:tab w:val="clear" w:pos="1615"/>
              </w:tabs>
              <w:rPr>
                <w:rFonts w:asciiTheme="majorHAnsi" w:hAnsiTheme="majorHAnsi" w:cstheme="majorHAnsi"/>
                <w:bCs/>
              </w:rPr>
            </w:pPr>
            <w:r w:rsidRPr="004837FB">
              <w:t>99</w:t>
            </w:r>
          </w:p>
        </w:tc>
      </w:tr>
      <w:tr w:rsidR="00E93FD5" w:rsidRPr="00516038" w14:paraId="59672909" w14:textId="77777777" w:rsidTr="00BA6012">
        <w:trPr>
          <w:trHeight w:val="391"/>
        </w:trPr>
        <w:tc>
          <w:tcPr>
            <w:tcW w:w="7650" w:type="dxa"/>
          </w:tcPr>
          <w:p w14:paraId="1C238342" w14:textId="77777777" w:rsidR="00E93FD5" w:rsidRPr="00516038" w:rsidRDefault="00E93FD5" w:rsidP="00E93FD5">
            <w:pPr>
              <w:tabs>
                <w:tab w:val="clear" w:pos="1615"/>
              </w:tabs>
              <w:rPr>
                <w:rFonts w:asciiTheme="majorHAnsi" w:hAnsiTheme="majorHAnsi" w:cstheme="majorHAnsi"/>
              </w:rPr>
            </w:pPr>
          </w:p>
        </w:tc>
        <w:tc>
          <w:tcPr>
            <w:tcW w:w="1417" w:type="dxa"/>
          </w:tcPr>
          <w:p w14:paraId="196F2EE8" w14:textId="77777777" w:rsidR="00E93FD5" w:rsidRPr="00516038" w:rsidRDefault="00E93FD5" w:rsidP="00E93FD5">
            <w:pPr>
              <w:tabs>
                <w:tab w:val="clear" w:pos="1615"/>
              </w:tabs>
              <w:rPr>
                <w:rFonts w:asciiTheme="majorHAnsi" w:hAnsiTheme="majorHAnsi" w:cstheme="majorHAnsi"/>
                <w:bCs/>
              </w:rPr>
            </w:pPr>
          </w:p>
        </w:tc>
      </w:tr>
      <w:tr w:rsidR="00E93FD5" w:rsidRPr="00516038" w14:paraId="7230325E" w14:textId="77777777" w:rsidTr="00BA6012">
        <w:trPr>
          <w:trHeight w:val="391"/>
        </w:trPr>
        <w:tc>
          <w:tcPr>
            <w:tcW w:w="7650" w:type="dxa"/>
          </w:tcPr>
          <w:p w14:paraId="300EF39E" w14:textId="03E47BBC" w:rsidR="00E93FD5" w:rsidRPr="00516038" w:rsidRDefault="00E93FD5" w:rsidP="00E93FD5">
            <w:pPr>
              <w:tabs>
                <w:tab w:val="clear" w:pos="1615"/>
              </w:tabs>
              <w:rPr>
                <w:rFonts w:asciiTheme="majorHAnsi" w:hAnsiTheme="majorHAnsi" w:cstheme="majorHAnsi"/>
              </w:rPr>
            </w:pPr>
            <w:r w:rsidRPr="00516038">
              <w:rPr>
                <w:rFonts w:asciiTheme="majorHAnsi" w:hAnsiTheme="majorHAnsi" w:cstheme="majorHAnsi"/>
              </w:rPr>
              <w:t>4.2.2 INGRESSO COMUM COM DIPLOMAÇÃO DIFERENCIADA</w:t>
            </w:r>
          </w:p>
        </w:tc>
        <w:tc>
          <w:tcPr>
            <w:tcW w:w="1417" w:type="dxa"/>
          </w:tcPr>
          <w:p w14:paraId="48A4B7E9" w14:textId="61E9CFF5" w:rsidR="00E93FD5" w:rsidRPr="00516038" w:rsidRDefault="00E93FD5" w:rsidP="00E93FD5">
            <w:pPr>
              <w:tabs>
                <w:tab w:val="clear" w:pos="1615"/>
              </w:tabs>
              <w:rPr>
                <w:rFonts w:asciiTheme="majorHAnsi" w:hAnsiTheme="majorHAnsi" w:cstheme="majorHAnsi"/>
                <w:bCs/>
              </w:rPr>
            </w:pPr>
            <w:r w:rsidRPr="004837FB">
              <w:t>105</w:t>
            </w:r>
          </w:p>
        </w:tc>
      </w:tr>
      <w:tr w:rsidR="00E93FD5" w:rsidRPr="00516038" w14:paraId="2A525E61" w14:textId="77777777" w:rsidTr="00BA6012">
        <w:trPr>
          <w:trHeight w:val="391"/>
        </w:trPr>
        <w:tc>
          <w:tcPr>
            <w:tcW w:w="7650" w:type="dxa"/>
          </w:tcPr>
          <w:p w14:paraId="24C36569" w14:textId="77777777" w:rsidR="00E93FD5" w:rsidRPr="00516038" w:rsidRDefault="00E93FD5" w:rsidP="00E93FD5">
            <w:pPr>
              <w:tabs>
                <w:tab w:val="clear" w:pos="1615"/>
              </w:tabs>
              <w:rPr>
                <w:rFonts w:asciiTheme="majorHAnsi" w:hAnsiTheme="majorHAnsi" w:cstheme="majorHAnsi"/>
              </w:rPr>
            </w:pPr>
          </w:p>
        </w:tc>
        <w:tc>
          <w:tcPr>
            <w:tcW w:w="1417" w:type="dxa"/>
          </w:tcPr>
          <w:p w14:paraId="7716373F" w14:textId="77777777" w:rsidR="00E93FD5" w:rsidRPr="00516038" w:rsidRDefault="00E93FD5" w:rsidP="00E93FD5">
            <w:pPr>
              <w:tabs>
                <w:tab w:val="clear" w:pos="1615"/>
              </w:tabs>
              <w:rPr>
                <w:rFonts w:asciiTheme="majorHAnsi" w:hAnsiTheme="majorHAnsi" w:cstheme="majorHAnsi"/>
                <w:bCs/>
              </w:rPr>
            </w:pPr>
          </w:p>
        </w:tc>
      </w:tr>
      <w:tr w:rsidR="00E93FD5" w:rsidRPr="00516038" w14:paraId="2093166C" w14:textId="77777777" w:rsidTr="00BA6012">
        <w:trPr>
          <w:trHeight w:val="391"/>
        </w:trPr>
        <w:tc>
          <w:tcPr>
            <w:tcW w:w="7650" w:type="dxa"/>
          </w:tcPr>
          <w:p w14:paraId="5DA2FAF1" w14:textId="0D5F4773" w:rsidR="00E93FD5" w:rsidRPr="00516038" w:rsidRDefault="00E93FD5" w:rsidP="00E93FD5">
            <w:pPr>
              <w:tabs>
                <w:tab w:val="clear" w:pos="1615"/>
              </w:tabs>
              <w:rPr>
                <w:rFonts w:asciiTheme="majorHAnsi" w:hAnsiTheme="majorHAnsi" w:cstheme="majorHAnsi"/>
              </w:rPr>
            </w:pPr>
            <w:r w:rsidRPr="00516038">
              <w:rPr>
                <w:rFonts w:asciiTheme="majorHAnsi" w:hAnsiTheme="majorHAnsi" w:cstheme="majorHAnsi"/>
              </w:rPr>
              <w:t>4.2.3 DESENVOLVIMENTO DOS CURSOS A PARTIR DE PROJETOS TEMÁTICOS</w:t>
            </w:r>
          </w:p>
        </w:tc>
        <w:tc>
          <w:tcPr>
            <w:tcW w:w="1417" w:type="dxa"/>
          </w:tcPr>
          <w:p w14:paraId="5081D9F3" w14:textId="61DBDE11" w:rsidR="00E93FD5" w:rsidRPr="00516038" w:rsidRDefault="00E93FD5" w:rsidP="00E93FD5">
            <w:pPr>
              <w:tabs>
                <w:tab w:val="clear" w:pos="1615"/>
              </w:tabs>
              <w:rPr>
                <w:rFonts w:asciiTheme="majorHAnsi" w:hAnsiTheme="majorHAnsi" w:cstheme="majorHAnsi"/>
                <w:bCs/>
              </w:rPr>
            </w:pPr>
            <w:r w:rsidRPr="004837FB">
              <w:t>113</w:t>
            </w:r>
          </w:p>
        </w:tc>
      </w:tr>
      <w:tr w:rsidR="00E93FD5" w:rsidRPr="00516038" w14:paraId="0DFED526" w14:textId="77777777" w:rsidTr="00BA6012">
        <w:trPr>
          <w:trHeight w:val="391"/>
        </w:trPr>
        <w:tc>
          <w:tcPr>
            <w:tcW w:w="7650" w:type="dxa"/>
          </w:tcPr>
          <w:p w14:paraId="09AAE1E4" w14:textId="77777777" w:rsidR="00E93FD5" w:rsidRPr="00516038" w:rsidRDefault="00E93FD5" w:rsidP="00E93FD5">
            <w:pPr>
              <w:tabs>
                <w:tab w:val="clear" w:pos="1615"/>
              </w:tabs>
              <w:rPr>
                <w:rFonts w:asciiTheme="majorHAnsi" w:hAnsiTheme="majorHAnsi" w:cstheme="majorHAnsi"/>
              </w:rPr>
            </w:pPr>
          </w:p>
        </w:tc>
        <w:tc>
          <w:tcPr>
            <w:tcW w:w="1417" w:type="dxa"/>
          </w:tcPr>
          <w:p w14:paraId="7BA898E7" w14:textId="77777777" w:rsidR="00E93FD5" w:rsidRPr="00516038" w:rsidRDefault="00E93FD5" w:rsidP="00E93FD5">
            <w:pPr>
              <w:tabs>
                <w:tab w:val="clear" w:pos="1615"/>
              </w:tabs>
              <w:rPr>
                <w:rFonts w:asciiTheme="majorHAnsi" w:hAnsiTheme="majorHAnsi" w:cstheme="majorHAnsi"/>
                <w:bCs/>
              </w:rPr>
            </w:pPr>
          </w:p>
        </w:tc>
      </w:tr>
      <w:tr w:rsidR="00E93FD5" w:rsidRPr="00516038" w14:paraId="3FA93CA9" w14:textId="77777777" w:rsidTr="00BA6012">
        <w:trPr>
          <w:trHeight w:val="391"/>
        </w:trPr>
        <w:tc>
          <w:tcPr>
            <w:tcW w:w="7650" w:type="dxa"/>
          </w:tcPr>
          <w:p w14:paraId="54A9635A" w14:textId="36092887" w:rsidR="00E93FD5" w:rsidRPr="00516038" w:rsidRDefault="00E93FD5" w:rsidP="00E93FD5">
            <w:pPr>
              <w:tabs>
                <w:tab w:val="clear" w:pos="1615"/>
              </w:tabs>
              <w:rPr>
                <w:rFonts w:asciiTheme="majorHAnsi" w:hAnsiTheme="majorHAnsi" w:cstheme="majorHAnsi"/>
              </w:rPr>
            </w:pPr>
            <w:r w:rsidRPr="00516038">
              <w:rPr>
                <w:rFonts w:asciiTheme="majorHAnsi" w:hAnsiTheme="majorHAnsi" w:cstheme="majorHAnsi"/>
              </w:rPr>
              <w:t>4.3 POSSIBILIDADES PARA A UNDF</w:t>
            </w:r>
          </w:p>
        </w:tc>
        <w:tc>
          <w:tcPr>
            <w:tcW w:w="1417" w:type="dxa"/>
          </w:tcPr>
          <w:p w14:paraId="0155479F" w14:textId="4AE319E0" w:rsidR="00E93FD5" w:rsidRPr="00516038" w:rsidRDefault="00E93FD5" w:rsidP="00E93FD5">
            <w:pPr>
              <w:tabs>
                <w:tab w:val="clear" w:pos="1615"/>
              </w:tabs>
              <w:rPr>
                <w:rFonts w:asciiTheme="majorHAnsi" w:hAnsiTheme="majorHAnsi" w:cstheme="majorHAnsi"/>
                <w:bCs/>
              </w:rPr>
            </w:pPr>
            <w:r w:rsidRPr="004837FB">
              <w:t>118</w:t>
            </w:r>
          </w:p>
        </w:tc>
      </w:tr>
      <w:tr w:rsidR="00E93FD5" w:rsidRPr="00516038" w14:paraId="0D888D73" w14:textId="77777777" w:rsidTr="00BA6012">
        <w:trPr>
          <w:trHeight w:val="391"/>
        </w:trPr>
        <w:tc>
          <w:tcPr>
            <w:tcW w:w="7650" w:type="dxa"/>
          </w:tcPr>
          <w:p w14:paraId="4CE0109C" w14:textId="77777777" w:rsidR="00E93FD5" w:rsidRPr="00516038" w:rsidRDefault="00E93FD5" w:rsidP="00E93FD5">
            <w:pPr>
              <w:tabs>
                <w:tab w:val="clear" w:pos="1615"/>
              </w:tabs>
              <w:rPr>
                <w:rFonts w:asciiTheme="majorHAnsi" w:hAnsiTheme="majorHAnsi" w:cstheme="majorHAnsi"/>
              </w:rPr>
            </w:pPr>
          </w:p>
        </w:tc>
        <w:tc>
          <w:tcPr>
            <w:tcW w:w="1417" w:type="dxa"/>
          </w:tcPr>
          <w:p w14:paraId="4AE9FC80" w14:textId="77777777" w:rsidR="00E93FD5" w:rsidRPr="00516038" w:rsidRDefault="00E93FD5" w:rsidP="00E93FD5">
            <w:pPr>
              <w:tabs>
                <w:tab w:val="clear" w:pos="1615"/>
              </w:tabs>
              <w:rPr>
                <w:rFonts w:asciiTheme="majorHAnsi" w:hAnsiTheme="majorHAnsi" w:cstheme="majorHAnsi"/>
                <w:bCs/>
              </w:rPr>
            </w:pPr>
          </w:p>
        </w:tc>
      </w:tr>
      <w:tr w:rsidR="00E93FD5" w:rsidRPr="00516038" w14:paraId="171F223C" w14:textId="77777777" w:rsidTr="00BA6012">
        <w:trPr>
          <w:trHeight w:val="391"/>
        </w:trPr>
        <w:tc>
          <w:tcPr>
            <w:tcW w:w="7650" w:type="dxa"/>
          </w:tcPr>
          <w:p w14:paraId="760446A4" w14:textId="57937C6B" w:rsidR="00E93FD5" w:rsidRPr="00516038" w:rsidRDefault="00E93FD5" w:rsidP="00E93FD5">
            <w:pPr>
              <w:tabs>
                <w:tab w:val="clear" w:pos="1615"/>
              </w:tabs>
              <w:rPr>
                <w:rFonts w:asciiTheme="majorHAnsi" w:hAnsiTheme="majorHAnsi" w:cstheme="majorHAnsi"/>
              </w:rPr>
            </w:pPr>
            <w:r w:rsidRPr="00516038">
              <w:rPr>
                <w:rFonts w:asciiTheme="majorHAnsi" w:hAnsiTheme="majorHAnsi" w:cstheme="majorHAnsi"/>
              </w:rPr>
              <w:t>4.3.1 UM EXEMPLO BASEADO NAS ORGANIZAÇÕES PEDAGÓGICAS APRESENTADAS</w:t>
            </w:r>
          </w:p>
        </w:tc>
        <w:tc>
          <w:tcPr>
            <w:tcW w:w="1417" w:type="dxa"/>
          </w:tcPr>
          <w:p w14:paraId="1D1704C8" w14:textId="05648F34" w:rsidR="00E93FD5" w:rsidRPr="00516038" w:rsidRDefault="00E93FD5" w:rsidP="00E93FD5">
            <w:pPr>
              <w:tabs>
                <w:tab w:val="clear" w:pos="1615"/>
              </w:tabs>
              <w:rPr>
                <w:rFonts w:asciiTheme="majorHAnsi" w:hAnsiTheme="majorHAnsi" w:cstheme="majorHAnsi"/>
                <w:bCs/>
              </w:rPr>
            </w:pPr>
            <w:r w:rsidRPr="004837FB">
              <w:t>118</w:t>
            </w:r>
          </w:p>
        </w:tc>
      </w:tr>
      <w:tr w:rsidR="00E93FD5" w:rsidRPr="00516038" w14:paraId="3A2D2FFB" w14:textId="77777777" w:rsidTr="00BA6012">
        <w:trPr>
          <w:trHeight w:val="391"/>
        </w:trPr>
        <w:tc>
          <w:tcPr>
            <w:tcW w:w="7650" w:type="dxa"/>
          </w:tcPr>
          <w:p w14:paraId="150DA1E7" w14:textId="77777777" w:rsidR="00E93FD5" w:rsidRPr="00516038" w:rsidRDefault="00E93FD5" w:rsidP="00E93FD5">
            <w:pPr>
              <w:tabs>
                <w:tab w:val="clear" w:pos="1615"/>
              </w:tabs>
              <w:rPr>
                <w:rFonts w:asciiTheme="majorHAnsi" w:hAnsiTheme="majorHAnsi" w:cstheme="majorHAnsi"/>
              </w:rPr>
            </w:pPr>
          </w:p>
        </w:tc>
        <w:tc>
          <w:tcPr>
            <w:tcW w:w="1417" w:type="dxa"/>
          </w:tcPr>
          <w:p w14:paraId="4708DDAE" w14:textId="77777777" w:rsidR="00E93FD5" w:rsidRPr="00516038" w:rsidRDefault="00E93FD5" w:rsidP="00E93FD5">
            <w:pPr>
              <w:tabs>
                <w:tab w:val="clear" w:pos="1615"/>
              </w:tabs>
              <w:rPr>
                <w:rFonts w:asciiTheme="majorHAnsi" w:hAnsiTheme="majorHAnsi" w:cstheme="majorHAnsi"/>
                <w:bCs/>
              </w:rPr>
            </w:pPr>
          </w:p>
        </w:tc>
      </w:tr>
      <w:tr w:rsidR="00E93FD5" w:rsidRPr="00516038" w14:paraId="0E635F9F" w14:textId="77777777" w:rsidTr="00BA6012">
        <w:trPr>
          <w:trHeight w:val="391"/>
        </w:trPr>
        <w:tc>
          <w:tcPr>
            <w:tcW w:w="7650" w:type="dxa"/>
          </w:tcPr>
          <w:p w14:paraId="68DB116E" w14:textId="6A1FB00B" w:rsidR="00E93FD5" w:rsidRPr="00516038" w:rsidRDefault="00E93FD5" w:rsidP="00E93FD5">
            <w:pPr>
              <w:tabs>
                <w:tab w:val="clear" w:pos="1615"/>
              </w:tabs>
              <w:rPr>
                <w:rFonts w:asciiTheme="majorHAnsi" w:hAnsiTheme="majorHAnsi" w:cstheme="majorHAnsi"/>
              </w:rPr>
            </w:pPr>
            <w:r w:rsidRPr="00516038">
              <w:rPr>
                <w:rFonts w:asciiTheme="majorHAnsi" w:hAnsiTheme="majorHAnsi" w:cstheme="majorHAnsi"/>
              </w:rPr>
              <w:t>4.3.2 “BALANÇO NUMÉRICO” DO DESENVOLVIMENTO</w:t>
            </w:r>
          </w:p>
        </w:tc>
        <w:tc>
          <w:tcPr>
            <w:tcW w:w="1417" w:type="dxa"/>
          </w:tcPr>
          <w:p w14:paraId="3738856C" w14:textId="7DD675C9" w:rsidR="00E93FD5" w:rsidRPr="00516038" w:rsidRDefault="00E93FD5" w:rsidP="00E93FD5">
            <w:pPr>
              <w:tabs>
                <w:tab w:val="clear" w:pos="1615"/>
              </w:tabs>
              <w:rPr>
                <w:rFonts w:asciiTheme="majorHAnsi" w:hAnsiTheme="majorHAnsi" w:cstheme="majorHAnsi"/>
                <w:bCs/>
              </w:rPr>
            </w:pPr>
            <w:r w:rsidRPr="004837FB">
              <w:t>121</w:t>
            </w:r>
          </w:p>
        </w:tc>
      </w:tr>
      <w:tr w:rsidR="00E93FD5" w:rsidRPr="00516038" w14:paraId="1EFB636A" w14:textId="77777777" w:rsidTr="00BA6012">
        <w:trPr>
          <w:trHeight w:val="391"/>
        </w:trPr>
        <w:tc>
          <w:tcPr>
            <w:tcW w:w="7650" w:type="dxa"/>
          </w:tcPr>
          <w:p w14:paraId="523504FA" w14:textId="77777777" w:rsidR="00E93FD5" w:rsidRPr="00516038" w:rsidRDefault="00E93FD5" w:rsidP="00E93FD5">
            <w:pPr>
              <w:tabs>
                <w:tab w:val="clear" w:pos="1615"/>
              </w:tabs>
              <w:rPr>
                <w:rFonts w:asciiTheme="majorHAnsi" w:hAnsiTheme="majorHAnsi" w:cstheme="majorHAnsi"/>
              </w:rPr>
            </w:pPr>
          </w:p>
        </w:tc>
        <w:tc>
          <w:tcPr>
            <w:tcW w:w="1417" w:type="dxa"/>
          </w:tcPr>
          <w:p w14:paraId="570CBEAA" w14:textId="77777777" w:rsidR="00E93FD5" w:rsidRPr="00516038" w:rsidRDefault="00E93FD5" w:rsidP="00E93FD5">
            <w:pPr>
              <w:tabs>
                <w:tab w:val="clear" w:pos="1615"/>
              </w:tabs>
              <w:rPr>
                <w:rFonts w:asciiTheme="majorHAnsi" w:hAnsiTheme="majorHAnsi" w:cstheme="majorHAnsi"/>
                <w:bCs/>
              </w:rPr>
            </w:pPr>
          </w:p>
        </w:tc>
      </w:tr>
      <w:tr w:rsidR="00E93FD5" w:rsidRPr="00516038" w14:paraId="6D2F6043" w14:textId="77777777" w:rsidTr="00BA6012">
        <w:trPr>
          <w:trHeight w:val="391"/>
        </w:trPr>
        <w:tc>
          <w:tcPr>
            <w:tcW w:w="7650" w:type="dxa"/>
          </w:tcPr>
          <w:p w14:paraId="043D8E28" w14:textId="1FBA23CB" w:rsidR="00E93FD5" w:rsidRPr="00516038" w:rsidRDefault="00E93FD5" w:rsidP="00E93FD5">
            <w:pPr>
              <w:tabs>
                <w:tab w:val="clear" w:pos="1615"/>
              </w:tabs>
              <w:rPr>
                <w:rFonts w:asciiTheme="majorHAnsi" w:hAnsiTheme="majorHAnsi" w:cstheme="majorHAnsi"/>
              </w:rPr>
            </w:pPr>
            <w:r w:rsidRPr="00516038">
              <w:rPr>
                <w:rFonts w:asciiTheme="majorHAnsi" w:hAnsiTheme="majorHAnsi" w:cstheme="majorHAnsi"/>
              </w:rPr>
              <w:t>4.3.3 EXTERNALIZAÇÃO DA UNIVERSIDADE</w:t>
            </w:r>
          </w:p>
        </w:tc>
        <w:tc>
          <w:tcPr>
            <w:tcW w:w="1417" w:type="dxa"/>
          </w:tcPr>
          <w:p w14:paraId="48833905" w14:textId="27718D31" w:rsidR="00E93FD5" w:rsidRPr="00516038" w:rsidRDefault="00E93FD5" w:rsidP="00E93FD5">
            <w:pPr>
              <w:tabs>
                <w:tab w:val="clear" w:pos="1615"/>
              </w:tabs>
              <w:rPr>
                <w:rFonts w:asciiTheme="majorHAnsi" w:hAnsiTheme="majorHAnsi" w:cstheme="majorHAnsi"/>
                <w:bCs/>
              </w:rPr>
            </w:pPr>
            <w:r w:rsidRPr="004837FB">
              <w:t>122</w:t>
            </w:r>
          </w:p>
        </w:tc>
      </w:tr>
      <w:tr w:rsidR="00E93FD5" w:rsidRPr="00516038" w14:paraId="4746E1C1" w14:textId="77777777" w:rsidTr="00BA6012">
        <w:trPr>
          <w:trHeight w:val="391"/>
        </w:trPr>
        <w:tc>
          <w:tcPr>
            <w:tcW w:w="7650" w:type="dxa"/>
          </w:tcPr>
          <w:p w14:paraId="29158467" w14:textId="77777777" w:rsidR="00E93FD5" w:rsidRPr="00516038" w:rsidRDefault="00E93FD5" w:rsidP="00E93FD5">
            <w:pPr>
              <w:tabs>
                <w:tab w:val="clear" w:pos="1615"/>
              </w:tabs>
              <w:rPr>
                <w:rFonts w:asciiTheme="majorHAnsi" w:hAnsiTheme="majorHAnsi" w:cstheme="majorHAnsi"/>
              </w:rPr>
            </w:pPr>
          </w:p>
        </w:tc>
        <w:tc>
          <w:tcPr>
            <w:tcW w:w="1417" w:type="dxa"/>
          </w:tcPr>
          <w:p w14:paraId="39853B76" w14:textId="77777777" w:rsidR="00E93FD5" w:rsidRPr="00516038" w:rsidRDefault="00E93FD5" w:rsidP="00E93FD5">
            <w:pPr>
              <w:tabs>
                <w:tab w:val="clear" w:pos="1615"/>
              </w:tabs>
              <w:rPr>
                <w:rFonts w:asciiTheme="majorHAnsi" w:hAnsiTheme="majorHAnsi" w:cstheme="majorHAnsi"/>
                <w:bCs/>
              </w:rPr>
            </w:pPr>
          </w:p>
        </w:tc>
      </w:tr>
      <w:tr w:rsidR="00E93FD5" w:rsidRPr="00516038" w14:paraId="6CF39FFB" w14:textId="77777777" w:rsidTr="00BA6012">
        <w:trPr>
          <w:trHeight w:val="391"/>
        </w:trPr>
        <w:tc>
          <w:tcPr>
            <w:tcW w:w="7650" w:type="dxa"/>
          </w:tcPr>
          <w:p w14:paraId="0BECAEBA" w14:textId="5552B7FA" w:rsidR="00E93FD5" w:rsidRPr="00516038" w:rsidRDefault="00E93FD5" w:rsidP="00E93FD5">
            <w:pPr>
              <w:tabs>
                <w:tab w:val="clear" w:pos="1615"/>
              </w:tabs>
              <w:rPr>
                <w:rFonts w:asciiTheme="majorHAnsi" w:hAnsiTheme="majorHAnsi" w:cstheme="majorHAnsi"/>
              </w:rPr>
            </w:pPr>
            <w:r w:rsidRPr="00516038">
              <w:rPr>
                <w:rFonts w:asciiTheme="majorHAnsi" w:hAnsiTheme="majorHAnsi" w:cstheme="majorHAnsi"/>
              </w:rPr>
              <w:t>4.3.4 INCENTIVO AO CONHECIMENTO DE OUTROS IDIOMAS</w:t>
            </w:r>
          </w:p>
        </w:tc>
        <w:tc>
          <w:tcPr>
            <w:tcW w:w="1417" w:type="dxa"/>
          </w:tcPr>
          <w:p w14:paraId="11F7DD5B" w14:textId="4A425D4D" w:rsidR="00E93FD5" w:rsidRPr="00516038" w:rsidRDefault="00E93FD5" w:rsidP="00E93FD5">
            <w:pPr>
              <w:tabs>
                <w:tab w:val="clear" w:pos="1615"/>
              </w:tabs>
              <w:rPr>
                <w:rFonts w:asciiTheme="majorHAnsi" w:hAnsiTheme="majorHAnsi" w:cstheme="majorHAnsi"/>
                <w:bCs/>
              </w:rPr>
            </w:pPr>
            <w:r w:rsidRPr="004837FB">
              <w:t>124</w:t>
            </w:r>
          </w:p>
        </w:tc>
      </w:tr>
      <w:tr w:rsidR="00E93FD5" w:rsidRPr="00516038" w14:paraId="0E92D447" w14:textId="77777777" w:rsidTr="00BA6012">
        <w:trPr>
          <w:trHeight w:val="391"/>
        </w:trPr>
        <w:tc>
          <w:tcPr>
            <w:tcW w:w="7650" w:type="dxa"/>
          </w:tcPr>
          <w:p w14:paraId="4947427E" w14:textId="77777777" w:rsidR="00E93FD5" w:rsidRPr="00516038" w:rsidRDefault="00E93FD5" w:rsidP="00E93FD5">
            <w:pPr>
              <w:tabs>
                <w:tab w:val="clear" w:pos="1615"/>
              </w:tabs>
              <w:rPr>
                <w:rFonts w:asciiTheme="majorHAnsi" w:hAnsiTheme="majorHAnsi" w:cstheme="majorHAnsi"/>
              </w:rPr>
            </w:pPr>
          </w:p>
        </w:tc>
        <w:tc>
          <w:tcPr>
            <w:tcW w:w="1417" w:type="dxa"/>
          </w:tcPr>
          <w:p w14:paraId="4DCEB8C2" w14:textId="77777777" w:rsidR="00E93FD5" w:rsidRPr="00516038" w:rsidRDefault="00E93FD5" w:rsidP="00E93FD5">
            <w:pPr>
              <w:tabs>
                <w:tab w:val="clear" w:pos="1615"/>
              </w:tabs>
              <w:rPr>
                <w:rFonts w:asciiTheme="majorHAnsi" w:hAnsiTheme="majorHAnsi" w:cstheme="majorHAnsi"/>
                <w:bCs/>
              </w:rPr>
            </w:pPr>
          </w:p>
        </w:tc>
      </w:tr>
      <w:tr w:rsidR="00E93FD5" w:rsidRPr="00516038" w14:paraId="608DBAEF" w14:textId="77777777" w:rsidTr="00BA6012">
        <w:trPr>
          <w:trHeight w:val="391"/>
        </w:trPr>
        <w:tc>
          <w:tcPr>
            <w:tcW w:w="7650" w:type="dxa"/>
          </w:tcPr>
          <w:p w14:paraId="21AC1460" w14:textId="0EBB48A7" w:rsidR="00E93FD5" w:rsidRPr="00516038" w:rsidRDefault="00E93FD5" w:rsidP="00E93FD5">
            <w:pPr>
              <w:tabs>
                <w:tab w:val="clear" w:pos="1615"/>
              </w:tabs>
              <w:rPr>
                <w:rFonts w:asciiTheme="majorHAnsi" w:hAnsiTheme="majorHAnsi" w:cstheme="majorHAnsi"/>
              </w:rPr>
            </w:pPr>
            <w:r w:rsidRPr="00516038">
              <w:rPr>
                <w:rFonts w:asciiTheme="majorHAnsi" w:hAnsiTheme="majorHAnsi" w:cstheme="majorHAnsi"/>
              </w:rPr>
              <w:t>4.4 REFERÊNCIAS BIBLIOGRÁFICAS E LEGISLAÇÃO</w:t>
            </w:r>
          </w:p>
        </w:tc>
        <w:tc>
          <w:tcPr>
            <w:tcW w:w="1417" w:type="dxa"/>
          </w:tcPr>
          <w:p w14:paraId="61965D7F" w14:textId="6F023E44" w:rsidR="00E93FD5" w:rsidRPr="00516038" w:rsidRDefault="00E93FD5" w:rsidP="00E93FD5">
            <w:pPr>
              <w:tabs>
                <w:tab w:val="clear" w:pos="1615"/>
              </w:tabs>
              <w:rPr>
                <w:rFonts w:asciiTheme="majorHAnsi" w:hAnsiTheme="majorHAnsi" w:cstheme="majorHAnsi"/>
                <w:bCs/>
              </w:rPr>
            </w:pPr>
            <w:r w:rsidRPr="004837FB">
              <w:t>127</w:t>
            </w:r>
          </w:p>
        </w:tc>
      </w:tr>
      <w:tr w:rsidR="00E93FD5" w:rsidRPr="00516038" w14:paraId="37176165" w14:textId="77777777" w:rsidTr="00BA6012">
        <w:trPr>
          <w:trHeight w:val="391"/>
        </w:trPr>
        <w:tc>
          <w:tcPr>
            <w:tcW w:w="7650" w:type="dxa"/>
          </w:tcPr>
          <w:p w14:paraId="49119DAC" w14:textId="77777777" w:rsidR="00E93FD5" w:rsidRPr="00516038" w:rsidRDefault="00E93FD5" w:rsidP="00E93FD5">
            <w:pPr>
              <w:tabs>
                <w:tab w:val="clear" w:pos="1615"/>
              </w:tabs>
              <w:rPr>
                <w:rFonts w:asciiTheme="majorHAnsi" w:hAnsiTheme="majorHAnsi" w:cstheme="majorHAnsi"/>
              </w:rPr>
            </w:pPr>
          </w:p>
        </w:tc>
        <w:tc>
          <w:tcPr>
            <w:tcW w:w="1417" w:type="dxa"/>
          </w:tcPr>
          <w:p w14:paraId="43DAAC78" w14:textId="77777777" w:rsidR="00E93FD5" w:rsidRPr="00516038" w:rsidRDefault="00E93FD5" w:rsidP="00E93FD5">
            <w:pPr>
              <w:tabs>
                <w:tab w:val="clear" w:pos="1615"/>
              </w:tabs>
              <w:rPr>
                <w:rFonts w:asciiTheme="majorHAnsi" w:hAnsiTheme="majorHAnsi" w:cstheme="majorHAnsi"/>
                <w:bCs/>
              </w:rPr>
            </w:pPr>
          </w:p>
        </w:tc>
      </w:tr>
      <w:tr w:rsidR="00E93FD5" w:rsidRPr="00516038" w14:paraId="434A67B6" w14:textId="77777777" w:rsidTr="00BA6012">
        <w:trPr>
          <w:trHeight w:val="391"/>
        </w:trPr>
        <w:tc>
          <w:tcPr>
            <w:tcW w:w="7650" w:type="dxa"/>
          </w:tcPr>
          <w:p w14:paraId="323C45F5" w14:textId="4B7E04A0" w:rsidR="00E93FD5" w:rsidRPr="00516038" w:rsidRDefault="00E93FD5" w:rsidP="00E93FD5">
            <w:pPr>
              <w:tabs>
                <w:tab w:val="clear" w:pos="1615"/>
              </w:tabs>
              <w:rPr>
                <w:rFonts w:asciiTheme="majorHAnsi" w:hAnsiTheme="majorHAnsi" w:cstheme="majorHAnsi"/>
              </w:rPr>
            </w:pPr>
            <w:r w:rsidRPr="00516038">
              <w:rPr>
                <w:rFonts w:asciiTheme="majorHAnsi" w:hAnsiTheme="majorHAnsi" w:cstheme="majorHAnsi"/>
              </w:rPr>
              <w:t>5. CONSIDERAÇÕES FINAIS</w:t>
            </w:r>
          </w:p>
        </w:tc>
        <w:tc>
          <w:tcPr>
            <w:tcW w:w="1417" w:type="dxa"/>
          </w:tcPr>
          <w:p w14:paraId="4D54A4FD" w14:textId="441BBB1A" w:rsidR="00E93FD5" w:rsidRPr="00516038" w:rsidRDefault="00E93FD5" w:rsidP="00E93FD5">
            <w:pPr>
              <w:tabs>
                <w:tab w:val="clear" w:pos="1615"/>
              </w:tabs>
              <w:rPr>
                <w:rFonts w:asciiTheme="majorHAnsi" w:hAnsiTheme="majorHAnsi" w:cstheme="majorHAnsi"/>
                <w:bCs/>
              </w:rPr>
            </w:pPr>
            <w:r w:rsidRPr="004837FB">
              <w:t>129</w:t>
            </w:r>
          </w:p>
        </w:tc>
      </w:tr>
      <w:bookmarkEnd w:id="1"/>
    </w:tbl>
    <w:p w14:paraId="57B39656" w14:textId="7859AB63" w:rsidR="004254B5" w:rsidRPr="00516038" w:rsidRDefault="004254B5" w:rsidP="00AA431F">
      <w:pPr>
        <w:tabs>
          <w:tab w:val="clear" w:pos="1615"/>
        </w:tabs>
        <w:spacing w:line="259" w:lineRule="auto"/>
        <w:rPr>
          <w:rFonts w:asciiTheme="majorHAnsi" w:hAnsiTheme="majorHAnsi" w:cstheme="majorHAnsi"/>
          <w:noProof/>
          <w:lang w:eastAsia="pt-BR"/>
        </w:rPr>
      </w:pPr>
      <w:r w:rsidRPr="00516038">
        <w:rPr>
          <w:rFonts w:asciiTheme="majorHAnsi" w:hAnsiTheme="majorHAnsi" w:cstheme="majorHAnsi"/>
          <w:noProof/>
          <w:lang w:eastAsia="pt-BR"/>
        </w:rPr>
        <w:br w:type="page"/>
      </w:r>
    </w:p>
    <w:p w14:paraId="55793120" w14:textId="6FBCC38E" w:rsidR="00E436BA" w:rsidRPr="00516038" w:rsidRDefault="00E436BA" w:rsidP="00AA431F">
      <w:pPr>
        <w:rPr>
          <w:rFonts w:asciiTheme="majorHAnsi" w:hAnsiTheme="majorHAnsi" w:cstheme="majorHAnsi"/>
        </w:rPr>
        <w:sectPr w:rsidR="00E436BA" w:rsidRPr="00516038" w:rsidSect="004254B5">
          <w:footerReference w:type="default" r:id="rId12"/>
          <w:footerReference w:type="first" r:id="rId13"/>
          <w:pgSz w:w="11906" w:h="16838"/>
          <w:pgMar w:top="1134" w:right="1134" w:bottom="1701" w:left="1134" w:header="709" w:footer="680" w:gutter="0"/>
          <w:pgNumType w:start="1"/>
          <w:cols w:space="708"/>
          <w:titlePg/>
          <w:docGrid w:linePitch="360"/>
        </w:sectPr>
      </w:pPr>
    </w:p>
    <w:p w14:paraId="53196A36" w14:textId="3E6BD29C" w:rsidR="0099249D" w:rsidRPr="00516038" w:rsidRDefault="00E22866" w:rsidP="00AA431F">
      <w:pPr>
        <w:pStyle w:val="PargrafodaLista"/>
        <w:tabs>
          <w:tab w:val="clear" w:pos="1615"/>
        </w:tabs>
        <w:spacing w:after="0" w:line="360" w:lineRule="auto"/>
        <w:ind w:left="0" w:right="-149"/>
        <w:jc w:val="both"/>
        <w:rPr>
          <w:rFonts w:asciiTheme="majorHAnsi" w:hAnsiTheme="majorHAnsi" w:cstheme="majorHAnsi"/>
          <w:b/>
          <w:color w:val="4875BD" w:themeColor="accent1"/>
          <w:sz w:val="44"/>
          <w:szCs w:val="36"/>
        </w:rPr>
      </w:pPr>
      <w:bookmarkStart w:id="2" w:name="_Toc22823416"/>
      <w:bookmarkStart w:id="3" w:name="_Toc91670965"/>
      <w:r w:rsidRPr="00516038">
        <w:rPr>
          <w:rFonts w:asciiTheme="majorHAnsi" w:hAnsiTheme="majorHAnsi" w:cstheme="majorHAnsi"/>
          <w:b/>
          <w:color w:val="4875BD" w:themeColor="accent1"/>
          <w:sz w:val="44"/>
          <w:szCs w:val="36"/>
        </w:rPr>
        <w:t>APRESENTAÇÃO</w:t>
      </w:r>
      <w:bookmarkEnd w:id="2"/>
      <w:bookmarkEnd w:id="3"/>
    </w:p>
    <w:p w14:paraId="576BFBF2" w14:textId="77777777" w:rsidR="00EE3346" w:rsidRPr="00516038" w:rsidRDefault="00EE3346" w:rsidP="00516038">
      <w:pPr>
        <w:spacing w:line="360" w:lineRule="auto"/>
        <w:ind w:firstLine="709"/>
        <w:jc w:val="both"/>
        <w:rPr>
          <w:rFonts w:asciiTheme="majorHAnsi" w:hAnsiTheme="majorHAnsi" w:cstheme="majorHAnsi"/>
          <w:sz w:val="24"/>
          <w:szCs w:val="24"/>
        </w:rPr>
      </w:pPr>
      <w:bookmarkStart w:id="4" w:name="_Toc22826312"/>
      <w:r w:rsidRPr="00516038">
        <w:rPr>
          <w:rFonts w:asciiTheme="majorHAnsi" w:hAnsiTheme="majorHAnsi" w:cstheme="majorHAnsi"/>
          <w:sz w:val="24"/>
          <w:szCs w:val="24"/>
        </w:rPr>
        <w:t xml:space="preserve">Para pensar a estrutura da organização didático-pedagógica dos cursos a serem implantados na Universidade do Distrito Federal </w:t>
      </w:r>
      <w:r w:rsidRPr="00516038">
        <w:rPr>
          <w:rFonts w:asciiTheme="majorHAnsi" w:hAnsiTheme="majorHAnsi" w:cstheme="majorHAnsi"/>
          <w:color w:val="000000"/>
          <w:sz w:val="24"/>
          <w:szCs w:val="24"/>
          <w:shd w:val="clear" w:color="auto" w:fill="FFFFFF"/>
        </w:rPr>
        <w:t>Professor Jorge Amaury Maia Nunes</w:t>
      </w:r>
      <w:r w:rsidRPr="00516038">
        <w:rPr>
          <w:rFonts w:asciiTheme="majorHAnsi" w:hAnsiTheme="majorHAnsi" w:cstheme="majorHAnsi"/>
          <w:sz w:val="24"/>
          <w:szCs w:val="24"/>
        </w:rPr>
        <w:t xml:space="preserve"> (UnDF), é necessária uma análise do que já ocorre e do que foi incorporado com a criação da instituição, já que a Fundação Universidade Aberta do Distrito Federal (FUNAB), extinta com a criação da Universidade, bem como a Escola Superior de Ciências da Saúde (ESCS), que também passa a fazer parte dessa nova estrutura, trazem uma herança de trabalhos e de realizações que podem contribuir para a estruturação dos novos cursos ou, ainda que isso não ocorra, não podem entrar em conflito com o projeto pedagógico institucional e com o plano de desenvolvimento institucional decorrente, além das normas internas de seus estatutos e regimento, que permitirão uma gestão institucional harmoniosa, coerente e forte.</w:t>
      </w:r>
    </w:p>
    <w:p w14:paraId="64AD5AB0" w14:textId="3C845CA5" w:rsidR="00EE3346" w:rsidRPr="00516038" w:rsidRDefault="00EE3346" w:rsidP="00516038">
      <w:pPr>
        <w:spacing w:line="360" w:lineRule="auto"/>
        <w:ind w:firstLine="709"/>
        <w:jc w:val="both"/>
        <w:rPr>
          <w:rFonts w:asciiTheme="majorHAnsi" w:hAnsiTheme="majorHAnsi" w:cstheme="majorHAnsi"/>
          <w:sz w:val="24"/>
          <w:szCs w:val="24"/>
        </w:rPr>
      </w:pPr>
      <w:r w:rsidRPr="00516038">
        <w:rPr>
          <w:rFonts w:asciiTheme="majorHAnsi" w:hAnsiTheme="majorHAnsi" w:cstheme="majorHAnsi"/>
          <w:sz w:val="24"/>
          <w:szCs w:val="24"/>
        </w:rPr>
        <w:t>O mesmo raciocínio deve ser empregado para a definição de técnicas e de metodologias ativas de ensino que possibilitem a incorporação de avanços tecnológicos e que incentivem a interdisciplinaridade e a promoção de ações inovadoras, principal escopo do presente estudo reflexivo.</w:t>
      </w:r>
    </w:p>
    <w:p w14:paraId="697D01BA" w14:textId="3CE2FCB5" w:rsidR="00EE3346" w:rsidRPr="00516038" w:rsidRDefault="00EE3346" w:rsidP="00516038">
      <w:pPr>
        <w:spacing w:line="360" w:lineRule="auto"/>
        <w:ind w:firstLine="709"/>
        <w:jc w:val="both"/>
        <w:rPr>
          <w:rFonts w:asciiTheme="majorHAnsi" w:hAnsiTheme="majorHAnsi" w:cstheme="majorHAnsi"/>
          <w:sz w:val="24"/>
          <w:szCs w:val="24"/>
        </w:rPr>
      </w:pPr>
      <w:r w:rsidRPr="00516038">
        <w:rPr>
          <w:rFonts w:asciiTheme="majorHAnsi" w:hAnsiTheme="majorHAnsi" w:cstheme="majorHAnsi"/>
          <w:sz w:val="24"/>
          <w:szCs w:val="24"/>
        </w:rPr>
        <w:t>Assim, o presente projeto se inicia com um capítulo que apresenta de forma sucinta a atual organização existente e que foi incorporada à estrutura da nova Universidade e salienta algumas informações importantes sobre a educação superior e o Distrito Federal (DF). Em seguida, aborda aspectos voltados às questões referentes à inter e à transdisciplinaridade na oferta de cursos superiores, com a apresentação de possibilidades metodológicas e de uma organização didático-pedagógica que contemple essa concepção e os novos desafios impostos à formação superior. Essa organização, decorrente dos avanços tecnológicos expressivos e que são consequência da quarta Revolução Industrial pela qual passa a humanidade, reflete diretamente na forma com que se dá a oferta da educação superior.</w:t>
      </w:r>
    </w:p>
    <w:p w14:paraId="2FE7B30F" w14:textId="5CF9E45B" w:rsidR="00516038" w:rsidRDefault="00EE3346" w:rsidP="00516038">
      <w:pPr>
        <w:spacing w:line="360" w:lineRule="auto"/>
        <w:ind w:firstLine="709"/>
        <w:jc w:val="both"/>
        <w:rPr>
          <w:rFonts w:asciiTheme="majorHAnsi" w:hAnsiTheme="majorHAnsi" w:cstheme="majorHAnsi"/>
          <w:sz w:val="24"/>
          <w:szCs w:val="24"/>
        </w:rPr>
      </w:pPr>
      <w:r w:rsidRPr="00516038">
        <w:rPr>
          <w:rFonts w:asciiTheme="majorHAnsi" w:hAnsiTheme="majorHAnsi" w:cstheme="majorHAnsi"/>
          <w:sz w:val="24"/>
          <w:szCs w:val="24"/>
        </w:rPr>
        <w:t>O relatório teve como base o documento de referência para as discussões do colóquio promovido pela UnDF/Cebraspe em outubro de 2021 (SOUSA, 2021) e os estudos apresentados por Robl (2021) sobre a educação superior no DF e documentos de análise de diferentes universidades brasileiras e estrangeiras por Griboski (2021).</w:t>
      </w:r>
    </w:p>
    <w:p w14:paraId="79BA643A" w14:textId="77777777" w:rsidR="00516038" w:rsidRDefault="00516038">
      <w:pPr>
        <w:tabs>
          <w:tab w:val="clear" w:pos="1615"/>
        </w:tabs>
        <w:spacing w:line="259" w:lineRule="auto"/>
        <w:rPr>
          <w:rFonts w:asciiTheme="majorHAnsi" w:hAnsiTheme="majorHAnsi" w:cstheme="majorHAnsi"/>
          <w:sz w:val="24"/>
          <w:szCs w:val="24"/>
        </w:rPr>
      </w:pPr>
      <w:r>
        <w:rPr>
          <w:rFonts w:asciiTheme="majorHAnsi" w:hAnsiTheme="majorHAnsi" w:cstheme="majorHAnsi"/>
          <w:sz w:val="24"/>
          <w:szCs w:val="24"/>
        </w:rPr>
        <w:br w:type="page"/>
      </w:r>
    </w:p>
    <w:p w14:paraId="63712A2D" w14:textId="77777777" w:rsidR="00EE3346" w:rsidRPr="00516038" w:rsidRDefault="00EE3346" w:rsidP="00516038">
      <w:pPr>
        <w:pStyle w:val="Ttulo1"/>
        <w:numPr>
          <w:ilvl w:val="0"/>
          <w:numId w:val="1"/>
        </w:numPr>
        <w:tabs>
          <w:tab w:val="clear" w:pos="1615"/>
        </w:tabs>
        <w:spacing w:before="0" w:after="0" w:line="360" w:lineRule="auto"/>
        <w:ind w:left="432"/>
        <w:rPr>
          <w:rFonts w:asciiTheme="majorHAnsi" w:hAnsiTheme="majorHAnsi" w:cstheme="majorHAnsi"/>
          <w:color w:val="4875BD"/>
        </w:rPr>
      </w:pPr>
      <w:bookmarkStart w:id="5" w:name="_Toc102134959"/>
      <w:r w:rsidRPr="00516038">
        <w:rPr>
          <w:rFonts w:asciiTheme="majorHAnsi" w:hAnsiTheme="majorHAnsi" w:cstheme="majorHAnsi"/>
          <w:color w:val="4875BD"/>
        </w:rPr>
        <w:t>CONSIDERAÇÕES INICIAIS SOBRE ESTRUTURA E ORGANIZAÇÃO DIDÁTICO-PEDAGÓGICA</w:t>
      </w:r>
      <w:bookmarkEnd w:id="5"/>
    </w:p>
    <w:p w14:paraId="076BFD68" w14:textId="01817AB4" w:rsidR="00EE3346" w:rsidRPr="00516038" w:rsidRDefault="00EE3346" w:rsidP="00516038">
      <w:pPr>
        <w:spacing w:line="360" w:lineRule="auto"/>
        <w:ind w:firstLine="709"/>
        <w:jc w:val="both"/>
        <w:rPr>
          <w:rFonts w:asciiTheme="majorHAnsi" w:hAnsiTheme="majorHAnsi" w:cstheme="majorHAnsi"/>
          <w:sz w:val="24"/>
          <w:szCs w:val="24"/>
        </w:rPr>
      </w:pPr>
      <w:r w:rsidRPr="00516038">
        <w:rPr>
          <w:rFonts w:asciiTheme="majorHAnsi" w:hAnsiTheme="majorHAnsi" w:cstheme="majorHAnsi"/>
          <w:sz w:val="24"/>
          <w:szCs w:val="24"/>
        </w:rPr>
        <w:t>A análise dos cursos já oferecidos afeta diretamente a organização didático-pedagógica da nova instituição. Assim, são apresentados a seguir alguns dados sobre a abrangência e sobre as limitações de uma instituição Pública Distrital, as formas de ingresso e de permanência decorrentes da oferta de cursos superiores já em andamento e os seus pressupostos metodológicos e curriculares. Sem dúvida, a ampliação da oferta de vagas em cursos superiores públicos no DF pode contribuir para a consecução da meta n. 12 do Plano Nacional de Educação vigente (BRASIL, 2014), subdividida em três indicadores conforme consta na Linha de Base publicada pelo INEP (2015):</w:t>
      </w:r>
    </w:p>
    <w:p w14:paraId="45D8D19E" w14:textId="77777777" w:rsidR="00516038" w:rsidRPr="00516038" w:rsidRDefault="00516038" w:rsidP="00EE3346">
      <w:pPr>
        <w:jc w:val="both"/>
        <w:rPr>
          <w:rFonts w:asciiTheme="majorHAnsi" w:hAnsiTheme="majorHAnsi" w:cstheme="majorHAnsi"/>
        </w:rPr>
      </w:pPr>
    </w:p>
    <w:p w14:paraId="54E53853" w14:textId="4DE93801" w:rsidR="00EE3346" w:rsidRPr="0093274A" w:rsidRDefault="00EE3346" w:rsidP="00EE3346">
      <w:pPr>
        <w:ind w:left="2268" w:right="849"/>
        <w:jc w:val="both"/>
        <w:rPr>
          <w:rFonts w:asciiTheme="majorHAnsi" w:hAnsiTheme="majorHAnsi" w:cstheme="majorHAnsi"/>
          <w:sz w:val="20"/>
          <w:szCs w:val="20"/>
        </w:rPr>
      </w:pPr>
      <w:r w:rsidRPr="0093274A">
        <w:rPr>
          <w:rFonts w:asciiTheme="majorHAnsi" w:hAnsiTheme="majorHAnsi" w:cstheme="majorHAnsi"/>
          <w:sz w:val="20"/>
          <w:szCs w:val="20"/>
        </w:rPr>
        <w:t>Para o acompanhamento da meta, foram calculados três indicadores: taxa bruta de matrículas na educação superior (Indicador 12A); taxa líquida de escolarização ajustada na educação superior (Indicador 12B); e o percentual da expansão de matrículas no segmento público em relação ao total da expansão de matrículas (Indicador 12C). (INEP, 2015, p.207-208).</w:t>
      </w:r>
    </w:p>
    <w:p w14:paraId="07166731" w14:textId="77777777" w:rsidR="00516038" w:rsidRPr="00516038" w:rsidRDefault="00516038" w:rsidP="00EE3346">
      <w:pPr>
        <w:ind w:left="2268" w:right="849"/>
        <w:jc w:val="both"/>
        <w:rPr>
          <w:rFonts w:asciiTheme="majorHAnsi" w:hAnsiTheme="majorHAnsi" w:cstheme="majorHAnsi"/>
          <w:sz w:val="20"/>
          <w:szCs w:val="20"/>
        </w:rPr>
      </w:pPr>
    </w:p>
    <w:p w14:paraId="78AEB52B" w14:textId="54BFA693" w:rsidR="00EE3346" w:rsidRPr="00516038" w:rsidRDefault="00EE3346" w:rsidP="00516038">
      <w:pPr>
        <w:spacing w:line="360" w:lineRule="auto"/>
        <w:ind w:firstLine="709"/>
        <w:jc w:val="both"/>
        <w:rPr>
          <w:rFonts w:asciiTheme="majorHAnsi" w:hAnsiTheme="majorHAnsi" w:cstheme="majorHAnsi"/>
          <w:sz w:val="24"/>
          <w:szCs w:val="24"/>
        </w:rPr>
      </w:pPr>
      <w:r w:rsidRPr="00516038">
        <w:rPr>
          <w:rFonts w:asciiTheme="majorHAnsi" w:hAnsiTheme="majorHAnsi" w:cstheme="majorHAnsi"/>
          <w:sz w:val="24"/>
          <w:szCs w:val="24"/>
        </w:rPr>
        <w:t>Dados do observatório revelam que, em 2020, o país tinha atingido uma taxa bruta de matrículas de 40,7%, mas 4 entes federados haviam cumprido o indicador 12A da meta: 3 estados, PR (50,0%), RJ (50,2%), RS (50,4%) e o DF (55,4%). Com relação à taxa líquida (Indicador 12B), enquanto o país apresenta média de 28,0% de TLE, 4 estados já atingiram os percentuais requeridos: SP (33,7%), GO (33,9%), SC (35,6%) e PR (35,7%) além do DF (44,5%). Finalmente, para o indicador 12C, os valores globais indicam que ele está longe de ser alcançado já que apenas pouco mais de 10% do aumento de matrículas no país foi realizado em instituições públicas (INEP, 2021).</w:t>
      </w:r>
    </w:p>
    <w:p w14:paraId="61693DD6" w14:textId="01CC219E" w:rsidR="00EE3346" w:rsidRDefault="00EE3346" w:rsidP="00516038">
      <w:pPr>
        <w:spacing w:line="360" w:lineRule="auto"/>
        <w:ind w:firstLine="709"/>
        <w:jc w:val="both"/>
        <w:rPr>
          <w:rFonts w:asciiTheme="majorHAnsi" w:hAnsiTheme="majorHAnsi" w:cstheme="majorHAnsi"/>
          <w:sz w:val="24"/>
          <w:szCs w:val="24"/>
        </w:rPr>
      </w:pPr>
      <w:r w:rsidRPr="00516038">
        <w:rPr>
          <w:rFonts w:asciiTheme="majorHAnsi" w:hAnsiTheme="majorHAnsi" w:cstheme="majorHAnsi"/>
          <w:sz w:val="24"/>
          <w:szCs w:val="24"/>
        </w:rPr>
        <w:t>Segundo dados do último Censo da Educação Superior, São Paulo, Santa Catarina e o Distrito Federal são os três entes federados que detêm o menor percentual de matrículas públicas do país, com 16,1, 16,8 e 18,3% respectivamente. A média nacional, diminuída em função dessa participação, era de 24,2% em 2019 (INEP, 2020). Como o país permite que o ensino seja ministrado pela iniciativa privada sob supervisão do Estado, é mister manter um número significativo de instituições públicas que possam referenciar o sistema educacional e é justamente esta a maior importância da criação dessa Universidade Distrital que poderá, além de tudo, beneficiar estudantes de classes socioeconômicas menos favorecidas, corrigir distorções e inovar na organização curricular e nas metodologias de ensino, contribuindo, também, com a melhoria das instituições privadas. Além disso, há áreas do conhecimento humano que requerem uma maior participação do Estado, seja por não apresentarem atrativos comerciais imediatos, seja por representarem formações ainda não consolidadas ou existentes no mundo do trabalho. Finalmente, e não menos importante, cabe destacar o papel indutor de desenvolvimento provocado pelas Instituições de Ensino Superior, como ocorreu, por exemplo, com a criação e com o desenvolvimento de uma indústria nacional da aviação ou da tecnologia, a partir de nucleações universitárias presentes nos locais desse avanço.</w:t>
      </w:r>
    </w:p>
    <w:p w14:paraId="0F3269B7" w14:textId="77777777" w:rsidR="0093274A" w:rsidRPr="00516038" w:rsidRDefault="0093274A" w:rsidP="00516038">
      <w:pPr>
        <w:spacing w:line="360" w:lineRule="auto"/>
        <w:ind w:firstLine="709"/>
        <w:jc w:val="both"/>
        <w:rPr>
          <w:rFonts w:asciiTheme="majorHAnsi" w:hAnsiTheme="majorHAnsi" w:cstheme="majorHAnsi"/>
          <w:sz w:val="24"/>
          <w:szCs w:val="24"/>
        </w:rPr>
      </w:pPr>
    </w:p>
    <w:p w14:paraId="1D762777" w14:textId="2F0E1FAC" w:rsidR="00EE3346" w:rsidRPr="00516038" w:rsidRDefault="00EE3346" w:rsidP="00516038">
      <w:pPr>
        <w:pStyle w:val="Ttulo2"/>
        <w:numPr>
          <w:ilvl w:val="1"/>
          <w:numId w:val="1"/>
        </w:numPr>
        <w:tabs>
          <w:tab w:val="clear" w:pos="1615"/>
        </w:tabs>
        <w:spacing w:before="0" w:after="0" w:line="360" w:lineRule="auto"/>
        <w:ind w:left="993"/>
        <w:rPr>
          <w:rFonts w:asciiTheme="majorHAnsi" w:hAnsiTheme="majorHAnsi" w:cstheme="majorHAnsi"/>
        </w:rPr>
      </w:pPr>
      <w:bookmarkStart w:id="6" w:name="_Toc102134960"/>
      <w:r w:rsidRPr="00516038">
        <w:rPr>
          <w:rFonts w:asciiTheme="majorHAnsi" w:hAnsiTheme="majorHAnsi" w:cstheme="majorHAnsi"/>
        </w:rPr>
        <w:t>ABRANGÊNCIA E LIMITAÇÕES DE UMA INSTITUIÇÃO PÚBLICA DISTRITAL</w:t>
      </w:r>
      <w:bookmarkEnd w:id="6"/>
    </w:p>
    <w:p w14:paraId="58D4C936" w14:textId="4C4EC1C5" w:rsidR="00EE3346" w:rsidRPr="00516038" w:rsidRDefault="00EE3346" w:rsidP="00516038">
      <w:pPr>
        <w:spacing w:line="360" w:lineRule="auto"/>
        <w:ind w:firstLine="709"/>
        <w:jc w:val="both"/>
        <w:rPr>
          <w:rFonts w:asciiTheme="majorHAnsi" w:hAnsiTheme="majorHAnsi" w:cstheme="majorHAnsi"/>
          <w:sz w:val="24"/>
          <w:szCs w:val="24"/>
        </w:rPr>
      </w:pPr>
      <w:r w:rsidRPr="00516038">
        <w:rPr>
          <w:rFonts w:asciiTheme="majorHAnsi" w:hAnsiTheme="majorHAnsi" w:cstheme="majorHAnsi"/>
          <w:sz w:val="24"/>
          <w:szCs w:val="24"/>
        </w:rPr>
        <w:t>Quando trata da Organização da Educação Nacional em seu Título IV, a LDB determina que o Distrito Federal tem as competências referentes àquelas dos Estados e Municípios da União (Art. 10, parágrafo único) e define a abrangência dos sistemas de ensino dos entes federados, aí incluída a do Distrito Federal (Art. 17). Pela Lei, pertencem ao sistema distrital as instituições por ele mantidas, e as instituições da educação básica mantidas pela iniciativa privada (BRASIL, 1996).</w:t>
      </w:r>
    </w:p>
    <w:p w14:paraId="7637F34E" w14:textId="6BE7EF24" w:rsidR="00EE3346" w:rsidRPr="00516038" w:rsidRDefault="00EE3346" w:rsidP="00516038">
      <w:pPr>
        <w:spacing w:line="360" w:lineRule="auto"/>
        <w:ind w:firstLine="709"/>
        <w:jc w:val="both"/>
        <w:rPr>
          <w:rFonts w:asciiTheme="majorHAnsi" w:hAnsiTheme="majorHAnsi" w:cstheme="majorHAnsi"/>
          <w:sz w:val="24"/>
          <w:szCs w:val="24"/>
        </w:rPr>
      </w:pPr>
      <w:r w:rsidRPr="00516038">
        <w:rPr>
          <w:rFonts w:asciiTheme="majorHAnsi" w:hAnsiTheme="majorHAnsi" w:cstheme="majorHAnsi"/>
          <w:sz w:val="24"/>
          <w:szCs w:val="24"/>
        </w:rPr>
        <w:t>Essa determinação legal, por um lado, possibilita uma maior flexibilidade com relação à organização das Instituições de Ensino Superior (IES) mantidas pelo DF, que devem cumprir as Diretrizes Curriculares Nacionais (DCN), mas podem estabelecer diretrizes complementares e contemplar mecanismos diversos para o credenciamento, recredenciamento e avaliação institucional, bem como para a autorização, O reconhecimento, AS renovações de reconhecimento e a avaliação de seus cursos (art. 10, BRASIL, 1996). Em contrapartida, limita a abrangência de atuação para os seus limites geográficos, inclusive para a modalidade de EaD que pode ser ofertada pelo prazo de cinco anos, com recredenciamento no MEC após esse período, ou ser credenciada de forma específica para viabilizar uma atuação que ultrapasse esses limites geográficos, como previsto no Art. 17 do Decreto 9057/2017 (BRASIL, 2017).</w:t>
      </w:r>
    </w:p>
    <w:p w14:paraId="5B7DFD9B" w14:textId="7890AEE3" w:rsidR="00EE3346" w:rsidRDefault="00EE3346" w:rsidP="00516038">
      <w:pPr>
        <w:spacing w:line="360" w:lineRule="auto"/>
        <w:ind w:firstLine="709"/>
        <w:jc w:val="both"/>
        <w:rPr>
          <w:rFonts w:asciiTheme="majorHAnsi" w:hAnsiTheme="majorHAnsi" w:cstheme="majorHAnsi"/>
          <w:sz w:val="24"/>
          <w:szCs w:val="24"/>
        </w:rPr>
      </w:pPr>
      <w:r w:rsidRPr="00516038">
        <w:rPr>
          <w:rFonts w:asciiTheme="majorHAnsi" w:hAnsiTheme="majorHAnsi" w:cstheme="majorHAnsi"/>
          <w:sz w:val="24"/>
          <w:szCs w:val="24"/>
        </w:rPr>
        <w:t>Com relação à oferta de cursos de graduação, também em decorrência de seu pertencimento ao sistema distrital de ensino, a UnDF deverá obter seu credenciamento junto ao Conselho de Educação do Distrito Federal (CEDF) para poder iniciar sua oferta de cursos. Esse ato administrativo independe da estrutura e da organização didático-pedagógica escolhida, mas, no momento, deve atender aos termos da Resolução n. 2/2017 que estabelece as normas do sistema distrital (CEDF, 2017) ou à legislação que estiver em vigência quando da solicitação. A norma atual caracteriza a Universidade em seus Art. 7.o e 8.o</w:t>
      </w:r>
      <w:r w:rsidRPr="00516038" w:rsidDel="007B7616">
        <w:rPr>
          <w:rFonts w:asciiTheme="majorHAnsi" w:hAnsiTheme="majorHAnsi" w:cstheme="majorHAnsi"/>
          <w:sz w:val="24"/>
          <w:szCs w:val="24"/>
        </w:rPr>
        <w:t xml:space="preserve"> </w:t>
      </w:r>
    </w:p>
    <w:p w14:paraId="61923BCA" w14:textId="77777777" w:rsidR="00516038" w:rsidRPr="00516038" w:rsidRDefault="00516038" w:rsidP="00516038">
      <w:pPr>
        <w:spacing w:line="360" w:lineRule="auto"/>
        <w:ind w:firstLine="709"/>
        <w:jc w:val="both"/>
        <w:rPr>
          <w:rFonts w:asciiTheme="majorHAnsi" w:hAnsiTheme="majorHAnsi" w:cstheme="majorHAnsi"/>
          <w:sz w:val="24"/>
          <w:szCs w:val="24"/>
        </w:rPr>
      </w:pPr>
    </w:p>
    <w:p w14:paraId="0B771055" w14:textId="77777777" w:rsidR="00EE3346" w:rsidRPr="0093274A" w:rsidRDefault="00EE3346" w:rsidP="00516038">
      <w:pPr>
        <w:tabs>
          <w:tab w:val="clear" w:pos="1615"/>
        </w:tabs>
        <w:spacing w:after="0"/>
        <w:ind w:left="2268" w:right="849"/>
        <w:jc w:val="both"/>
        <w:rPr>
          <w:rFonts w:asciiTheme="majorHAnsi" w:hAnsiTheme="majorHAnsi" w:cstheme="majorHAnsi"/>
          <w:sz w:val="20"/>
          <w:szCs w:val="20"/>
        </w:rPr>
      </w:pPr>
      <w:r w:rsidRPr="0093274A">
        <w:rPr>
          <w:rFonts w:asciiTheme="majorHAnsi" w:hAnsiTheme="majorHAnsi" w:cstheme="majorHAnsi"/>
          <w:sz w:val="20"/>
          <w:szCs w:val="20"/>
        </w:rPr>
        <w:t>Art. 7.</w:t>
      </w:r>
      <w:r w:rsidRPr="0093274A">
        <w:rPr>
          <w:rFonts w:asciiTheme="majorHAnsi" w:hAnsiTheme="majorHAnsi" w:cstheme="majorHAnsi"/>
          <w:sz w:val="20"/>
          <w:szCs w:val="20"/>
          <w:vertAlign w:val="superscript"/>
        </w:rPr>
        <w:t>o</w:t>
      </w:r>
      <w:r w:rsidRPr="0093274A">
        <w:rPr>
          <w:rFonts w:asciiTheme="majorHAnsi" w:hAnsiTheme="majorHAnsi" w:cstheme="majorHAnsi"/>
          <w:sz w:val="20"/>
          <w:szCs w:val="20"/>
        </w:rPr>
        <w:t xml:space="preserve"> As Universidades, instituições pluridisciplinares de formação dos quadros profissionais de nível superior, de pesquisa, de extensão e de domínio e cultivo do saber humano, caracterizam-se por: </w:t>
      </w:r>
    </w:p>
    <w:p w14:paraId="71BA4B5E" w14:textId="77777777" w:rsidR="00EE3346" w:rsidRPr="0093274A" w:rsidRDefault="00EE3346" w:rsidP="00516038">
      <w:pPr>
        <w:tabs>
          <w:tab w:val="clear" w:pos="1615"/>
        </w:tabs>
        <w:spacing w:after="0"/>
        <w:ind w:left="2268" w:right="849"/>
        <w:jc w:val="both"/>
        <w:rPr>
          <w:rFonts w:asciiTheme="majorHAnsi" w:hAnsiTheme="majorHAnsi" w:cstheme="majorHAnsi"/>
          <w:sz w:val="20"/>
          <w:szCs w:val="20"/>
        </w:rPr>
      </w:pPr>
      <w:r w:rsidRPr="0093274A">
        <w:rPr>
          <w:rFonts w:asciiTheme="majorHAnsi" w:hAnsiTheme="majorHAnsi" w:cstheme="majorHAnsi"/>
          <w:sz w:val="20"/>
          <w:szCs w:val="20"/>
        </w:rPr>
        <w:t xml:space="preserve">I – indissociabilidade das atividades de ensino, pesquisa e extensão; </w:t>
      </w:r>
    </w:p>
    <w:p w14:paraId="12EA41B9" w14:textId="77777777" w:rsidR="00EE3346" w:rsidRPr="0093274A" w:rsidRDefault="00EE3346" w:rsidP="00516038">
      <w:pPr>
        <w:tabs>
          <w:tab w:val="clear" w:pos="1615"/>
        </w:tabs>
        <w:spacing w:after="0"/>
        <w:ind w:left="2268" w:right="849"/>
        <w:jc w:val="both"/>
        <w:rPr>
          <w:rFonts w:asciiTheme="majorHAnsi" w:hAnsiTheme="majorHAnsi" w:cstheme="majorHAnsi"/>
          <w:sz w:val="20"/>
          <w:szCs w:val="20"/>
        </w:rPr>
      </w:pPr>
      <w:r w:rsidRPr="0093274A">
        <w:rPr>
          <w:rFonts w:asciiTheme="majorHAnsi" w:hAnsiTheme="majorHAnsi" w:cstheme="majorHAnsi"/>
          <w:sz w:val="20"/>
          <w:szCs w:val="20"/>
        </w:rPr>
        <w:t>II – produção intelectual institucionalizada, mediante o estudo sistemático dos temas e problemas mais relevantes, tanto do ponto de vista científico e cultural, quanto regional e nacional;</w:t>
      </w:r>
    </w:p>
    <w:p w14:paraId="3FE81153" w14:textId="77777777" w:rsidR="00EE3346" w:rsidRPr="0093274A" w:rsidRDefault="00EE3346" w:rsidP="00516038">
      <w:pPr>
        <w:tabs>
          <w:tab w:val="clear" w:pos="1615"/>
        </w:tabs>
        <w:spacing w:after="0"/>
        <w:ind w:left="2268" w:right="849"/>
        <w:jc w:val="both"/>
        <w:rPr>
          <w:rFonts w:asciiTheme="majorHAnsi" w:hAnsiTheme="majorHAnsi" w:cstheme="majorHAnsi"/>
          <w:sz w:val="20"/>
          <w:szCs w:val="20"/>
        </w:rPr>
      </w:pPr>
      <w:r w:rsidRPr="0093274A">
        <w:rPr>
          <w:rFonts w:asciiTheme="majorHAnsi" w:hAnsiTheme="majorHAnsi" w:cstheme="majorHAnsi"/>
          <w:sz w:val="20"/>
          <w:szCs w:val="20"/>
        </w:rPr>
        <w:t xml:space="preserve">III – corpo docente com titulação obtida em programas de pós-graduação </w:t>
      </w:r>
      <w:r w:rsidRPr="0093274A">
        <w:rPr>
          <w:rFonts w:asciiTheme="majorHAnsi" w:hAnsiTheme="majorHAnsi" w:cstheme="majorHAnsi"/>
          <w:i/>
          <w:iCs/>
          <w:sz w:val="20"/>
          <w:szCs w:val="20"/>
        </w:rPr>
        <w:t>stricto sensu</w:t>
      </w:r>
      <w:r w:rsidRPr="0093274A">
        <w:rPr>
          <w:rFonts w:asciiTheme="majorHAnsi" w:hAnsiTheme="majorHAnsi" w:cstheme="majorHAnsi"/>
          <w:sz w:val="20"/>
          <w:szCs w:val="20"/>
        </w:rPr>
        <w:t xml:space="preserve">, de, no mínimo, 33% (trinta e três por cento) do total; </w:t>
      </w:r>
    </w:p>
    <w:p w14:paraId="44ED830E" w14:textId="77777777" w:rsidR="00EE3346" w:rsidRPr="0093274A" w:rsidRDefault="00EE3346" w:rsidP="00516038">
      <w:pPr>
        <w:tabs>
          <w:tab w:val="clear" w:pos="1615"/>
        </w:tabs>
        <w:spacing w:after="0"/>
        <w:ind w:left="2268" w:right="849"/>
        <w:jc w:val="both"/>
        <w:rPr>
          <w:rFonts w:asciiTheme="majorHAnsi" w:hAnsiTheme="majorHAnsi" w:cstheme="majorHAnsi"/>
          <w:sz w:val="20"/>
          <w:szCs w:val="20"/>
        </w:rPr>
      </w:pPr>
      <w:r w:rsidRPr="0093274A">
        <w:rPr>
          <w:rFonts w:asciiTheme="majorHAnsi" w:hAnsiTheme="majorHAnsi" w:cstheme="majorHAnsi"/>
          <w:sz w:val="20"/>
          <w:szCs w:val="20"/>
        </w:rPr>
        <w:t xml:space="preserve">IV – corpo docente em regime de tempo integral de, no mínimo, 33% (trinta e três por cento) do total; </w:t>
      </w:r>
    </w:p>
    <w:p w14:paraId="66C98B1F" w14:textId="77777777" w:rsidR="00EE3346" w:rsidRPr="0093274A" w:rsidRDefault="00EE3346" w:rsidP="00516038">
      <w:pPr>
        <w:tabs>
          <w:tab w:val="clear" w:pos="1615"/>
        </w:tabs>
        <w:spacing w:after="0"/>
        <w:ind w:left="2268" w:right="849"/>
        <w:jc w:val="both"/>
        <w:rPr>
          <w:rFonts w:asciiTheme="majorHAnsi" w:hAnsiTheme="majorHAnsi" w:cstheme="majorHAnsi"/>
          <w:sz w:val="20"/>
          <w:szCs w:val="20"/>
        </w:rPr>
      </w:pPr>
      <w:r w:rsidRPr="0093274A">
        <w:rPr>
          <w:rFonts w:asciiTheme="majorHAnsi" w:hAnsiTheme="majorHAnsi" w:cstheme="majorHAnsi"/>
          <w:sz w:val="20"/>
          <w:szCs w:val="20"/>
        </w:rPr>
        <w:t xml:space="preserve">V – propostas curriculares que contemplem as diversas áreas do conhecimento; </w:t>
      </w:r>
    </w:p>
    <w:p w14:paraId="5CEB18B3" w14:textId="77777777" w:rsidR="00EE3346" w:rsidRPr="0093274A" w:rsidRDefault="00EE3346" w:rsidP="00516038">
      <w:pPr>
        <w:tabs>
          <w:tab w:val="clear" w:pos="1615"/>
        </w:tabs>
        <w:spacing w:after="0"/>
        <w:ind w:left="2268" w:right="849"/>
        <w:jc w:val="both"/>
        <w:rPr>
          <w:rFonts w:asciiTheme="majorHAnsi" w:hAnsiTheme="majorHAnsi" w:cstheme="majorHAnsi"/>
          <w:sz w:val="20"/>
          <w:szCs w:val="20"/>
        </w:rPr>
      </w:pPr>
      <w:r w:rsidRPr="0093274A">
        <w:rPr>
          <w:rFonts w:asciiTheme="majorHAnsi" w:hAnsiTheme="majorHAnsi" w:cstheme="majorHAnsi"/>
          <w:sz w:val="20"/>
          <w:szCs w:val="20"/>
        </w:rPr>
        <w:t xml:space="preserve">VI – oferta regular de, no mínimo, 4 (quatro) cursos de mestrado e 2 (dois) de doutorado reconhecidos pelo Sistema Federal de Ensino, nos termos da legislação vigente. </w:t>
      </w:r>
    </w:p>
    <w:p w14:paraId="421F6F35" w14:textId="77777777" w:rsidR="00EE3346" w:rsidRPr="0093274A" w:rsidRDefault="00EE3346" w:rsidP="00516038">
      <w:pPr>
        <w:tabs>
          <w:tab w:val="clear" w:pos="1615"/>
        </w:tabs>
        <w:spacing w:after="0"/>
        <w:ind w:left="2268" w:right="849"/>
        <w:jc w:val="both"/>
        <w:rPr>
          <w:rFonts w:asciiTheme="majorHAnsi" w:hAnsiTheme="majorHAnsi" w:cstheme="majorHAnsi"/>
          <w:sz w:val="20"/>
          <w:szCs w:val="20"/>
        </w:rPr>
      </w:pPr>
      <w:r w:rsidRPr="0093274A">
        <w:rPr>
          <w:rFonts w:asciiTheme="majorHAnsi" w:hAnsiTheme="majorHAnsi" w:cstheme="majorHAnsi"/>
          <w:sz w:val="20"/>
          <w:szCs w:val="20"/>
        </w:rPr>
        <w:t>Parágrafo único. As Universidades gozam de autonomia, nos termos da Constituição Federal.</w:t>
      </w:r>
    </w:p>
    <w:p w14:paraId="4AFA1879" w14:textId="77777777" w:rsidR="00EE3346" w:rsidRPr="0093274A" w:rsidRDefault="00EE3346" w:rsidP="00516038">
      <w:pPr>
        <w:tabs>
          <w:tab w:val="clear" w:pos="1615"/>
        </w:tabs>
        <w:spacing w:after="0"/>
        <w:ind w:left="2268" w:right="849"/>
        <w:jc w:val="both"/>
        <w:rPr>
          <w:rFonts w:asciiTheme="majorHAnsi" w:hAnsiTheme="majorHAnsi" w:cstheme="majorHAnsi"/>
          <w:sz w:val="20"/>
          <w:szCs w:val="20"/>
        </w:rPr>
      </w:pPr>
      <w:r w:rsidRPr="0093274A">
        <w:rPr>
          <w:rFonts w:asciiTheme="majorHAnsi" w:hAnsiTheme="majorHAnsi" w:cstheme="majorHAnsi"/>
          <w:sz w:val="20"/>
          <w:szCs w:val="20"/>
        </w:rPr>
        <w:t>Art. 8.</w:t>
      </w:r>
      <w:r w:rsidRPr="0093274A">
        <w:rPr>
          <w:rFonts w:asciiTheme="majorHAnsi" w:hAnsiTheme="majorHAnsi" w:cstheme="majorHAnsi"/>
          <w:sz w:val="20"/>
          <w:szCs w:val="20"/>
          <w:vertAlign w:val="superscript"/>
        </w:rPr>
        <w:t>o</w:t>
      </w:r>
      <w:r w:rsidRPr="0093274A">
        <w:rPr>
          <w:rFonts w:asciiTheme="majorHAnsi" w:hAnsiTheme="majorHAnsi" w:cstheme="majorHAnsi"/>
          <w:sz w:val="20"/>
          <w:szCs w:val="20"/>
        </w:rPr>
        <w:t xml:space="preserve"> As Universidades podem organizar-se na forma multicampi. </w:t>
      </w:r>
    </w:p>
    <w:p w14:paraId="7789BA16" w14:textId="77777777" w:rsidR="00EE3346" w:rsidRPr="0093274A" w:rsidRDefault="00EE3346" w:rsidP="00516038">
      <w:pPr>
        <w:tabs>
          <w:tab w:val="clear" w:pos="1615"/>
        </w:tabs>
        <w:spacing w:after="0"/>
        <w:ind w:left="2268" w:right="849"/>
        <w:jc w:val="both"/>
        <w:rPr>
          <w:rFonts w:asciiTheme="majorHAnsi" w:hAnsiTheme="majorHAnsi" w:cstheme="majorHAnsi"/>
          <w:sz w:val="20"/>
          <w:szCs w:val="20"/>
        </w:rPr>
      </w:pPr>
      <w:r w:rsidRPr="0093274A">
        <w:rPr>
          <w:rFonts w:asciiTheme="majorHAnsi" w:hAnsiTheme="majorHAnsi" w:cstheme="majorHAnsi"/>
          <w:sz w:val="20"/>
          <w:szCs w:val="20"/>
        </w:rPr>
        <w:t>§ 1.</w:t>
      </w:r>
      <w:r w:rsidRPr="0093274A">
        <w:rPr>
          <w:rFonts w:asciiTheme="majorHAnsi" w:hAnsiTheme="majorHAnsi" w:cstheme="majorHAnsi"/>
          <w:sz w:val="20"/>
          <w:szCs w:val="20"/>
          <w:vertAlign w:val="superscript"/>
        </w:rPr>
        <w:t>o</w:t>
      </w:r>
      <w:r w:rsidRPr="0093274A" w:rsidDel="007B7616">
        <w:rPr>
          <w:rFonts w:asciiTheme="majorHAnsi" w:hAnsiTheme="majorHAnsi" w:cstheme="majorHAnsi"/>
          <w:sz w:val="20"/>
          <w:szCs w:val="20"/>
        </w:rPr>
        <w:t xml:space="preserve"> </w:t>
      </w:r>
      <w:r w:rsidRPr="0093274A">
        <w:rPr>
          <w:rFonts w:asciiTheme="majorHAnsi" w:hAnsiTheme="majorHAnsi" w:cstheme="majorHAnsi"/>
          <w:sz w:val="20"/>
          <w:szCs w:val="20"/>
        </w:rPr>
        <w:t xml:space="preserve">Considera-se como campus sede o local central de funcionamento da instituição, circunscrito aos limites do Distrito Federal, incluindo os órgãos administrativos e acadêmicos centrais, a oferta dos cursos e demais atividades educacionais. </w:t>
      </w:r>
    </w:p>
    <w:p w14:paraId="79B4DFEA" w14:textId="77777777" w:rsidR="00EE3346" w:rsidRPr="0093274A" w:rsidRDefault="00EE3346" w:rsidP="00516038">
      <w:pPr>
        <w:tabs>
          <w:tab w:val="clear" w:pos="1615"/>
        </w:tabs>
        <w:spacing w:after="0"/>
        <w:ind w:left="2268" w:right="849"/>
        <w:jc w:val="both"/>
        <w:rPr>
          <w:rFonts w:asciiTheme="majorHAnsi" w:hAnsiTheme="majorHAnsi" w:cstheme="majorHAnsi"/>
          <w:sz w:val="20"/>
          <w:szCs w:val="20"/>
        </w:rPr>
      </w:pPr>
      <w:r w:rsidRPr="0093274A">
        <w:rPr>
          <w:rFonts w:asciiTheme="majorHAnsi" w:hAnsiTheme="majorHAnsi" w:cstheme="majorHAnsi"/>
          <w:sz w:val="20"/>
          <w:szCs w:val="20"/>
        </w:rPr>
        <w:t>§ 2.</w:t>
      </w:r>
      <w:r w:rsidRPr="0093274A">
        <w:rPr>
          <w:rFonts w:asciiTheme="majorHAnsi" w:hAnsiTheme="majorHAnsi" w:cstheme="majorHAnsi"/>
          <w:sz w:val="20"/>
          <w:szCs w:val="20"/>
          <w:vertAlign w:val="superscript"/>
        </w:rPr>
        <w:t>o</w:t>
      </w:r>
      <w:r w:rsidRPr="0093274A">
        <w:rPr>
          <w:rFonts w:asciiTheme="majorHAnsi" w:hAnsiTheme="majorHAnsi" w:cstheme="majorHAnsi"/>
          <w:sz w:val="20"/>
          <w:szCs w:val="20"/>
        </w:rPr>
        <w:t xml:space="preserve"> Considera-se campus fora da sede as unidades educacionais em outros locais de funcionamento da instituição nos limites do Distrito Federal. </w:t>
      </w:r>
    </w:p>
    <w:p w14:paraId="2AFF1303" w14:textId="420CA201" w:rsidR="00EE3346" w:rsidRPr="0093274A" w:rsidRDefault="00EE3346" w:rsidP="00516038">
      <w:pPr>
        <w:tabs>
          <w:tab w:val="clear" w:pos="1615"/>
        </w:tabs>
        <w:spacing w:after="0"/>
        <w:ind w:left="2268" w:right="849"/>
        <w:jc w:val="both"/>
        <w:rPr>
          <w:rFonts w:asciiTheme="majorHAnsi" w:hAnsiTheme="majorHAnsi" w:cstheme="majorHAnsi"/>
          <w:sz w:val="20"/>
          <w:szCs w:val="20"/>
        </w:rPr>
      </w:pPr>
      <w:r w:rsidRPr="0093274A">
        <w:rPr>
          <w:rFonts w:asciiTheme="majorHAnsi" w:hAnsiTheme="majorHAnsi" w:cstheme="majorHAnsi"/>
          <w:sz w:val="20"/>
          <w:szCs w:val="20"/>
        </w:rPr>
        <w:t>§ 3.</w:t>
      </w:r>
      <w:r w:rsidRPr="0093274A">
        <w:rPr>
          <w:rFonts w:asciiTheme="majorHAnsi" w:hAnsiTheme="majorHAnsi" w:cstheme="majorHAnsi"/>
          <w:sz w:val="20"/>
          <w:szCs w:val="20"/>
          <w:vertAlign w:val="superscript"/>
        </w:rPr>
        <w:t>o</w:t>
      </w:r>
      <w:r w:rsidRPr="0093274A">
        <w:rPr>
          <w:rFonts w:asciiTheme="majorHAnsi" w:hAnsiTheme="majorHAnsi" w:cstheme="majorHAnsi"/>
          <w:sz w:val="20"/>
          <w:szCs w:val="20"/>
        </w:rPr>
        <w:t xml:space="preserve"> Os </w:t>
      </w:r>
      <w:r w:rsidRPr="0093274A">
        <w:rPr>
          <w:rFonts w:asciiTheme="majorHAnsi" w:hAnsiTheme="majorHAnsi" w:cstheme="majorHAnsi"/>
          <w:i/>
          <w:iCs/>
          <w:sz w:val="20"/>
          <w:szCs w:val="20"/>
        </w:rPr>
        <w:t>campi</w:t>
      </w:r>
      <w:r w:rsidRPr="0093274A">
        <w:rPr>
          <w:rFonts w:asciiTheme="majorHAnsi" w:hAnsiTheme="majorHAnsi" w:cstheme="majorHAnsi"/>
          <w:sz w:val="20"/>
          <w:szCs w:val="20"/>
        </w:rPr>
        <w:t xml:space="preserve"> fora da sede, em outras Unidades da Federação, não fazem parte de Sistema de Ensino do Distrito Federal.</w:t>
      </w:r>
    </w:p>
    <w:p w14:paraId="79AFD03C" w14:textId="77777777" w:rsidR="00516038" w:rsidRPr="00516038" w:rsidRDefault="00516038" w:rsidP="00516038">
      <w:pPr>
        <w:tabs>
          <w:tab w:val="clear" w:pos="1615"/>
        </w:tabs>
        <w:spacing w:after="0"/>
        <w:ind w:left="2268" w:right="849"/>
        <w:jc w:val="both"/>
        <w:rPr>
          <w:rFonts w:asciiTheme="majorHAnsi" w:hAnsiTheme="majorHAnsi" w:cstheme="majorHAnsi"/>
        </w:rPr>
      </w:pPr>
    </w:p>
    <w:p w14:paraId="16892F70" w14:textId="77777777" w:rsidR="00EE3346" w:rsidRPr="00516038" w:rsidRDefault="00EE3346" w:rsidP="00516038">
      <w:pPr>
        <w:tabs>
          <w:tab w:val="clear" w:pos="1615"/>
        </w:tabs>
        <w:spacing w:after="0"/>
        <w:ind w:left="2268" w:right="849"/>
        <w:jc w:val="both"/>
        <w:rPr>
          <w:rFonts w:asciiTheme="majorHAnsi" w:hAnsiTheme="majorHAnsi" w:cstheme="majorHAnsi"/>
        </w:rPr>
      </w:pPr>
    </w:p>
    <w:p w14:paraId="27ED8AE5" w14:textId="42243983" w:rsidR="00EE3346" w:rsidRDefault="00EE3346" w:rsidP="00516038">
      <w:pPr>
        <w:spacing w:line="360" w:lineRule="auto"/>
        <w:ind w:firstLine="709"/>
        <w:jc w:val="both"/>
        <w:rPr>
          <w:rFonts w:asciiTheme="majorHAnsi" w:hAnsiTheme="majorHAnsi" w:cstheme="majorHAnsi"/>
          <w:sz w:val="24"/>
          <w:szCs w:val="24"/>
        </w:rPr>
      </w:pPr>
      <w:r w:rsidRPr="00516038">
        <w:rPr>
          <w:rFonts w:asciiTheme="majorHAnsi" w:hAnsiTheme="majorHAnsi" w:cstheme="majorHAnsi"/>
          <w:sz w:val="24"/>
          <w:szCs w:val="24"/>
        </w:rPr>
        <w:t>Para credenciamento, a UnDF deverá providenciar a documentação exigida nos dez (X) Incisos do Art. 32 da Resolução n. 2/2017, dentre os quais o Inciso IV (Plano de Desenvolvimento Institucional — PDI) e V (Projeto Pedagógico Institucional — PPI), além dos requisitos legais e normativos exigidos pelo Sistema Nacional de Avaliação da Educação Superior (SINAES) já que o CEDF assim determina.</w:t>
      </w:r>
    </w:p>
    <w:p w14:paraId="6D441379" w14:textId="77777777" w:rsidR="0093274A" w:rsidRPr="00516038" w:rsidRDefault="0093274A" w:rsidP="00516038">
      <w:pPr>
        <w:spacing w:line="360" w:lineRule="auto"/>
        <w:ind w:firstLine="709"/>
        <w:jc w:val="both"/>
        <w:rPr>
          <w:rFonts w:asciiTheme="majorHAnsi" w:hAnsiTheme="majorHAnsi" w:cstheme="majorHAnsi"/>
          <w:sz w:val="24"/>
          <w:szCs w:val="24"/>
        </w:rPr>
      </w:pPr>
    </w:p>
    <w:p w14:paraId="5EF6374D" w14:textId="574DA4D0" w:rsidR="00EE3346" w:rsidRPr="00516038" w:rsidRDefault="00EE3346" w:rsidP="00516038">
      <w:pPr>
        <w:pStyle w:val="Ttulo2"/>
        <w:numPr>
          <w:ilvl w:val="1"/>
          <w:numId w:val="1"/>
        </w:numPr>
        <w:tabs>
          <w:tab w:val="clear" w:pos="1615"/>
        </w:tabs>
        <w:spacing w:before="0" w:after="0" w:line="360" w:lineRule="auto"/>
        <w:ind w:left="993"/>
        <w:rPr>
          <w:rFonts w:asciiTheme="majorHAnsi" w:hAnsiTheme="majorHAnsi" w:cstheme="majorHAnsi"/>
        </w:rPr>
      </w:pPr>
      <w:bookmarkStart w:id="7" w:name="_Toc102134961"/>
      <w:r w:rsidRPr="00516038">
        <w:rPr>
          <w:rFonts w:asciiTheme="majorHAnsi" w:hAnsiTheme="majorHAnsi" w:cstheme="majorHAnsi"/>
        </w:rPr>
        <w:t>COMPOSIÇÃO E CRIAÇÃO DA UnDF</w:t>
      </w:r>
      <w:bookmarkEnd w:id="7"/>
    </w:p>
    <w:p w14:paraId="26B46316" w14:textId="3D9AB2C3" w:rsidR="00EE3346" w:rsidRPr="0093274A" w:rsidRDefault="00EE3346" w:rsidP="0093274A">
      <w:pPr>
        <w:spacing w:line="360" w:lineRule="auto"/>
        <w:ind w:firstLine="709"/>
        <w:jc w:val="both"/>
        <w:rPr>
          <w:rFonts w:asciiTheme="majorHAnsi" w:hAnsiTheme="majorHAnsi" w:cstheme="majorHAnsi"/>
          <w:sz w:val="24"/>
          <w:szCs w:val="24"/>
        </w:rPr>
      </w:pPr>
      <w:r w:rsidRPr="0093274A">
        <w:rPr>
          <w:rFonts w:asciiTheme="majorHAnsi" w:hAnsiTheme="majorHAnsi" w:cstheme="majorHAnsi"/>
          <w:sz w:val="24"/>
          <w:szCs w:val="24"/>
        </w:rPr>
        <w:t>A Lei Complementar n. 987 (DISTRITO FEDERAL, 2021a), que autoriza a criação e define as áreas de atuação da UnDF e dá outras providências, estabeleceu que a instituição deverá atuar nas diferentes áreas do conhecimento (Art. 7.o) extinguindo a Fundação Universidade Aberta do Distrito Federal (Funab) e transferindo os órgãos e entidades a ela vinculados à nova Universidade (Art. 15, §§ 1.o</w:t>
      </w:r>
      <w:r w:rsidRPr="0093274A" w:rsidDel="007B7616">
        <w:rPr>
          <w:rFonts w:asciiTheme="majorHAnsi" w:hAnsiTheme="majorHAnsi" w:cstheme="majorHAnsi"/>
          <w:sz w:val="24"/>
          <w:szCs w:val="24"/>
        </w:rPr>
        <w:t xml:space="preserve"> </w:t>
      </w:r>
      <w:r w:rsidRPr="0093274A">
        <w:rPr>
          <w:rFonts w:asciiTheme="majorHAnsi" w:hAnsiTheme="majorHAnsi" w:cstheme="majorHAnsi"/>
          <w:sz w:val="24"/>
          <w:szCs w:val="24"/>
        </w:rPr>
        <w:t>e 2.o), fazendo o mesmo com a Escola Superior de Ciências da Saúde (ESCS) que também passou a integrar a UnDF (Art. 15, § 3.o), conforme segue:</w:t>
      </w:r>
    </w:p>
    <w:p w14:paraId="0CC2A391" w14:textId="77777777" w:rsidR="0093274A" w:rsidRDefault="0093274A" w:rsidP="00516038">
      <w:pPr>
        <w:tabs>
          <w:tab w:val="clear" w:pos="1615"/>
        </w:tabs>
        <w:spacing w:after="0"/>
        <w:ind w:left="2268" w:right="849"/>
        <w:jc w:val="both"/>
        <w:rPr>
          <w:rFonts w:asciiTheme="majorHAnsi" w:eastAsia="Times New Roman" w:hAnsiTheme="majorHAnsi" w:cstheme="majorHAnsi"/>
          <w:color w:val="000000"/>
          <w:szCs w:val="21"/>
          <w:lang w:eastAsia="pt-BR"/>
        </w:rPr>
      </w:pPr>
    </w:p>
    <w:p w14:paraId="7149FBDC" w14:textId="4970F061" w:rsidR="00EE3346" w:rsidRPr="0093274A" w:rsidRDefault="00EE3346" w:rsidP="00516038">
      <w:pPr>
        <w:tabs>
          <w:tab w:val="clear" w:pos="1615"/>
        </w:tabs>
        <w:spacing w:after="0"/>
        <w:ind w:left="2268" w:right="849"/>
        <w:jc w:val="both"/>
        <w:rPr>
          <w:rFonts w:asciiTheme="majorHAnsi" w:eastAsia="Times New Roman" w:hAnsiTheme="majorHAnsi" w:cstheme="majorHAnsi"/>
          <w:color w:val="000000"/>
          <w:sz w:val="20"/>
          <w:szCs w:val="20"/>
          <w:lang w:eastAsia="pt-BR"/>
        </w:rPr>
      </w:pPr>
      <w:r w:rsidRPr="0093274A">
        <w:rPr>
          <w:rFonts w:asciiTheme="majorHAnsi" w:eastAsia="Times New Roman" w:hAnsiTheme="majorHAnsi" w:cstheme="majorHAnsi"/>
          <w:color w:val="000000"/>
          <w:sz w:val="20"/>
          <w:szCs w:val="20"/>
          <w:lang w:eastAsia="pt-BR"/>
        </w:rPr>
        <w:t>Art. 15. Fica extinta a Fundação Universidade Aberta do Distrito Federal (Funab), cuja criação foi autorizada por meio da Lei n. 5.141, de 31 de julho de 2013.</w:t>
      </w:r>
    </w:p>
    <w:p w14:paraId="3E5021F4" w14:textId="77777777" w:rsidR="00EE3346" w:rsidRPr="0093274A" w:rsidRDefault="00EE3346" w:rsidP="00516038">
      <w:pPr>
        <w:tabs>
          <w:tab w:val="clear" w:pos="1615"/>
        </w:tabs>
        <w:spacing w:after="0"/>
        <w:ind w:left="2268" w:right="849"/>
        <w:jc w:val="both"/>
        <w:rPr>
          <w:rFonts w:asciiTheme="majorHAnsi" w:eastAsia="Times New Roman" w:hAnsiTheme="majorHAnsi" w:cstheme="majorHAnsi"/>
          <w:color w:val="000000"/>
          <w:sz w:val="20"/>
          <w:szCs w:val="20"/>
          <w:lang w:eastAsia="pt-BR"/>
        </w:rPr>
      </w:pPr>
      <w:bookmarkStart w:id="8" w:name="capV_art15_par1"/>
      <w:bookmarkEnd w:id="8"/>
      <w:r w:rsidRPr="0093274A">
        <w:rPr>
          <w:rFonts w:asciiTheme="majorHAnsi" w:eastAsia="Times New Roman" w:hAnsiTheme="majorHAnsi" w:cstheme="majorHAnsi"/>
          <w:color w:val="000000"/>
          <w:sz w:val="20"/>
          <w:szCs w:val="20"/>
          <w:lang w:eastAsia="pt-BR"/>
        </w:rPr>
        <w:t>§ 1</w:t>
      </w:r>
      <w:r w:rsidRPr="0093274A">
        <w:rPr>
          <w:rFonts w:asciiTheme="majorHAnsi" w:hAnsiTheme="majorHAnsi" w:cstheme="majorHAnsi"/>
          <w:sz w:val="20"/>
          <w:szCs w:val="20"/>
        </w:rPr>
        <w:t>.</w:t>
      </w:r>
      <w:r w:rsidRPr="0093274A">
        <w:rPr>
          <w:rFonts w:asciiTheme="majorHAnsi" w:hAnsiTheme="majorHAnsi" w:cstheme="majorHAnsi"/>
          <w:sz w:val="20"/>
          <w:szCs w:val="20"/>
          <w:vertAlign w:val="superscript"/>
        </w:rPr>
        <w:t>o</w:t>
      </w:r>
      <w:r w:rsidRPr="0093274A" w:rsidDel="002D78EC">
        <w:rPr>
          <w:rFonts w:asciiTheme="majorHAnsi" w:eastAsia="Times New Roman" w:hAnsiTheme="majorHAnsi" w:cstheme="majorHAnsi"/>
          <w:color w:val="000000"/>
          <w:sz w:val="20"/>
          <w:szCs w:val="20"/>
          <w:lang w:eastAsia="pt-BR"/>
        </w:rPr>
        <w:t xml:space="preserve"> </w:t>
      </w:r>
      <w:r w:rsidRPr="0093274A">
        <w:rPr>
          <w:rFonts w:asciiTheme="majorHAnsi" w:eastAsia="Times New Roman" w:hAnsiTheme="majorHAnsi" w:cstheme="majorHAnsi"/>
          <w:color w:val="000000"/>
          <w:sz w:val="20"/>
          <w:szCs w:val="20"/>
          <w:lang w:eastAsia="pt-BR"/>
        </w:rPr>
        <w:t>São transferidos à UnDF as competências, direitos e obrigações estabelecidas em leis gerais ou específicas, atos administrativos, contratos, convênios, acordos de cooperação ou instrumentos congêneres relativos à Funab.</w:t>
      </w:r>
    </w:p>
    <w:p w14:paraId="2333715F" w14:textId="77777777" w:rsidR="00EE3346" w:rsidRPr="0093274A" w:rsidRDefault="00EE3346" w:rsidP="00516038">
      <w:pPr>
        <w:tabs>
          <w:tab w:val="clear" w:pos="1615"/>
        </w:tabs>
        <w:spacing w:after="0"/>
        <w:ind w:left="2268" w:right="849"/>
        <w:jc w:val="both"/>
        <w:rPr>
          <w:rFonts w:asciiTheme="majorHAnsi" w:eastAsia="Times New Roman" w:hAnsiTheme="majorHAnsi" w:cstheme="majorHAnsi"/>
          <w:color w:val="000000"/>
          <w:sz w:val="20"/>
          <w:szCs w:val="20"/>
          <w:lang w:eastAsia="pt-BR"/>
        </w:rPr>
      </w:pPr>
      <w:bookmarkStart w:id="9" w:name="capV_art15_par2"/>
      <w:bookmarkEnd w:id="9"/>
      <w:r w:rsidRPr="0093274A">
        <w:rPr>
          <w:rFonts w:asciiTheme="majorHAnsi" w:eastAsia="Times New Roman" w:hAnsiTheme="majorHAnsi" w:cstheme="majorHAnsi"/>
          <w:color w:val="000000"/>
          <w:sz w:val="20"/>
          <w:szCs w:val="20"/>
          <w:lang w:eastAsia="pt-BR"/>
        </w:rPr>
        <w:t>§ 2</w:t>
      </w:r>
      <w:r w:rsidRPr="0093274A">
        <w:rPr>
          <w:rFonts w:asciiTheme="majorHAnsi" w:hAnsiTheme="majorHAnsi" w:cstheme="majorHAnsi"/>
          <w:sz w:val="20"/>
          <w:szCs w:val="20"/>
        </w:rPr>
        <w:t>.</w:t>
      </w:r>
      <w:r w:rsidRPr="0093274A">
        <w:rPr>
          <w:rFonts w:asciiTheme="majorHAnsi" w:hAnsiTheme="majorHAnsi" w:cstheme="majorHAnsi"/>
          <w:sz w:val="20"/>
          <w:szCs w:val="20"/>
          <w:vertAlign w:val="superscript"/>
        </w:rPr>
        <w:t>o</w:t>
      </w:r>
      <w:r w:rsidRPr="0093274A">
        <w:rPr>
          <w:rFonts w:asciiTheme="majorHAnsi" w:eastAsia="Times New Roman" w:hAnsiTheme="majorHAnsi" w:cstheme="majorHAnsi"/>
          <w:color w:val="000000"/>
          <w:sz w:val="20"/>
          <w:szCs w:val="20"/>
          <w:lang w:eastAsia="pt-BR"/>
        </w:rPr>
        <w:t xml:space="preserve"> Os fundos, órgãos e entidades vinculados à Funab passam a ser vinculados à UnDF, procedendo-se, na forma da lei, às alterações que se tornem necessárias.</w:t>
      </w:r>
    </w:p>
    <w:p w14:paraId="07911A4A" w14:textId="22099B7D" w:rsidR="00EE3346" w:rsidRPr="0093274A" w:rsidRDefault="00EE3346" w:rsidP="00516038">
      <w:pPr>
        <w:tabs>
          <w:tab w:val="clear" w:pos="1615"/>
        </w:tabs>
        <w:ind w:left="2268" w:right="849"/>
        <w:jc w:val="both"/>
        <w:rPr>
          <w:rFonts w:asciiTheme="majorHAnsi" w:eastAsia="Times New Roman" w:hAnsiTheme="majorHAnsi" w:cstheme="majorHAnsi"/>
          <w:color w:val="000000"/>
          <w:sz w:val="20"/>
          <w:szCs w:val="20"/>
          <w:lang w:eastAsia="pt-BR"/>
        </w:rPr>
      </w:pPr>
      <w:bookmarkStart w:id="10" w:name="capV_art15_par3"/>
      <w:bookmarkEnd w:id="10"/>
      <w:r w:rsidRPr="0093274A">
        <w:rPr>
          <w:rFonts w:asciiTheme="majorHAnsi" w:eastAsia="Times New Roman" w:hAnsiTheme="majorHAnsi" w:cstheme="majorHAnsi"/>
          <w:color w:val="000000"/>
          <w:sz w:val="20"/>
          <w:szCs w:val="20"/>
          <w:lang w:eastAsia="pt-BR"/>
        </w:rPr>
        <w:t>§ 3</w:t>
      </w:r>
      <w:r w:rsidRPr="0093274A">
        <w:rPr>
          <w:rFonts w:asciiTheme="majorHAnsi" w:hAnsiTheme="majorHAnsi" w:cstheme="majorHAnsi"/>
          <w:sz w:val="20"/>
          <w:szCs w:val="20"/>
        </w:rPr>
        <w:t>.</w:t>
      </w:r>
      <w:r w:rsidRPr="0093274A">
        <w:rPr>
          <w:rFonts w:asciiTheme="majorHAnsi" w:hAnsiTheme="majorHAnsi" w:cstheme="majorHAnsi"/>
          <w:sz w:val="20"/>
          <w:szCs w:val="20"/>
          <w:vertAlign w:val="superscript"/>
        </w:rPr>
        <w:t>o</w:t>
      </w:r>
      <w:r w:rsidRPr="0093274A">
        <w:rPr>
          <w:rFonts w:asciiTheme="majorHAnsi" w:eastAsia="Times New Roman" w:hAnsiTheme="majorHAnsi" w:cstheme="majorHAnsi"/>
          <w:color w:val="000000"/>
          <w:sz w:val="20"/>
          <w:szCs w:val="20"/>
          <w:lang w:eastAsia="pt-BR"/>
        </w:rPr>
        <w:t xml:space="preserve"> A Escola Superior de Ciências da Saúde (ESCS) passa a integrar a UnDF a partir da criação desta, garantida a continuidade de todas as suas atividades de ensino, pesquisa e extensão em curso no momento da sua integração.</w:t>
      </w:r>
    </w:p>
    <w:p w14:paraId="659ECB85" w14:textId="77777777" w:rsidR="0093274A" w:rsidRPr="00516038" w:rsidRDefault="0093274A" w:rsidP="00516038">
      <w:pPr>
        <w:tabs>
          <w:tab w:val="clear" w:pos="1615"/>
        </w:tabs>
        <w:ind w:left="2268" w:right="849"/>
        <w:jc w:val="both"/>
        <w:rPr>
          <w:rFonts w:asciiTheme="majorHAnsi" w:eastAsia="Times New Roman" w:hAnsiTheme="majorHAnsi" w:cstheme="majorHAnsi"/>
          <w:color w:val="000000"/>
          <w:szCs w:val="21"/>
          <w:lang w:eastAsia="pt-BR"/>
        </w:rPr>
      </w:pPr>
    </w:p>
    <w:p w14:paraId="64AA3503" w14:textId="72C8AAB1" w:rsidR="00EE3346" w:rsidRPr="0093274A" w:rsidRDefault="00EE3346" w:rsidP="0093274A">
      <w:pPr>
        <w:spacing w:line="360" w:lineRule="auto"/>
        <w:ind w:firstLine="709"/>
        <w:jc w:val="both"/>
        <w:rPr>
          <w:rFonts w:asciiTheme="majorHAnsi" w:hAnsiTheme="majorHAnsi" w:cstheme="majorHAnsi"/>
          <w:sz w:val="24"/>
          <w:szCs w:val="24"/>
        </w:rPr>
      </w:pPr>
      <w:r w:rsidRPr="0093274A">
        <w:rPr>
          <w:rFonts w:asciiTheme="majorHAnsi" w:hAnsiTheme="majorHAnsi" w:cstheme="majorHAnsi"/>
          <w:sz w:val="24"/>
          <w:szCs w:val="24"/>
        </w:rPr>
        <w:t>A Lei Complementar gerou o Decreto 42.333, de 26 de julho de 2021, que Instituiu a UnDF (DISTRITO FEDERAL, 2021c).</w:t>
      </w:r>
    </w:p>
    <w:p w14:paraId="70C0B3C4" w14:textId="17494FEC" w:rsidR="00EE3346" w:rsidRPr="0093274A" w:rsidRDefault="00EE3346" w:rsidP="0093274A">
      <w:pPr>
        <w:spacing w:line="360" w:lineRule="auto"/>
        <w:ind w:firstLine="709"/>
        <w:jc w:val="both"/>
        <w:rPr>
          <w:rFonts w:asciiTheme="majorHAnsi" w:hAnsiTheme="majorHAnsi" w:cstheme="majorHAnsi"/>
          <w:sz w:val="24"/>
          <w:szCs w:val="24"/>
        </w:rPr>
      </w:pPr>
      <w:r w:rsidRPr="0093274A">
        <w:rPr>
          <w:rFonts w:asciiTheme="majorHAnsi" w:hAnsiTheme="majorHAnsi" w:cstheme="majorHAnsi"/>
          <w:sz w:val="24"/>
          <w:szCs w:val="24"/>
        </w:rPr>
        <w:t>Deste modo, a nova Universidade foi criada e absorverá algumas escolas de educação superior já consolidadas e em funcionamento, conforme consta no sítio da Fundação Universidade Aberta do Distrito Federal (FUNAB, 2021), a saber:</w:t>
      </w:r>
    </w:p>
    <w:p w14:paraId="2BBD53D3" w14:textId="0DB29BE2" w:rsidR="00EE3346" w:rsidRPr="00516038" w:rsidRDefault="0093274A" w:rsidP="0093274A">
      <w:pPr>
        <w:pStyle w:val="Ttulo3"/>
        <w:numPr>
          <w:ilvl w:val="2"/>
          <w:numId w:val="1"/>
        </w:numPr>
        <w:ind w:left="709" w:hanging="709"/>
        <w:rPr>
          <w:rFonts w:asciiTheme="majorHAnsi" w:hAnsiTheme="majorHAnsi" w:cstheme="majorHAnsi"/>
        </w:rPr>
      </w:pPr>
      <w:bookmarkStart w:id="11" w:name="_Toc102134962"/>
      <w:r w:rsidRPr="00516038">
        <w:rPr>
          <w:rFonts w:asciiTheme="majorHAnsi" w:hAnsiTheme="majorHAnsi" w:cstheme="majorHAnsi"/>
        </w:rPr>
        <w:t>ESCOLA SUPERIOR DE MAGISTÉRIO</w:t>
      </w:r>
      <w:bookmarkEnd w:id="11"/>
    </w:p>
    <w:p w14:paraId="1945959B" w14:textId="728BE1E1" w:rsidR="00EE3346" w:rsidRPr="0093274A" w:rsidRDefault="00EE3346" w:rsidP="0093274A">
      <w:pPr>
        <w:spacing w:line="360" w:lineRule="auto"/>
        <w:ind w:firstLine="709"/>
        <w:jc w:val="both"/>
        <w:rPr>
          <w:rFonts w:asciiTheme="majorHAnsi" w:hAnsiTheme="majorHAnsi" w:cstheme="majorHAnsi"/>
          <w:sz w:val="24"/>
          <w:szCs w:val="24"/>
        </w:rPr>
      </w:pPr>
      <w:r w:rsidRPr="0093274A">
        <w:rPr>
          <w:rFonts w:asciiTheme="majorHAnsi" w:hAnsiTheme="majorHAnsi" w:cstheme="majorHAnsi"/>
          <w:sz w:val="24"/>
          <w:szCs w:val="24"/>
        </w:rPr>
        <w:t>Não oferece cursos no momento, seja de graduação, seja de pós-graduação ou extensão, apesar de ter sido credenciada pelo Conselho de Educação do Distrito Federal pela Portaria n. 190, de 28 de junho de 2016 pelo prazo de cinco anos, com autorização da oferta do Curso de Pedagogia na modalidade presencial, no Centro de Ensino Médio 2 de Ceilândia; Escola Classe 22 do Gama; e Centro de Ensino Fundamental 2 de Planaltina.</w:t>
      </w:r>
    </w:p>
    <w:p w14:paraId="1D890785" w14:textId="7B656A13" w:rsidR="00EE3346" w:rsidRPr="0093274A" w:rsidRDefault="00EE3346" w:rsidP="0093274A">
      <w:pPr>
        <w:spacing w:line="360" w:lineRule="auto"/>
        <w:ind w:firstLine="709"/>
        <w:jc w:val="both"/>
        <w:rPr>
          <w:rFonts w:asciiTheme="majorHAnsi" w:hAnsiTheme="majorHAnsi" w:cstheme="majorHAnsi"/>
          <w:sz w:val="24"/>
          <w:szCs w:val="24"/>
        </w:rPr>
      </w:pPr>
      <w:r w:rsidRPr="0093274A">
        <w:rPr>
          <w:rFonts w:asciiTheme="majorHAnsi" w:hAnsiTheme="majorHAnsi" w:cstheme="majorHAnsi"/>
          <w:sz w:val="24"/>
          <w:szCs w:val="24"/>
        </w:rPr>
        <w:t>Como essa oferta não foi concretizada, espera-se que a UnDF (re)defina suas ações voltadas para a formação de professores, preferencialmente contemplando outras áreas do conhecimento além daquela abordada pelas licenciaturas em pedagogia.</w:t>
      </w:r>
    </w:p>
    <w:p w14:paraId="2CF2333D" w14:textId="5D115318" w:rsidR="00EE3346" w:rsidRPr="00516038" w:rsidRDefault="0093274A" w:rsidP="0093274A">
      <w:pPr>
        <w:pStyle w:val="Ttulo3"/>
        <w:numPr>
          <w:ilvl w:val="2"/>
          <w:numId w:val="1"/>
        </w:numPr>
        <w:ind w:left="709" w:hanging="709"/>
        <w:rPr>
          <w:rFonts w:asciiTheme="majorHAnsi" w:hAnsiTheme="majorHAnsi" w:cstheme="majorHAnsi"/>
        </w:rPr>
      </w:pPr>
      <w:bookmarkStart w:id="12" w:name="_Toc102134963"/>
      <w:r w:rsidRPr="00516038">
        <w:rPr>
          <w:rFonts w:asciiTheme="majorHAnsi" w:hAnsiTheme="majorHAnsi" w:cstheme="majorHAnsi"/>
        </w:rPr>
        <w:t>ESCOLA SUPERIOR DE POLÍCIA CIVIL</w:t>
      </w:r>
      <w:bookmarkEnd w:id="12"/>
    </w:p>
    <w:p w14:paraId="62A46E4B" w14:textId="7CA3461F" w:rsidR="00EE3346" w:rsidRPr="0093274A" w:rsidRDefault="00EE3346" w:rsidP="0093274A">
      <w:pPr>
        <w:spacing w:line="360" w:lineRule="auto"/>
        <w:ind w:firstLine="709"/>
        <w:jc w:val="both"/>
        <w:rPr>
          <w:rFonts w:asciiTheme="majorHAnsi" w:hAnsiTheme="majorHAnsi" w:cstheme="majorHAnsi"/>
          <w:sz w:val="24"/>
          <w:szCs w:val="24"/>
        </w:rPr>
      </w:pPr>
      <w:r w:rsidRPr="0093274A">
        <w:rPr>
          <w:rFonts w:asciiTheme="majorHAnsi" w:hAnsiTheme="majorHAnsi" w:cstheme="majorHAnsi"/>
          <w:sz w:val="24"/>
          <w:szCs w:val="24"/>
        </w:rPr>
        <w:t xml:space="preserve">Foi firmado pela FUNAB um Termo de Cooperação Técnica (n. 2/2018) com a Academia da Polícia Civil do Distrito Federal visando ao credenciamento da Escola Superior de Polícia Civil do DF junto ao CEDF e que tramita no momento, tendo como uma das atribuições a mantença da Escola e a oferta de cursos de graduação e de pós-graduação lato sensu. </w:t>
      </w:r>
    </w:p>
    <w:p w14:paraId="592829DB" w14:textId="1EC610C5" w:rsidR="00EE3346" w:rsidRPr="0093274A" w:rsidRDefault="00EE3346" w:rsidP="0093274A">
      <w:pPr>
        <w:spacing w:line="360" w:lineRule="auto"/>
        <w:ind w:firstLine="709"/>
        <w:jc w:val="both"/>
        <w:rPr>
          <w:rFonts w:asciiTheme="majorHAnsi" w:hAnsiTheme="majorHAnsi" w:cstheme="majorHAnsi"/>
          <w:sz w:val="24"/>
          <w:szCs w:val="24"/>
        </w:rPr>
      </w:pPr>
      <w:r w:rsidRPr="0093274A">
        <w:rPr>
          <w:rFonts w:asciiTheme="majorHAnsi" w:hAnsiTheme="majorHAnsi" w:cstheme="majorHAnsi"/>
          <w:sz w:val="24"/>
          <w:szCs w:val="24"/>
        </w:rPr>
        <w:t>Dessa forma, o termo citado foi transferido para a UnDF e continua em vigor, fazendo com que se trate da segunda Escola vinculada à Universidade, apesar de ainda estar em processo de credenciamento junto ao Conselho de Educação do Distrito Federal e poder ter sua tramitação prejudicada em função da nova situação imposta pela Lei Complementar e da autonomia universitária da UnDF.</w:t>
      </w:r>
    </w:p>
    <w:p w14:paraId="74DAA500" w14:textId="2F7E12A2" w:rsidR="00EE3346" w:rsidRPr="0093274A" w:rsidRDefault="00EE3346" w:rsidP="0093274A">
      <w:pPr>
        <w:spacing w:line="360" w:lineRule="auto"/>
        <w:ind w:firstLine="709"/>
        <w:jc w:val="both"/>
        <w:rPr>
          <w:rFonts w:asciiTheme="majorHAnsi" w:hAnsiTheme="majorHAnsi" w:cstheme="majorHAnsi"/>
          <w:sz w:val="24"/>
          <w:szCs w:val="24"/>
        </w:rPr>
      </w:pPr>
      <w:r w:rsidRPr="0093274A">
        <w:rPr>
          <w:rFonts w:asciiTheme="majorHAnsi" w:hAnsiTheme="majorHAnsi" w:cstheme="majorHAnsi"/>
          <w:sz w:val="24"/>
          <w:szCs w:val="24"/>
        </w:rPr>
        <w:t>Segundo informações no sítio (FUNAB, 2021), desde o ano de 2018 a FUNAB, o Instituto Federal de Brasília (IFB) e a Escola Superior da Polícia Civil ofertam a Especialização em Segurança Pública com ênfase na Formação de Tutores, de Preceptores e em Pesquisa para o Distrito Federal e entorno.</w:t>
      </w:r>
    </w:p>
    <w:p w14:paraId="02F8E72A" w14:textId="33B1A638" w:rsidR="00EE3346" w:rsidRPr="00516038" w:rsidRDefault="0093274A" w:rsidP="0093274A">
      <w:pPr>
        <w:pStyle w:val="Ttulo3"/>
        <w:numPr>
          <w:ilvl w:val="2"/>
          <w:numId w:val="1"/>
        </w:numPr>
        <w:ind w:left="709" w:hanging="709"/>
        <w:rPr>
          <w:rFonts w:asciiTheme="majorHAnsi" w:hAnsiTheme="majorHAnsi" w:cstheme="majorHAnsi"/>
        </w:rPr>
      </w:pPr>
      <w:bookmarkStart w:id="13" w:name="_Toc102134964"/>
      <w:r w:rsidRPr="00516038">
        <w:rPr>
          <w:rFonts w:asciiTheme="majorHAnsi" w:hAnsiTheme="majorHAnsi" w:cstheme="majorHAnsi"/>
        </w:rPr>
        <w:t>ESCOLA SUPERIOR DO CERRADO</w:t>
      </w:r>
      <w:bookmarkEnd w:id="13"/>
    </w:p>
    <w:p w14:paraId="21C8FAF8" w14:textId="129DAC1E" w:rsidR="00EE3346" w:rsidRPr="0093274A" w:rsidRDefault="00EE3346" w:rsidP="0093274A">
      <w:pPr>
        <w:spacing w:line="360" w:lineRule="auto"/>
        <w:ind w:firstLine="709"/>
        <w:jc w:val="both"/>
        <w:rPr>
          <w:rFonts w:asciiTheme="majorHAnsi" w:hAnsiTheme="majorHAnsi" w:cstheme="majorHAnsi"/>
          <w:sz w:val="24"/>
          <w:szCs w:val="24"/>
        </w:rPr>
      </w:pPr>
      <w:r w:rsidRPr="0093274A">
        <w:rPr>
          <w:rFonts w:asciiTheme="majorHAnsi" w:hAnsiTheme="majorHAnsi" w:cstheme="majorHAnsi"/>
          <w:sz w:val="24"/>
          <w:szCs w:val="24"/>
        </w:rPr>
        <w:t>Em março de 2018 foi firmado Acordo de Cooperação Técnica (n. 001/2018) entre a FUNAB e o Jardim Botânico de Brasília (JBB) visando à implantação da Escola Superior com sede nesta última, com mantença da FUNAB. A situação é análoga à anterior, apesar de ainda não haver solicitação formal e um processo tramitando no CEDF visando ao credenciamento dessa nova Escola.</w:t>
      </w:r>
    </w:p>
    <w:p w14:paraId="3650C53A" w14:textId="7C7C9EEE" w:rsidR="00EE3346" w:rsidRPr="00516038" w:rsidRDefault="0093274A" w:rsidP="0093274A">
      <w:pPr>
        <w:pStyle w:val="Ttulo3"/>
        <w:numPr>
          <w:ilvl w:val="2"/>
          <w:numId w:val="1"/>
        </w:numPr>
        <w:ind w:left="709" w:hanging="709"/>
        <w:rPr>
          <w:rFonts w:asciiTheme="majorHAnsi" w:hAnsiTheme="majorHAnsi" w:cstheme="majorHAnsi"/>
        </w:rPr>
      </w:pPr>
      <w:bookmarkStart w:id="14" w:name="_Toc102134965"/>
      <w:r w:rsidRPr="00516038">
        <w:rPr>
          <w:rFonts w:asciiTheme="majorHAnsi" w:hAnsiTheme="majorHAnsi" w:cstheme="majorHAnsi"/>
        </w:rPr>
        <w:t>ESCOLA SUPERIOR DE GESTÃO</w:t>
      </w:r>
      <w:bookmarkEnd w:id="14"/>
    </w:p>
    <w:p w14:paraId="53AB1756" w14:textId="45E0B784" w:rsidR="00EE3346" w:rsidRPr="0093274A" w:rsidRDefault="00EE3346" w:rsidP="0093274A">
      <w:pPr>
        <w:spacing w:line="360" w:lineRule="auto"/>
        <w:ind w:firstLine="709"/>
        <w:jc w:val="both"/>
        <w:rPr>
          <w:rFonts w:asciiTheme="majorHAnsi" w:hAnsiTheme="majorHAnsi" w:cstheme="majorHAnsi"/>
          <w:sz w:val="24"/>
          <w:szCs w:val="24"/>
        </w:rPr>
      </w:pPr>
      <w:r w:rsidRPr="0093274A">
        <w:rPr>
          <w:rFonts w:asciiTheme="majorHAnsi" w:hAnsiTheme="majorHAnsi" w:cstheme="majorHAnsi"/>
          <w:sz w:val="24"/>
          <w:szCs w:val="24"/>
        </w:rPr>
        <w:t>A Escola Superior de Gestão (ESG) foi credenciada pela Portaria n. 405, de 20/9/2017 pelo CEDF (2017) pelo prazo de cinco anos, com mantença técnico-pedagógica da FUNAB e com a oferta de Curso Superior de Tecnologia em Gestão Pública, com duas turmas em andamento e total de 45 alunos, com formatura da primeira turma prevista para dezembro de 2021. No credenciamento, consta a oferta de outros cursos superiores de tecnologia do eixo da gestão e de pós-graduação lato sensu na área.</w:t>
      </w:r>
    </w:p>
    <w:p w14:paraId="65AB3334" w14:textId="58ED1AC5" w:rsidR="00EE3346" w:rsidRPr="0093274A" w:rsidRDefault="00EE3346" w:rsidP="0093274A">
      <w:pPr>
        <w:spacing w:line="360" w:lineRule="auto"/>
        <w:ind w:firstLine="709"/>
        <w:jc w:val="both"/>
        <w:rPr>
          <w:rFonts w:asciiTheme="majorHAnsi" w:hAnsiTheme="majorHAnsi" w:cstheme="majorHAnsi"/>
          <w:sz w:val="24"/>
          <w:szCs w:val="24"/>
        </w:rPr>
      </w:pPr>
      <w:r w:rsidRPr="0093274A">
        <w:rPr>
          <w:rFonts w:asciiTheme="majorHAnsi" w:hAnsiTheme="majorHAnsi" w:cstheme="majorHAnsi"/>
          <w:sz w:val="24"/>
          <w:szCs w:val="24"/>
        </w:rPr>
        <w:t>O Curso de Gestão Pública está estruturado com o uso da Aprendizagem Baseada em Problemas (ABP) (Problem Based Learning – PBL), uma metodologia ativa de aprendizagem bastante utilizada, especialmente na área da saúde, dado seu início nos anos 1960 nessa área (CORTELAZZO et al., 2018).</w:t>
      </w:r>
    </w:p>
    <w:p w14:paraId="73D8407B" w14:textId="1B28CCEA" w:rsidR="00EE3346" w:rsidRPr="0093274A" w:rsidRDefault="00EE3346" w:rsidP="0093274A">
      <w:pPr>
        <w:spacing w:line="360" w:lineRule="auto"/>
        <w:ind w:firstLine="709"/>
        <w:jc w:val="both"/>
        <w:rPr>
          <w:rFonts w:asciiTheme="majorHAnsi" w:hAnsiTheme="majorHAnsi" w:cstheme="majorHAnsi"/>
          <w:sz w:val="24"/>
          <w:szCs w:val="24"/>
        </w:rPr>
      </w:pPr>
      <w:r w:rsidRPr="0093274A">
        <w:rPr>
          <w:rFonts w:asciiTheme="majorHAnsi" w:hAnsiTheme="majorHAnsi" w:cstheme="majorHAnsi"/>
          <w:sz w:val="24"/>
          <w:szCs w:val="24"/>
        </w:rPr>
        <w:t xml:space="preserve">Em 2021, em parceria com o Cebraspe, foi oferecido o Curso de Especialização “Interdisciplinaridade em Metodologias Ativas” iniciado em setembro e com 402 horas de duração, com certificação pela ESG (CEBRASPE, 2021). </w:t>
      </w:r>
    </w:p>
    <w:p w14:paraId="4A2EB2C8" w14:textId="3FEE0077" w:rsidR="00EE3346" w:rsidRPr="00516038" w:rsidRDefault="0093274A" w:rsidP="0093274A">
      <w:pPr>
        <w:pStyle w:val="Ttulo3"/>
        <w:numPr>
          <w:ilvl w:val="2"/>
          <w:numId w:val="1"/>
        </w:numPr>
        <w:ind w:left="709" w:hanging="709"/>
        <w:rPr>
          <w:rFonts w:asciiTheme="majorHAnsi" w:hAnsiTheme="majorHAnsi" w:cstheme="majorHAnsi"/>
        </w:rPr>
      </w:pPr>
      <w:bookmarkStart w:id="15" w:name="_Toc102134966"/>
      <w:r w:rsidRPr="00516038">
        <w:rPr>
          <w:rFonts w:asciiTheme="majorHAnsi" w:hAnsiTheme="majorHAnsi" w:cstheme="majorHAnsi"/>
        </w:rPr>
        <w:t>ESCOLA SUPERIOR DE CIÊNCIAS DA SAÚDE (ESCS)</w:t>
      </w:r>
      <w:bookmarkEnd w:id="15"/>
    </w:p>
    <w:p w14:paraId="7C8D857C" w14:textId="0749DC37" w:rsidR="00EE3346" w:rsidRPr="0093274A" w:rsidRDefault="00EE3346" w:rsidP="0093274A">
      <w:pPr>
        <w:spacing w:line="360" w:lineRule="auto"/>
        <w:ind w:firstLine="709"/>
        <w:jc w:val="both"/>
        <w:rPr>
          <w:rFonts w:asciiTheme="majorHAnsi" w:hAnsiTheme="majorHAnsi" w:cstheme="majorHAnsi"/>
          <w:sz w:val="24"/>
          <w:szCs w:val="24"/>
        </w:rPr>
      </w:pPr>
      <w:r w:rsidRPr="0093274A">
        <w:rPr>
          <w:rFonts w:asciiTheme="majorHAnsi" w:hAnsiTheme="majorHAnsi" w:cstheme="majorHAnsi"/>
          <w:sz w:val="24"/>
          <w:szCs w:val="24"/>
        </w:rPr>
        <w:t xml:space="preserve">A ESCS foi criada em 2001 e é mantida pela Fundação de Ensino e Pesquisa em Ciências da Saúde da Secretaria de Estado de Saúde do Distrito Federal. Atualmente oferece os cursos de graduação em Medicina e em Enfermagem, pós-graduação lato sensu, incluindo a Residência Médica e pós-graduação stricto sensu com um programa de mestrado acadêmico em saúde pública pela área de Medicina I e um programa de mestrado profissional em Ciências para a Saúde pela área de Enfermagem, ambos com conceito 3 (três) e, assim, com validade nacional (CAPES, 2021). </w:t>
      </w:r>
    </w:p>
    <w:p w14:paraId="5C46D64A" w14:textId="3791EE17" w:rsidR="00EE3346" w:rsidRPr="0093274A" w:rsidRDefault="00EE3346" w:rsidP="0093274A">
      <w:pPr>
        <w:spacing w:line="360" w:lineRule="auto"/>
        <w:ind w:firstLine="709"/>
        <w:jc w:val="both"/>
        <w:rPr>
          <w:rFonts w:asciiTheme="majorHAnsi" w:hAnsiTheme="majorHAnsi" w:cstheme="majorHAnsi"/>
          <w:sz w:val="24"/>
          <w:szCs w:val="24"/>
        </w:rPr>
      </w:pPr>
      <w:r w:rsidRPr="0093274A">
        <w:rPr>
          <w:rFonts w:asciiTheme="majorHAnsi" w:hAnsiTheme="majorHAnsi" w:cstheme="majorHAnsi"/>
          <w:sz w:val="24"/>
          <w:szCs w:val="24"/>
        </w:rPr>
        <w:t>Além dos Mestrados citados, a ESCS participa do Mestrado Profissional em Saúde da Família, área de Saúde Coletiva, proposto pela Associação Brasileira de Saúde Coletiva (Abrasco) e aprovado pela Capes em 2016 (último conceito disponível foi 3 garantindo sua recomendação e validade), com outras 26 IES públicas do país e que tem a coordenação geral nacional feita pela Fiocruz.</w:t>
      </w:r>
    </w:p>
    <w:p w14:paraId="2497B29F" w14:textId="7467C676" w:rsidR="00EE3346" w:rsidRPr="0093274A" w:rsidRDefault="00EE3346" w:rsidP="0093274A">
      <w:pPr>
        <w:spacing w:line="360" w:lineRule="auto"/>
        <w:ind w:firstLine="709"/>
        <w:jc w:val="both"/>
        <w:rPr>
          <w:rFonts w:asciiTheme="majorHAnsi" w:hAnsiTheme="majorHAnsi" w:cstheme="majorHAnsi"/>
          <w:sz w:val="24"/>
          <w:szCs w:val="24"/>
        </w:rPr>
      </w:pPr>
      <w:r w:rsidRPr="0093274A">
        <w:rPr>
          <w:rFonts w:asciiTheme="majorHAnsi" w:hAnsiTheme="majorHAnsi" w:cstheme="majorHAnsi"/>
          <w:sz w:val="24"/>
          <w:szCs w:val="24"/>
        </w:rPr>
        <w:t>Cada um dos cursos de graduação oferece 80 vagas anuais e utiliza o Sistema de Seleção Unificado (SiSU), com reserva de 40% das vagas (32) para alunos egressos de escolas públicas do Distrito Federal.</w:t>
      </w:r>
    </w:p>
    <w:p w14:paraId="6AAC3A27" w14:textId="4C35A277" w:rsidR="00EE3346" w:rsidRPr="0093274A" w:rsidRDefault="00EE3346" w:rsidP="0093274A">
      <w:pPr>
        <w:spacing w:line="360" w:lineRule="auto"/>
        <w:ind w:firstLine="709"/>
        <w:jc w:val="both"/>
        <w:rPr>
          <w:rFonts w:asciiTheme="majorHAnsi" w:hAnsiTheme="majorHAnsi" w:cstheme="majorHAnsi"/>
          <w:sz w:val="24"/>
          <w:szCs w:val="24"/>
        </w:rPr>
      </w:pPr>
      <w:r w:rsidRPr="0093274A">
        <w:rPr>
          <w:rFonts w:asciiTheme="majorHAnsi" w:hAnsiTheme="majorHAnsi" w:cstheme="majorHAnsi"/>
          <w:sz w:val="24"/>
          <w:szCs w:val="24"/>
        </w:rPr>
        <w:t>O curso de Medicina tem desenvolvimento anual, com carga horária de 9.972 horas de atividades e é estruturado em regime seriado, com o uso de metodologias ativas de aprendizagem, em especial a ABP ou PBL. Funciona na unidade denominada “</w:t>
      </w:r>
      <w:r w:rsidRPr="0093274A">
        <w:rPr>
          <w:bCs/>
          <w:sz w:val="24"/>
          <w:szCs w:val="24"/>
        </w:rPr>
        <w:t xml:space="preserve">Asa Norte”, no </w:t>
      </w:r>
      <w:r w:rsidRPr="0093274A">
        <w:rPr>
          <w:rFonts w:asciiTheme="majorHAnsi" w:hAnsiTheme="majorHAnsi" w:cstheme="majorHAnsi"/>
          <w:sz w:val="24"/>
          <w:szCs w:val="24"/>
        </w:rPr>
        <w:t>Edifício Fepecs — SMHN Quadra 03, Conjunto A, Bloco 1 — Asa Norte, DF. O Projeto Pedagógico do Curso (PPC) prevê o desenvolvimento dos módulos em atividades distribuídas no que classifica como “semana padrão de atividades” e o PPC (FEPCS, 2018a, atualizado em 15/5/2021), assim define o modelo pedagógico desenvolvido no mesmo:</w:t>
      </w:r>
    </w:p>
    <w:p w14:paraId="4EA911EA" w14:textId="77777777" w:rsidR="0093274A" w:rsidRDefault="0093274A" w:rsidP="00516038">
      <w:pPr>
        <w:tabs>
          <w:tab w:val="clear" w:pos="1615"/>
        </w:tabs>
        <w:ind w:left="2268" w:right="849"/>
        <w:jc w:val="both"/>
        <w:rPr>
          <w:rFonts w:asciiTheme="majorHAnsi" w:hAnsiTheme="majorHAnsi" w:cstheme="majorHAnsi"/>
          <w:sz w:val="20"/>
          <w:szCs w:val="20"/>
        </w:rPr>
      </w:pPr>
    </w:p>
    <w:p w14:paraId="6C3FD371" w14:textId="47210FC1" w:rsidR="00EE3346" w:rsidRDefault="00EE3346" w:rsidP="00516038">
      <w:pPr>
        <w:tabs>
          <w:tab w:val="clear" w:pos="1615"/>
        </w:tabs>
        <w:ind w:left="2268" w:right="849"/>
        <w:jc w:val="both"/>
        <w:rPr>
          <w:rFonts w:asciiTheme="majorHAnsi" w:hAnsiTheme="majorHAnsi" w:cstheme="majorHAnsi"/>
          <w:sz w:val="20"/>
          <w:szCs w:val="20"/>
        </w:rPr>
      </w:pPr>
      <w:r w:rsidRPr="00516038">
        <w:rPr>
          <w:rFonts w:asciiTheme="majorHAnsi" w:hAnsiTheme="majorHAnsi" w:cstheme="majorHAnsi"/>
          <w:sz w:val="20"/>
          <w:szCs w:val="20"/>
        </w:rPr>
        <w:t>O modelo pedagógico do curso encontra-se fundamentado nos princípios do construtivismo, priorizando as metodologias ativas como elemento central no processo de ensino aprendizagem. Como princípio, o currículo visa a garantir e aperfeiçoar a formação geral do médico em termos técnicos, científicos e humanísticos. (FEPCS, 2018a, p. 18).</w:t>
      </w:r>
    </w:p>
    <w:p w14:paraId="5A663F78" w14:textId="77777777" w:rsidR="0093274A" w:rsidRPr="00516038" w:rsidRDefault="0093274A" w:rsidP="00516038">
      <w:pPr>
        <w:tabs>
          <w:tab w:val="clear" w:pos="1615"/>
        </w:tabs>
        <w:ind w:left="2268" w:right="849"/>
        <w:jc w:val="both"/>
        <w:rPr>
          <w:rFonts w:asciiTheme="majorHAnsi" w:hAnsiTheme="majorHAnsi" w:cstheme="majorHAnsi"/>
          <w:sz w:val="20"/>
          <w:szCs w:val="20"/>
        </w:rPr>
      </w:pPr>
    </w:p>
    <w:p w14:paraId="679F77C1" w14:textId="40A683FA" w:rsidR="00EE3346" w:rsidRPr="0093274A" w:rsidRDefault="00EE3346" w:rsidP="0093274A">
      <w:pPr>
        <w:spacing w:line="360" w:lineRule="auto"/>
        <w:ind w:firstLine="709"/>
        <w:jc w:val="both"/>
        <w:rPr>
          <w:rFonts w:asciiTheme="majorHAnsi" w:hAnsiTheme="majorHAnsi" w:cstheme="majorHAnsi"/>
          <w:sz w:val="24"/>
          <w:szCs w:val="24"/>
        </w:rPr>
      </w:pPr>
      <w:r w:rsidRPr="0093274A">
        <w:rPr>
          <w:rFonts w:asciiTheme="majorHAnsi" w:hAnsiTheme="majorHAnsi" w:cstheme="majorHAnsi"/>
          <w:sz w:val="24"/>
          <w:szCs w:val="24"/>
        </w:rPr>
        <w:t>O Curso de Enfermagem também tem desenvolvimento anual, com carga horária de 6.132 horas de atividades a partir de 2019 e é estruturado em regime seriado, com o uso de metodologias ativas de aprendizagem, em especial a ABP ou PBL e Metodologia da Problematização (MP). Funciona na Unidade denominada “</w:t>
      </w:r>
      <w:r w:rsidRPr="0093274A">
        <w:rPr>
          <w:bCs/>
          <w:sz w:val="24"/>
          <w:szCs w:val="24"/>
        </w:rPr>
        <w:t xml:space="preserve">Samambaia”, na </w:t>
      </w:r>
      <w:r w:rsidRPr="0093274A">
        <w:rPr>
          <w:rFonts w:asciiTheme="majorHAnsi" w:hAnsiTheme="majorHAnsi" w:cstheme="majorHAnsi"/>
          <w:sz w:val="24"/>
          <w:szCs w:val="24"/>
        </w:rPr>
        <w:t>QD 301 – conj. 04 - Centro Urbano – Samambaia, DF. O Projeto Pedagógico do Curso (PPC) prevê o desenvolvimento dos módulos em atividades distribuídas ao longo dos 4 anos sugeridos para a integralização, conforme publicação da Fundação (FEPCS, 2018b, atualizado em 23/3/2021).</w:t>
      </w:r>
    </w:p>
    <w:p w14:paraId="6BC221EB" w14:textId="55FDFAF2" w:rsidR="00EE3346" w:rsidRPr="00516038" w:rsidRDefault="0093274A" w:rsidP="0093274A">
      <w:pPr>
        <w:pStyle w:val="Ttulo3"/>
        <w:numPr>
          <w:ilvl w:val="2"/>
          <w:numId w:val="1"/>
        </w:numPr>
        <w:ind w:left="709" w:hanging="709"/>
        <w:rPr>
          <w:rFonts w:asciiTheme="majorHAnsi" w:hAnsiTheme="majorHAnsi" w:cstheme="majorHAnsi"/>
        </w:rPr>
      </w:pPr>
      <w:bookmarkStart w:id="16" w:name="_Toc89878033"/>
      <w:bookmarkStart w:id="17" w:name="_Toc102134967"/>
      <w:r w:rsidRPr="00516038">
        <w:rPr>
          <w:rFonts w:asciiTheme="majorHAnsi" w:hAnsiTheme="majorHAnsi" w:cstheme="majorHAnsi"/>
        </w:rPr>
        <w:t>ESTATUTO PROPOSTO PARA A UNDF</w:t>
      </w:r>
      <w:bookmarkEnd w:id="16"/>
      <w:bookmarkEnd w:id="17"/>
    </w:p>
    <w:p w14:paraId="119C296A" w14:textId="4F21D201" w:rsidR="00EE3346" w:rsidRPr="0093274A" w:rsidRDefault="00EE3346" w:rsidP="0093274A">
      <w:pPr>
        <w:spacing w:line="360" w:lineRule="auto"/>
        <w:ind w:firstLine="709"/>
        <w:jc w:val="both"/>
        <w:rPr>
          <w:rFonts w:asciiTheme="majorHAnsi" w:hAnsiTheme="majorHAnsi" w:cstheme="majorHAnsi"/>
          <w:sz w:val="24"/>
          <w:szCs w:val="24"/>
        </w:rPr>
      </w:pPr>
      <w:r w:rsidRPr="0093274A">
        <w:rPr>
          <w:rFonts w:asciiTheme="majorHAnsi" w:hAnsiTheme="majorHAnsi" w:cstheme="majorHAnsi"/>
          <w:sz w:val="24"/>
          <w:szCs w:val="24"/>
        </w:rPr>
        <w:t>A proposta de Estatuto em discussão junto ao CEDF prevê, em seu Art. 13, a estruturação inicial de quatro Centros que poderão ser rearranjados à medida da necessidade:</w:t>
      </w:r>
    </w:p>
    <w:p w14:paraId="5139436B" w14:textId="77777777" w:rsidR="0093274A" w:rsidRDefault="0093274A" w:rsidP="00516038">
      <w:pPr>
        <w:tabs>
          <w:tab w:val="clear" w:pos="1615"/>
        </w:tabs>
        <w:autoSpaceDE w:val="0"/>
        <w:autoSpaceDN w:val="0"/>
        <w:adjustRightInd w:val="0"/>
        <w:spacing w:after="0"/>
        <w:ind w:left="2268"/>
        <w:jc w:val="both"/>
        <w:rPr>
          <w:rFonts w:asciiTheme="majorHAnsi" w:hAnsiTheme="majorHAnsi" w:cstheme="majorHAnsi"/>
          <w:b/>
          <w:bCs/>
          <w:szCs w:val="24"/>
        </w:rPr>
      </w:pPr>
    </w:p>
    <w:p w14:paraId="2EED707F" w14:textId="7D6971A2" w:rsidR="00EE3346" w:rsidRPr="00516038" w:rsidRDefault="00EE3346" w:rsidP="00516038">
      <w:pPr>
        <w:tabs>
          <w:tab w:val="clear" w:pos="1615"/>
        </w:tabs>
        <w:autoSpaceDE w:val="0"/>
        <w:autoSpaceDN w:val="0"/>
        <w:adjustRightInd w:val="0"/>
        <w:spacing w:after="0"/>
        <w:ind w:left="2268"/>
        <w:jc w:val="both"/>
        <w:rPr>
          <w:rFonts w:asciiTheme="majorHAnsi" w:hAnsiTheme="majorHAnsi" w:cstheme="majorHAnsi"/>
          <w:szCs w:val="24"/>
        </w:rPr>
      </w:pPr>
      <w:r w:rsidRPr="00516038">
        <w:rPr>
          <w:rFonts w:asciiTheme="majorHAnsi" w:hAnsiTheme="majorHAnsi" w:cstheme="majorHAnsi"/>
          <w:b/>
          <w:bCs/>
          <w:szCs w:val="24"/>
        </w:rPr>
        <w:t xml:space="preserve">Art. 13. </w:t>
      </w:r>
      <w:r w:rsidRPr="00516038">
        <w:rPr>
          <w:rFonts w:asciiTheme="majorHAnsi" w:hAnsiTheme="majorHAnsi" w:cstheme="majorHAnsi"/>
          <w:szCs w:val="24"/>
        </w:rPr>
        <w:t>A UnDF é composta pelos seguintes Centros:</w:t>
      </w:r>
    </w:p>
    <w:p w14:paraId="66017953" w14:textId="77777777" w:rsidR="00EE3346" w:rsidRPr="00516038" w:rsidRDefault="00EE3346" w:rsidP="00516038">
      <w:pPr>
        <w:tabs>
          <w:tab w:val="clear" w:pos="1615"/>
        </w:tabs>
        <w:autoSpaceDE w:val="0"/>
        <w:autoSpaceDN w:val="0"/>
        <w:adjustRightInd w:val="0"/>
        <w:spacing w:after="0"/>
        <w:ind w:left="2268"/>
        <w:jc w:val="both"/>
        <w:rPr>
          <w:rFonts w:asciiTheme="majorHAnsi" w:hAnsiTheme="majorHAnsi" w:cstheme="majorHAnsi"/>
          <w:szCs w:val="24"/>
        </w:rPr>
      </w:pPr>
      <w:r w:rsidRPr="00516038">
        <w:rPr>
          <w:rFonts w:asciiTheme="majorHAnsi" w:hAnsiTheme="majorHAnsi" w:cstheme="majorHAnsi"/>
          <w:szCs w:val="24"/>
        </w:rPr>
        <w:t>I – Centro de Ciências Humanas, Cidadania e Meio Ambiente;</w:t>
      </w:r>
    </w:p>
    <w:p w14:paraId="6198400A" w14:textId="77777777" w:rsidR="00EE3346" w:rsidRPr="00516038" w:rsidRDefault="00EE3346" w:rsidP="00516038">
      <w:pPr>
        <w:tabs>
          <w:tab w:val="clear" w:pos="1615"/>
        </w:tabs>
        <w:autoSpaceDE w:val="0"/>
        <w:autoSpaceDN w:val="0"/>
        <w:adjustRightInd w:val="0"/>
        <w:spacing w:after="0"/>
        <w:ind w:left="2268"/>
        <w:jc w:val="both"/>
        <w:rPr>
          <w:rFonts w:asciiTheme="majorHAnsi" w:hAnsiTheme="majorHAnsi" w:cstheme="majorHAnsi"/>
          <w:szCs w:val="24"/>
        </w:rPr>
      </w:pPr>
      <w:r w:rsidRPr="00516038">
        <w:rPr>
          <w:rFonts w:asciiTheme="majorHAnsi" w:hAnsiTheme="majorHAnsi" w:cstheme="majorHAnsi"/>
          <w:szCs w:val="24"/>
        </w:rPr>
        <w:t>II – Centro de Educação, Magistério e Artes;</w:t>
      </w:r>
    </w:p>
    <w:p w14:paraId="28DDA623" w14:textId="77777777" w:rsidR="00EE3346" w:rsidRPr="00516038" w:rsidRDefault="00EE3346" w:rsidP="00516038">
      <w:pPr>
        <w:tabs>
          <w:tab w:val="clear" w:pos="1615"/>
        </w:tabs>
        <w:autoSpaceDE w:val="0"/>
        <w:autoSpaceDN w:val="0"/>
        <w:adjustRightInd w:val="0"/>
        <w:spacing w:after="0"/>
        <w:ind w:left="2268"/>
        <w:jc w:val="both"/>
        <w:rPr>
          <w:rFonts w:asciiTheme="majorHAnsi" w:hAnsiTheme="majorHAnsi" w:cstheme="majorHAnsi"/>
          <w:szCs w:val="24"/>
        </w:rPr>
      </w:pPr>
      <w:r w:rsidRPr="00516038">
        <w:rPr>
          <w:rFonts w:asciiTheme="majorHAnsi" w:hAnsiTheme="majorHAnsi" w:cstheme="majorHAnsi"/>
          <w:szCs w:val="24"/>
        </w:rPr>
        <w:t>III – Centro de Engenharias, Tecnologia e Inovação;</w:t>
      </w:r>
    </w:p>
    <w:p w14:paraId="5A3B52C6" w14:textId="1CDC4B8C" w:rsidR="00EE3346" w:rsidRDefault="00EE3346" w:rsidP="00516038">
      <w:pPr>
        <w:tabs>
          <w:tab w:val="clear" w:pos="1615"/>
        </w:tabs>
        <w:ind w:left="2268"/>
        <w:jc w:val="both"/>
        <w:rPr>
          <w:rFonts w:asciiTheme="majorHAnsi" w:hAnsiTheme="majorHAnsi" w:cstheme="majorHAnsi"/>
          <w:sz w:val="20"/>
        </w:rPr>
      </w:pPr>
      <w:r w:rsidRPr="00516038">
        <w:rPr>
          <w:rFonts w:asciiTheme="majorHAnsi" w:hAnsiTheme="majorHAnsi" w:cstheme="majorHAnsi"/>
          <w:szCs w:val="24"/>
        </w:rPr>
        <w:t>IV – Centro de Ciências Biológicas e da Saúde.</w:t>
      </w:r>
      <w:r w:rsidRPr="00516038">
        <w:rPr>
          <w:rFonts w:asciiTheme="majorHAnsi" w:hAnsiTheme="majorHAnsi" w:cstheme="majorHAnsi"/>
          <w:sz w:val="20"/>
        </w:rPr>
        <w:t xml:space="preserve"> </w:t>
      </w:r>
    </w:p>
    <w:p w14:paraId="4A4AEE02" w14:textId="77777777" w:rsidR="0093274A" w:rsidRPr="00516038" w:rsidRDefault="0093274A" w:rsidP="00516038">
      <w:pPr>
        <w:tabs>
          <w:tab w:val="clear" w:pos="1615"/>
        </w:tabs>
        <w:ind w:left="2268"/>
        <w:jc w:val="both"/>
        <w:rPr>
          <w:rFonts w:asciiTheme="majorHAnsi" w:hAnsiTheme="majorHAnsi" w:cstheme="majorHAnsi"/>
          <w:sz w:val="20"/>
        </w:rPr>
      </w:pPr>
    </w:p>
    <w:p w14:paraId="30E34967" w14:textId="5F825571" w:rsidR="00EE3346" w:rsidRPr="0093274A" w:rsidRDefault="00EE3346" w:rsidP="0093274A">
      <w:pPr>
        <w:spacing w:line="360" w:lineRule="auto"/>
        <w:ind w:firstLine="709"/>
        <w:jc w:val="both"/>
        <w:rPr>
          <w:rFonts w:asciiTheme="majorHAnsi" w:hAnsiTheme="majorHAnsi" w:cstheme="majorHAnsi"/>
          <w:sz w:val="24"/>
          <w:szCs w:val="24"/>
        </w:rPr>
      </w:pPr>
      <w:r w:rsidRPr="0093274A">
        <w:rPr>
          <w:rFonts w:asciiTheme="majorHAnsi" w:hAnsiTheme="majorHAnsi" w:cstheme="majorHAnsi"/>
          <w:sz w:val="24"/>
          <w:szCs w:val="24"/>
        </w:rPr>
        <w:t>Pode-se perceber claramente que a ideia contempla todas as áreas da formação superior e absorve as estruturas existentes, com a Escola de Gestão pertencente ao Centro previsto no Inciso I, a Escola do Magistério ao do Inciso II e a Escola da saúde (cursos de Medicina e Enfermagem e pós-graduação da área) ao do Inciso IV, ficando a atual criação de cursos de Engenharia, Tecnologia e Inovação no Centro previsto no Inciso III do Artigo, conforme já estabelecido parcialmente no § 1.o</w:t>
      </w:r>
      <w:r w:rsidRPr="0093274A" w:rsidDel="00B44BB5">
        <w:rPr>
          <w:rFonts w:asciiTheme="majorHAnsi" w:hAnsiTheme="majorHAnsi" w:cstheme="majorHAnsi"/>
          <w:sz w:val="24"/>
          <w:szCs w:val="24"/>
        </w:rPr>
        <w:t xml:space="preserve"> </w:t>
      </w:r>
      <w:r w:rsidRPr="0093274A">
        <w:rPr>
          <w:rFonts w:asciiTheme="majorHAnsi" w:hAnsiTheme="majorHAnsi" w:cstheme="majorHAnsi"/>
          <w:sz w:val="24"/>
          <w:szCs w:val="24"/>
        </w:rPr>
        <w:t xml:space="preserve"> do Art. 19:</w:t>
      </w:r>
    </w:p>
    <w:p w14:paraId="4C7A3C15" w14:textId="77777777" w:rsidR="0093274A" w:rsidRDefault="0093274A" w:rsidP="00516038">
      <w:pPr>
        <w:tabs>
          <w:tab w:val="clear" w:pos="1615"/>
        </w:tabs>
        <w:autoSpaceDE w:val="0"/>
        <w:autoSpaceDN w:val="0"/>
        <w:adjustRightInd w:val="0"/>
        <w:spacing w:after="0"/>
        <w:ind w:left="2268" w:right="849"/>
        <w:jc w:val="both"/>
        <w:rPr>
          <w:rFonts w:asciiTheme="majorHAnsi" w:hAnsiTheme="majorHAnsi" w:cstheme="majorHAnsi"/>
          <w:b/>
          <w:bCs/>
        </w:rPr>
      </w:pPr>
    </w:p>
    <w:p w14:paraId="1A83B53C" w14:textId="103E98D7" w:rsidR="00EE3346" w:rsidRPr="00516038" w:rsidRDefault="00EE3346" w:rsidP="00516038">
      <w:pPr>
        <w:tabs>
          <w:tab w:val="clear" w:pos="1615"/>
        </w:tabs>
        <w:autoSpaceDE w:val="0"/>
        <w:autoSpaceDN w:val="0"/>
        <w:adjustRightInd w:val="0"/>
        <w:spacing w:after="0"/>
        <w:ind w:left="2268" w:right="849"/>
        <w:jc w:val="both"/>
        <w:rPr>
          <w:rFonts w:asciiTheme="majorHAnsi" w:hAnsiTheme="majorHAnsi" w:cstheme="majorHAnsi"/>
        </w:rPr>
      </w:pPr>
      <w:r w:rsidRPr="00516038">
        <w:rPr>
          <w:rFonts w:asciiTheme="majorHAnsi" w:hAnsiTheme="majorHAnsi" w:cstheme="majorHAnsi"/>
          <w:b/>
          <w:bCs/>
        </w:rPr>
        <w:t xml:space="preserve">Art. 19. </w:t>
      </w:r>
      <w:r w:rsidRPr="00516038">
        <w:rPr>
          <w:rFonts w:asciiTheme="majorHAnsi" w:hAnsiTheme="majorHAnsi" w:cstheme="majorHAnsi"/>
        </w:rPr>
        <w:t>Os órgãos setoriais são compostos por Escolas Superiores e Institutos Superiores.</w:t>
      </w:r>
    </w:p>
    <w:p w14:paraId="49CC76D8" w14:textId="77777777" w:rsidR="00EE3346" w:rsidRPr="00516038" w:rsidRDefault="00EE3346" w:rsidP="00516038">
      <w:pPr>
        <w:tabs>
          <w:tab w:val="clear" w:pos="1615"/>
        </w:tabs>
        <w:autoSpaceDE w:val="0"/>
        <w:autoSpaceDN w:val="0"/>
        <w:adjustRightInd w:val="0"/>
        <w:spacing w:after="0"/>
        <w:ind w:left="2268" w:right="849"/>
        <w:jc w:val="both"/>
        <w:rPr>
          <w:rFonts w:asciiTheme="majorHAnsi" w:hAnsiTheme="majorHAnsi" w:cstheme="majorHAnsi"/>
        </w:rPr>
      </w:pPr>
      <w:r w:rsidRPr="00516038">
        <w:rPr>
          <w:rFonts w:asciiTheme="majorHAnsi" w:hAnsiTheme="majorHAnsi" w:cstheme="majorHAnsi"/>
        </w:rPr>
        <w:t>§ 1.</w:t>
      </w:r>
      <w:r w:rsidRPr="00516038">
        <w:rPr>
          <w:rFonts w:asciiTheme="majorHAnsi" w:hAnsiTheme="majorHAnsi" w:cstheme="majorHAnsi"/>
          <w:vertAlign w:val="superscript"/>
        </w:rPr>
        <w:t>o</w:t>
      </w:r>
      <w:r w:rsidRPr="00516038" w:rsidDel="00B44BB5">
        <w:rPr>
          <w:rFonts w:asciiTheme="majorHAnsi" w:hAnsiTheme="majorHAnsi" w:cstheme="majorHAnsi"/>
        </w:rPr>
        <w:t xml:space="preserve"> </w:t>
      </w:r>
      <w:r w:rsidRPr="00516038">
        <w:rPr>
          <w:rFonts w:asciiTheme="majorHAnsi" w:hAnsiTheme="majorHAnsi" w:cstheme="majorHAnsi"/>
        </w:rPr>
        <w:t>As Escolas Superiores credenciadas até o ato de publicação deste Estatuto e que compõem o Sistema de Educação Superior Pública do Distrito Federal, nos termos da Resolução nº 02/2017 — SEEDF/CEDF, autorizadas pelo Conselho de Educação do Distrito Federal (CEDF), serão</w:t>
      </w:r>
    </w:p>
    <w:p w14:paraId="43F81136" w14:textId="77777777" w:rsidR="00EE3346" w:rsidRPr="00516038" w:rsidRDefault="00EE3346" w:rsidP="00516038">
      <w:pPr>
        <w:tabs>
          <w:tab w:val="clear" w:pos="1615"/>
        </w:tabs>
        <w:autoSpaceDE w:val="0"/>
        <w:autoSpaceDN w:val="0"/>
        <w:adjustRightInd w:val="0"/>
        <w:spacing w:after="0"/>
        <w:ind w:left="2268" w:right="849"/>
        <w:jc w:val="both"/>
        <w:rPr>
          <w:rFonts w:asciiTheme="majorHAnsi" w:hAnsiTheme="majorHAnsi" w:cstheme="majorHAnsi"/>
        </w:rPr>
      </w:pPr>
      <w:r w:rsidRPr="00516038">
        <w:rPr>
          <w:rFonts w:asciiTheme="majorHAnsi" w:hAnsiTheme="majorHAnsi" w:cstheme="majorHAnsi"/>
        </w:rPr>
        <w:t>automaticamente integradas ao Centros da maneira que se segue:</w:t>
      </w:r>
    </w:p>
    <w:p w14:paraId="1EB92F2B" w14:textId="77777777" w:rsidR="00EE3346" w:rsidRPr="00516038" w:rsidRDefault="00EE3346" w:rsidP="00516038">
      <w:pPr>
        <w:tabs>
          <w:tab w:val="clear" w:pos="1615"/>
        </w:tabs>
        <w:autoSpaceDE w:val="0"/>
        <w:autoSpaceDN w:val="0"/>
        <w:adjustRightInd w:val="0"/>
        <w:spacing w:after="0"/>
        <w:ind w:left="2268" w:right="849"/>
        <w:jc w:val="both"/>
        <w:rPr>
          <w:rFonts w:asciiTheme="majorHAnsi" w:hAnsiTheme="majorHAnsi" w:cstheme="majorHAnsi"/>
        </w:rPr>
      </w:pPr>
      <w:r w:rsidRPr="00516038">
        <w:rPr>
          <w:rFonts w:asciiTheme="majorHAnsi" w:hAnsiTheme="majorHAnsi" w:cstheme="majorHAnsi"/>
        </w:rPr>
        <w:t>I — A Escola Superior de Ciências da Saúde (ESCS) vincula-se ao Centro de Ciências Biológicas e da Saúde;</w:t>
      </w:r>
    </w:p>
    <w:p w14:paraId="41534356" w14:textId="77777777" w:rsidR="00EE3346" w:rsidRPr="00516038" w:rsidRDefault="00EE3346" w:rsidP="00516038">
      <w:pPr>
        <w:tabs>
          <w:tab w:val="clear" w:pos="1615"/>
        </w:tabs>
        <w:autoSpaceDE w:val="0"/>
        <w:autoSpaceDN w:val="0"/>
        <w:adjustRightInd w:val="0"/>
        <w:spacing w:after="0"/>
        <w:ind w:left="2268" w:right="849"/>
        <w:jc w:val="both"/>
        <w:rPr>
          <w:rFonts w:asciiTheme="majorHAnsi" w:hAnsiTheme="majorHAnsi" w:cstheme="majorHAnsi"/>
        </w:rPr>
      </w:pPr>
      <w:r w:rsidRPr="00516038">
        <w:rPr>
          <w:rFonts w:asciiTheme="majorHAnsi" w:hAnsiTheme="majorHAnsi" w:cstheme="majorHAnsi"/>
        </w:rPr>
        <w:t>II — A Escola Superior de Gestão vincula-se ao Centro de Ciências Humanas, Cidadania e Meio Ambiente;</w:t>
      </w:r>
    </w:p>
    <w:p w14:paraId="324B155B" w14:textId="77777777" w:rsidR="00EE3346" w:rsidRPr="00516038" w:rsidRDefault="00EE3346" w:rsidP="00516038">
      <w:pPr>
        <w:tabs>
          <w:tab w:val="clear" w:pos="1615"/>
        </w:tabs>
        <w:autoSpaceDE w:val="0"/>
        <w:autoSpaceDN w:val="0"/>
        <w:adjustRightInd w:val="0"/>
        <w:spacing w:after="0"/>
        <w:ind w:left="2268" w:right="849"/>
        <w:jc w:val="both"/>
        <w:rPr>
          <w:rFonts w:asciiTheme="majorHAnsi" w:hAnsiTheme="majorHAnsi" w:cstheme="majorHAnsi"/>
        </w:rPr>
      </w:pPr>
      <w:r w:rsidRPr="00516038">
        <w:rPr>
          <w:rFonts w:asciiTheme="majorHAnsi" w:hAnsiTheme="majorHAnsi" w:cstheme="majorHAnsi"/>
        </w:rPr>
        <w:t>§ 2.</w:t>
      </w:r>
      <w:r w:rsidRPr="00516038">
        <w:rPr>
          <w:rFonts w:asciiTheme="majorHAnsi" w:hAnsiTheme="majorHAnsi" w:cstheme="majorHAnsi"/>
          <w:vertAlign w:val="superscript"/>
        </w:rPr>
        <w:t>o</w:t>
      </w:r>
      <w:r w:rsidRPr="00516038" w:rsidDel="00B44BB5">
        <w:rPr>
          <w:rFonts w:asciiTheme="majorHAnsi" w:hAnsiTheme="majorHAnsi" w:cstheme="majorHAnsi"/>
        </w:rPr>
        <w:t xml:space="preserve"> </w:t>
      </w:r>
      <w:r w:rsidRPr="00516038">
        <w:rPr>
          <w:rFonts w:asciiTheme="majorHAnsi" w:hAnsiTheme="majorHAnsi" w:cstheme="majorHAnsi"/>
        </w:rPr>
        <w:t>A Universidade poderá criar novos órgãos setoriais, assim como fundir, extinguir ou alterar os já existentes por meio de aprovação do Conselho Universitário.</w:t>
      </w:r>
    </w:p>
    <w:p w14:paraId="057F191B" w14:textId="085FD284" w:rsidR="00EE3346" w:rsidRDefault="00EE3346" w:rsidP="00516038">
      <w:pPr>
        <w:tabs>
          <w:tab w:val="clear" w:pos="1615"/>
        </w:tabs>
        <w:autoSpaceDE w:val="0"/>
        <w:autoSpaceDN w:val="0"/>
        <w:adjustRightInd w:val="0"/>
        <w:ind w:left="2268" w:right="851"/>
        <w:jc w:val="both"/>
        <w:rPr>
          <w:rFonts w:asciiTheme="majorHAnsi" w:hAnsiTheme="majorHAnsi" w:cstheme="majorHAnsi"/>
        </w:rPr>
      </w:pPr>
      <w:r w:rsidRPr="00516038">
        <w:rPr>
          <w:rFonts w:asciiTheme="majorHAnsi" w:hAnsiTheme="majorHAnsi" w:cstheme="majorHAnsi"/>
        </w:rPr>
        <w:t>§ 3.</w:t>
      </w:r>
      <w:r w:rsidRPr="00516038">
        <w:rPr>
          <w:rFonts w:asciiTheme="majorHAnsi" w:hAnsiTheme="majorHAnsi" w:cstheme="majorHAnsi"/>
          <w:vertAlign w:val="superscript"/>
        </w:rPr>
        <w:t>o</w:t>
      </w:r>
      <w:r w:rsidRPr="00516038" w:rsidDel="00B44BB5">
        <w:rPr>
          <w:rFonts w:asciiTheme="majorHAnsi" w:hAnsiTheme="majorHAnsi" w:cstheme="majorHAnsi"/>
        </w:rPr>
        <w:t xml:space="preserve"> </w:t>
      </w:r>
      <w:r w:rsidRPr="00516038">
        <w:rPr>
          <w:rFonts w:asciiTheme="majorHAnsi" w:hAnsiTheme="majorHAnsi" w:cstheme="majorHAnsi"/>
        </w:rPr>
        <w:t>A integração de novos órgãos setoriais aos Centros será feita por afinidade com as respectivas áreas de conhecimento, mediante aprovação do Conselho Universitário. (UnDF, 2021).</w:t>
      </w:r>
    </w:p>
    <w:p w14:paraId="5F1BC01B" w14:textId="77777777" w:rsidR="0093274A" w:rsidRPr="00516038" w:rsidRDefault="0093274A" w:rsidP="00516038">
      <w:pPr>
        <w:tabs>
          <w:tab w:val="clear" w:pos="1615"/>
        </w:tabs>
        <w:autoSpaceDE w:val="0"/>
        <w:autoSpaceDN w:val="0"/>
        <w:adjustRightInd w:val="0"/>
        <w:ind w:left="2268" w:right="851"/>
        <w:jc w:val="both"/>
        <w:rPr>
          <w:rFonts w:asciiTheme="majorHAnsi" w:hAnsiTheme="majorHAnsi" w:cstheme="majorHAnsi"/>
        </w:rPr>
      </w:pPr>
    </w:p>
    <w:p w14:paraId="77F2DA80" w14:textId="2614AB2A" w:rsidR="00EE3346" w:rsidRPr="0093274A" w:rsidRDefault="00EE3346" w:rsidP="0093274A">
      <w:pPr>
        <w:spacing w:line="360" w:lineRule="auto"/>
        <w:ind w:firstLine="709"/>
        <w:jc w:val="both"/>
        <w:rPr>
          <w:rFonts w:asciiTheme="majorHAnsi" w:hAnsiTheme="majorHAnsi" w:cstheme="majorHAnsi"/>
          <w:sz w:val="24"/>
          <w:szCs w:val="24"/>
        </w:rPr>
      </w:pPr>
      <w:r w:rsidRPr="0093274A">
        <w:rPr>
          <w:rFonts w:asciiTheme="majorHAnsi" w:hAnsiTheme="majorHAnsi" w:cstheme="majorHAnsi"/>
          <w:sz w:val="24"/>
          <w:szCs w:val="24"/>
        </w:rPr>
        <w:t xml:space="preserve"> Há intersecções importantes entre os centros, se pensarmos que a área de ciências biológicas e meio ambiente, por exemplo, estão alocadas em diferentes centros, assim como artes e ciências humanas. O magistério permeia, de certa forma, todos os demais centros, já que a formação de professores para a educação básica abrange conteúdos de todas as áreas. Essa inter-relação poderá permitir uma interação coordenada entre dois ou mais centros para a oferta de cursos e outras ações da Universidade o que pode ser um ponto bastante positivo para um tratamento transdisciplinar do conhecimento, o que, de certa forma, também já está previsto no Art. 14 da proposta do Estatuto. Entretanto, ela pode ser um entrave para se garantir uma maior integração e unicidade em algumas formações, o que deve ser motivo de atenção especial por parte dos gestores da UnDF. Por exemplo, a criatividade e a inovação, que normalmente se associam às artes e às tecnologias, são habilidades que poderiam ser desenvolvidas conjuntamente, mas que podem, por estarem alocadas em centros diferentes, formar grupos distintos e mais focados nos respectivos centros em que se encontram, dificultando essa integração. </w:t>
      </w:r>
    </w:p>
    <w:p w14:paraId="3AB55B75" w14:textId="4246A599" w:rsidR="00EE3346" w:rsidRDefault="00EE3346" w:rsidP="0093274A">
      <w:pPr>
        <w:spacing w:line="360" w:lineRule="auto"/>
        <w:ind w:firstLine="709"/>
        <w:jc w:val="both"/>
        <w:rPr>
          <w:rFonts w:asciiTheme="majorHAnsi" w:hAnsiTheme="majorHAnsi" w:cstheme="majorHAnsi"/>
          <w:sz w:val="24"/>
          <w:szCs w:val="24"/>
        </w:rPr>
      </w:pPr>
      <w:r w:rsidRPr="0093274A">
        <w:rPr>
          <w:rFonts w:asciiTheme="majorHAnsi" w:hAnsiTheme="majorHAnsi" w:cstheme="majorHAnsi"/>
          <w:sz w:val="24"/>
          <w:szCs w:val="24"/>
        </w:rPr>
        <w:t>Para a primeira oferta da UnDF, espera-se a criação de cursos ligados ao Centro de Engenharias, Tecnologias e Inovação.</w:t>
      </w:r>
    </w:p>
    <w:p w14:paraId="2B4BB400" w14:textId="77777777" w:rsidR="0093274A" w:rsidRPr="0093274A" w:rsidRDefault="0093274A" w:rsidP="0093274A">
      <w:pPr>
        <w:spacing w:line="360" w:lineRule="auto"/>
        <w:ind w:firstLine="709"/>
        <w:jc w:val="both"/>
        <w:rPr>
          <w:rFonts w:asciiTheme="majorHAnsi" w:hAnsiTheme="majorHAnsi" w:cstheme="majorHAnsi"/>
          <w:sz w:val="24"/>
          <w:szCs w:val="24"/>
        </w:rPr>
      </w:pPr>
    </w:p>
    <w:p w14:paraId="5A827430" w14:textId="2F609218" w:rsidR="00EE3346" w:rsidRPr="00516038" w:rsidRDefault="00EE3346" w:rsidP="0093274A">
      <w:pPr>
        <w:pStyle w:val="Ttulo2"/>
        <w:numPr>
          <w:ilvl w:val="1"/>
          <w:numId w:val="1"/>
        </w:numPr>
        <w:tabs>
          <w:tab w:val="clear" w:pos="1615"/>
        </w:tabs>
        <w:spacing w:before="0" w:after="0" w:line="360" w:lineRule="auto"/>
        <w:ind w:left="993"/>
        <w:rPr>
          <w:rFonts w:asciiTheme="majorHAnsi" w:hAnsiTheme="majorHAnsi" w:cstheme="majorHAnsi"/>
        </w:rPr>
      </w:pPr>
      <w:bookmarkStart w:id="18" w:name="_Toc87430853"/>
      <w:bookmarkStart w:id="19" w:name="_Toc102134968"/>
      <w:r w:rsidRPr="00516038">
        <w:rPr>
          <w:rFonts w:asciiTheme="majorHAnsi" w:hAnsiTheme="majorHAnsi" w:cstheme="majorHAnsi"/>
        </w:rPr>
        <w:t>CONSIDERAÇÕES PRELIMINARES SOBRE O INGRESSO</w:t>
      </w:r>
      <w:bookmarkEnd w:id="18"/>
      <w:bookmarkEnd w:id="19"/>
    </w:p>
    <w:p w14:paraId="59B049BA" w14:textId="6F9E18C5" w:rsidR="00EE3346" w:rsidRPr="00516038" w:rsidRDefault="0093274A" w:rsidP="0093274A">
      <w:pPr>
        <w:pStyle w:val="Ttulo3"/>
        <w:numPr>
          <w:ilvl w:val="2"/>
          <w:numId w:val="1"/>
        </w:numPr>
        <w:ind w:left="709" w:hanging="709"/>
        <w:rPr>
          <w:rFonts w:asciiTheme="majorHAnsi" w:hAnsiTheme="majorHAnsi" w:cstheme="majorHAnsi"/>
        </w:rPr>
      </w:pPr>
      <w:bookmarkStart w:id="20" w:name="_Toc102134969"/>
      <w:r w:rsidRPr="00516038">
        <w:rPr>
          <w:rFonts w:asciiTheme="majorHAnsi" w:hAnsiTheme="majorHAnsi" w:cstheme="majorHAnsi"/>
        </w:rPr>
        <w:t>PROCESSO SELETIVO</w:t>
      </w:r>
      <w:bookmarkEnd w:id="20"/>
    </w:p>
    <w:p w14:paraId="5B093AD0" w14:textId="05444D09" w:rsidR="00EE3346" w:rsidRPr="0093274A" w:rsidRDefault="00EE3346" w:rsidP="0093274A">
      <w:pPr>
        <w:spacing w:line="360" w:lineRule="auto"/>
        <w:ind w:firstLine="709"/>
        <w:jc w:val="both"/>
        <w:rPr>
          <w:rFonts w:asciiTheme="majorHAnsi" w:hAnsiTheme="majorHAnsi" w:cstheme="majorHAnsi"/>
          <w:sz w:val="24"/>
          <w:szCs w:val="24"/>
        </w:rPr>
      </w:pPr>
      <w:r w:rsidRPr="0093274A">
        <w:rPr>
          <w:rFonts w:asciiTheme="majorHAnsi" w:hAnsiTheme="majorHAnsi" w:cstheme="majorHAnsi"/>
          <w:sz w:val="24"/>
          <w:szCs w:val="24"/>
        </w:rPr>
        <w:t xml:space="preserve">A única exigência legal com relação ao ingresso em cursos de graduação é a existência de processo seletivo, o que é determinado pelo Inciso II do Art. 44 da LDB (BRASIL, 1996). </w:t>
      </w:r>
    </w:p>
    <w:p w14:paraId="0C221A07" w14:textId="284C0081" w:rsidR="00EE3346" w:rsidRPr="0093274A" w:rsidRDefault="00EE3346" w:rsidP="0093274A">
      <w:pPr>
        <w:spacing w:line="360" w:lineRule="auto"/>
        <w:ind w:firstLine="709"/>
        <w:jc w:val="both"/>
        <w:rPr>
          <w:rFonts w:asciiTheme="majorHAnsi" w:hAnsiTheme="majorHAnsi" w:cstheme="majorHAnsi"/>
          <w:sz w:val="24"/>
          <w:szCs w:val="24"/>
        </w:rPr>
      </w:pPr>
      <w:r w:rsidRPr="0093274A">
        <w:rPr>
          <w:rFonts w:asciiTheme="majorHAnsi" w:hAnsiTheme="majorHAnsi" w:cstheme="majorHAnsi"/>
          <w:sz w:val="24"/>
          <w:szCs w:val="24"/>
        </w:rPr>
        <w:t>Conforme já salientado, o ingresso nos cursos de Medicina e Enfermagem se dá a partir do aproveitamento individual do desempenho no Exame Nacional do Ensino Médio (ENEM), pelo Sistema de Seleção Unificado (SiSU) desenvolvido pelo MEC/INEP, com cota de 40% das vagas para estudantes oriundos de escolas públicas do Distrito Federal segundo consta na apresentação institucional (ESCS, 2021). Entretanto, no Edital de adesão ao SiSU e nas normas do processo seletivo de 2021 consta, s.m.j, que as vagas relativas às cotas são destinadas a estudantes que realizaram integralmente a educação básica em escolas públicas do sistema educacional brasileiro, sem explicitar o Distrito Federal, o que pode tornar o público beneficiado muito diferente daquele previsto na apresentação (ESCS, 2021).</w:t>
      </w:r>
    </w:p>
    <w:p w14:paraId="134D3791" w14:textId="06BC221C" w:rsidR="00EE3346" w:rsidRPr="0093274A" w:rsidRDefault="00EE3346" w:rsidP="0093274A">
      <w:pPr>
        <w:spacing w:line="360" w:lineRule="auto"/>
        <w:ind w:firstLine="709"/>
        <w:jc w:val="both"/>
        <w:rPr>
          <w:rFonts w:asciiTheme="majorHAnsi" w:hAnsiTheme="majorHAnsi" w:cstheme="majorHAnsi"/>
          <w:sz w:val="24"/>
          <w:szCs w:val="24"/>
        </w:rPr>
      </w:pPr>
      <w:r w:rsidRPr="0093274A">
        <w:rPr>
          <w:rFonts w:asciiTheme="majorHAnsi" w:hAnsiTheme="majorHAnsi" w:cstheme="majorHAnsi"/>
          <w:sz w:val="24"/>
          <w:szCs w:val="24"/>
        </w:rPr>
        <w:t>O SiSU deixa a cargo de cada instituição as regras para preenchimento de vagas e, por esse motivo, salienta que os alunos devem consultar os sítios institucionais e as disposições específicas de cada escola antes de realizar a inscrição. Na ESCS, além da reserva de 40% de vagas para escolas públicas, foi estabelecido valor mínimo de desempenho global de 500 pontos e pelo menos 300 pontos em cada uma das componentes que formam a prova, à exceção da redação, onde é exigido um mínimo de 350 pontos. Do mesmo modo, são estabelecidos pesos diferenciados para cada prova: Redação e Ciências Humanas e suas Tecnologias têm peso 2; Matemática e suas Tecnologias, peso 3; Ciências da Natureza e suas Tecnologias e Linguagens, Códigos e suas Tecnologias, peso 4.</w:t>
      </w:r>
    </w:p>
    <w:p w14:paraId="145971EC" w14:textId="77777777" w:rsidR="00EE3346" w:rsidRPr="0093274A" w:rsidRDefault="00EE3346" w:rsidP="0093274A">
      <w:pPr>
        <w:spacing w:line="360" w:lineRule="auto"/>
        <w:ind w:firstLine="709"/>
        <w:jc w:val="both"/>
        <w:rPr>
          <w:rFonts w:asciiTheme="majorHAnsi" w:hAnsiTheme="majorHAnsi" w:cstheme="majorHAnsi"/>
          <w:sz w:val="24"/>
          <w:szCs w:val="24"/>
        </w:rPr>
      </w:pPr>
      <w:r w:rsidRPr="0093274A">
        <w:rPr>
          <w:rFonts w:asciiTheme="majorHAnsi" w:hAnsiTheme="majorHAnsi" w:cstheme="majorHAnsi"/>
          <w:sz w:val="24"/>
          <w:szCs w:val="24"/>
        </w:rPr>
        <w:t>Essa forma de tratamento para a ESCS, agora pertencente à UnDF, poderá ser utilizada para os novos cursos propostos, respeitando-se a ideia de que a área pode contemplar com notas mínimas e pesos diferenciados as componentes das provas do ENEM.</w:t>
      </w:r>
    </w:p>
    <w:p w14:paraId="46741FB5" w14:textId="7A753AD0" w:rsidR="00EE3346" w:rsidRPr="0093274A" w:rsidRDefault="00EE3346" w:rsidP="0093274A">
      <w:pPr>
        <w:spacing w:line="360" w:lineRule="auto"/>
        <w:ind w:firstLine="709"/>
        <w:jc w:val="both"/>
        <w:rPr>
          <w:rFonts w:asciiTheme="majorHAnsi" w:hAnsiTheme="majorHAnsi" w:cstheme="majorHAnsi"/>
          <w:sz w:val="24"/>
          <w:szCs w:val="24"/>
        </w:rPr>
      </w:pPr>
      <w:r w:rsidRPr="0093274A">
        <w:rPr>
          <w:rFonts w:asciiTheme="majorHAnsi" w:hAnsiTheme="majorHAnsi" w:cstheme="majorHAnsi"/>
          <w:sz w:val="24"/>
          <w:szCs w:val="24"/>
        </w:rPr>
        <w:t>Em 2020.1 e 2021.1, as notas de corte obtidas pela ESCS para os cursos ofertados está registrada abaixo. Cabe salientar que em 2020, as cotas foram ofertadas para oriundos de escolas públicas da educação básica do sistema público do Distrito Federal. Como efeito comparativo, foram adicionadas as maiores e as menores notas de corte de IES de todo o país, apenas para o ano de 2021, já que a variação delas foi inferior a 5% (Tabela 1.1).</w:t>
      </w:r>
    </w:p>
    <w:p w14:paraId="6FF14CB3" w14:textId="77777777" w:rsidR="00EE3346" w:rsidRPr="00516038" w:rsidRDefault="00EE3346" w:rsidP="00516038">
      <w:pPr>
        <w:tabs>
          <w:tab w:val="clear" w:pos="1615"/>
        </w:tabs>
        <w:jc w:val="both"/>
        <w:rPr>
          <w:rFonts w:asciiTheme="majorHAnsi" w:hAnsiTheme="majorHAnsi" w:cstheme="majorHAnsi"/>
        </w:rPr>
      </w:pPr>
    </w:p>
    <w:p w14:paraId="1E8446CA" w14:textId="77777777" w:rsidR="00EE3346" w:rsidRPr="0093274A" w:rsidRDefault="00EE3346" w:rsidP="008A364C">
      <w:pPr>
        <w:pStyle w:val="Legenda"/>
      </w:pPr>
      <w:r w:rsidRPr="0093274A">
        <w:t xml:space="preserve">Tabela </w:t>
      </w:r>
      <w:r w:rsidRPr="0093274A">
        <w:rPr>
          <w:noProof/>
        </w:rPr>
        <w:fldChar w:fldCharType="begin"/>
      </w:r>
      <w:r w:rsidRPr="0093274A">
        <w:rPr>
          <w:noProof/>
        </w:rPr>
        <w:instrText xml:space="preserve"> SEQ Tabela \* ARABIC </w:instrText>
      </w:r>
      <w:r w:rsidRPr="0093274A">
        <w:rPr>
          <w:noProof/>
        </w:rPr>
        <w:fldChar w:fldCharType="separate"/>
      </w:r>
      <w:r w:rsidRPr="0093274A">
        <w:rPr>
          <w:noProof/>
        </w:rPr>
        <w:t>1</w:t>
      </w:r>
      <w:r w:rsidRPr="0093274A">
        <w:rPr>
          <w:noProof/>
        </w:rPr>
        <w:fldChar w:fldCharType="end"/>
      </w:r>
      <w:r w:rsidRPr="0093274A">
        <w:rPr>
          <w:noProof/>
        </w:rPr>
        <w:t>.1</w:t>
      </w:r>
      <w:r w:rsidRPr="0093274A">
        <w:t xml:space="preserve"> – Notas de corte para os cursos de Medicina e Enfermagem da ESCS em 2020 e 2021</w:t>
      </w:r>
    </w:p>
    <w:tbl>
      <w:tblPr>
        <w:tblStyle w:val="TabeladeGrade41"/>
        <w:tblW w:w="8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8"/>
        <w:gridCol w:w="1510"/>
        <w:gridCol w:w="805"/>
        <w:gridCol w:w="1334"/>
        <w:gridCol w:w="885"/>
        <w:gridCol w:w="885"/>
        <w:gridCol w:w="885"/>
        <w:gridCol w:w="885"/>
      </w:tblGrid>
      <w:tr w:rsidR="00EE3346" w:rsidRPr="0093274A" w14:paraId="6013921B" w14:textId="77777777" w:rsidTr="009327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2" w:type="dxa"/>
            <w:vMerge w:val="restart"/>
            <w:tcBorders>
              <w:top w:val="none" w:sz="0" w:space="0" w:color="auto"/>
              <w:left w:val="none" w:sz="0" w:space="0" w:color="auto"/>
              <w:bottom w:val="none" w:sz="0" w:space="0" w:color="auto"/>
              <w:right w:val="none" w:sz="0" w:space="0" w:color="auto"/>
            </w:tcBorders>
          </w:tcPr>
          <w:p w14:paraId="539C6609" w14:textId="77777777" w:rsidR="00EE3346" w:rsidRPr="0093274A" w:rsidRDefault="00EE3346" w:rsidP="0093274A">
            <w:pPr>
              <w:pStyle w:val="SemEspaamento"/>
              <w:tabs>
                <w:tab w:val="clear" w:pos="1615"/>
              </w:tabs>
              <w:spacing w:line="360" w:lineRule="auto"/>
              <w:jc w:val="left"/>
              <w:rPr>
                <w:rFonts w:asciiTheme="majorHAnsi" w:hAnsiTheme="majorHAnsi" w:cstheme="majorHAnsi"/>
                <w:sz w:val="24"/>
                <w:szCs w:val="24"/>
              </w:rPr>
            </w:pPr>
            <w:r w:rsidRPr="0093274A">
              <w:rPr>
                <w:rFonts w:asciiTheme="majorHAnsi" w:hAnsiTheme="majorHAnsi" w:cstheme="majorHAnsi"/>
                <w:sz w:val="24"/>
                <w:szCs w:val="24"/>
              </w:rPr>
              <w:t>Curso</w:t>
            </w:r>
          </w:p>
        </w:tc>
        <w:tc>
          <w:tcPr>
            <w:tcW w:w="1552" w:type="dxa"/>
            <w:vMerge w:val="restart"/>
            <w:tcBorders>
              <w:top w:val="none" w:sz="0" w:space="0" w:color="auto"/>
              <w:left w:val="none" w:sz="0" w:space="0" w:color="auto"/>
              <w:bottom w:val="none" w:sz="0" w:space="0" w:color="auto"/>
              <w:right w:val="none" w:sz="0" w:space="0" w:color="auto"/>
            </w:tcBorders>
          </w:tcPr>
          <w:p w14:paraId="32033904" w14:textId="77777777" w:rsidR="00EE3346" w:rsidRPr="0093274A" w:rsidRDefault="00EE3346" w:rsidP="0093274A">
            <w:pPr>
              <w:pStyle w:val="SemEspaamento"/>
              <w:tabs>
                <w:tab w:val="clear" w:pos="1615"/>
              </w:tabs>
              <w:spacing w:line="360" w:lineRule="auto"/>
              <w:jc w:val="lef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Tipo</w:t>
            </w:r>
          </w:p>
        </w:tc>
        <w:tc>
          <w:tcPr>
            <w:tcW w:w="657" w:type="dxa"/>
            <w:tcBorders>
              <w:top w:val="none" w:sz="0" w:space="0" w:color="auto"/>
              <w:left w:val="none" w:sz="0" w:space="0" w:color="auto"/>
              <w:bottom w:val="none" w:sz="0" w:space="0" w:color="auto"/>
              <w:right w:val="none" w:sz="0" w:space="0" w:color="auto"/>
            </w:tcBorders>
          </w:tcPr>
          <w:p w14:paraId="40AF2ED0" w14:textId="77777777" w:rsidR="00EE3346" w:rsidRPr="0093274A" w:rsidRDefault="00EE3346" w:rsidP="0093274A">
            <w:pPr>
              <w:pStyle w:val="SemEspaamento"/>
              <w:tabs>
                <w:tab w:val="clear" w:pos="1615"/>
              </w:tabs>
              <w:spacing w:line="36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Vagas</w:t>
            </w:r>
          </w:p>
        </w:tc>
        <w:tc>
          <w:tcPr>
            <w:tcW w:w="1611" w:type="dxa"/>
            <w:tcBorders>
              <w:top w:val="none" w:sz="0" w:space="0" w:color="auto"/>
              <w:left w:val="none" w:sz="0" w:space="0" w:color="auto"/>
              <w:bottom w:val="none" w:sz="0" w:space="0" w:color="auto"/>
              <w:right w:val="none" w:sz="0" w:space="0" w:color="auto"/>
            </w:tcBorders>
          </w:tcPr>
          <w:p w14:paraId="1BA3ABAB" w14:textId="77777777" w:rsidR="00EE3346" w:rsidRPr="0093274A" w:rsidRDefault="00EE3346" w:rsidP="0093274A">
            <w:pPr>
              <w:pStyle w:val="SemEspaamento"/>
              <w:tabs>
                <w:tab w:val="clear" w:pos="1615"/>
              </w:tabs>
              <w:spacing w:line="36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Candidatos</w:t>
            </w:r>
          </w:p>
        </w:tc>
        <w:tc>
          <w:tcPr>
            <w:tcW w:w="1611" w:type="dxa"/>
            <w:gridSpan w:val="2"/>
            <w:tcBorders>
              <w:top w:val="none" w:sz="0" w:space="0" w:color="auto"/>
              <w:left w:val="none" w:sz="0" w:space="0" w:color="auto"/>
              <w:bottom w:val="none" w:sz="0" w:space="0" w:color="auto"/>
              <w:right w:val="none" w:sz="0" w:space="0" w:color="auto"/>
            </w:tcBorders>
          </w:tcPr>
          <w:p w14:paraId="70FD8B3F" w14:textId="77777777" w:rsidR="00EE3346" w:rsidRPr="0093274A" w:rsidRDefault="00EE3346" w:rsidP="0093274A">
            <w:pPr>
              <w:pStyle w:val="SemEspaamento"/>
              <w:tabs>
                <w:tab w:val="clear" w:pos="1615"/>
              </w:tabs>
              <w:spacing w:line="36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Nota de Corte ESCS</w:t>
            </w:r>
          </w:p>
        </w:tc>
        <w:tc>
          <w:tcPr>
            <w:tcW w:w="1649" w:type="dxa"/>
            <w:gridSpan w:val="2"/>
            <w:tcBorders>
              <w:top w:val="none" w:sz="0" w:space="0" w:color="auto"/>
              <w:left w:val="none" w:sz="0" w:space="0" w:color="auto"/>
              <w:bottom w:val="none" w:sz="0" w:space="0" w:color="auto"/>
              <w:right w:val="none" w:sz="0" w:space="0" w:color="auto"/>
            </w:tcBorders>
          </w:tcPr>
          <w:p w14:paraId="49D3DEB5" w14:textId="77777777" w:rsidR="00EE3346" w:rsidRPr="0093274A" w:rsidRDefault="00EE3346" w:rsidP="0093274A">
            <w:pPr>
              <w:pStyle w:val="SemEspaamento"/>
              <w:tabs>
                <w:tab w:val="clear" w:pos="1615"/>
              </w:tabs>
              <w:spacing w:line="360" w:lineRule="auto"/>
              <w:jc w:val="lef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Nota de Corte Brasil</w:t>
            </w:r>
            <w:r w:rsidRPr="0093274A">
              <w:rPr>
                <w:rFonts w:asciiTheme="majorHAnsi" w:hAnsiTheme="majorHAnsi" w:cstheme="majorHAnsi"/>
                <w:sz w:val="24"/>
                <w:szCs w:val="24"/>
                <w:vertAlign w:val="superscript"/>
              </w:rPr>
              <w:t>1</w:t>
            </w:r>
          </w:p>
        </w:tc>
      </w:tr>
      <w:tr w:rsidR="00EE3346" w:rsidRPr="0093274A" w14:paraId="6D71BC51" w14:textId="77777777" w:rsidTr="009327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2" w:type="dxa"/>
            <w:vMerge/>
          </w:tcPr>
          <w:p w14:paraId="69D8F32B" w14:textId="77777777" w:rsidR="00EE3346" w:rsidRPr="0093274A" w:rsidRDefault="00EE3346" w:rsidP="0093274A">
            <w:pPr>
              <w:pStyle w:val="SemEspaamento"/>
              <w:tabs>
                <w:tab w:val="clear" w:pos="1615"/>
              </w:tabs>
              <w:spacing w:line="360" w:lineRule="auto"/>
              <w:jc w:val="left"/>
              <w:rPr>
                <w:rFonts w:asciiTheme="majorHAnsi" w:hAnsiTheme="majorHAnsi" w:cstheme="majorHAnsi"/>
                <w:sz w:val="24"/>
                <w:szCs w:val="24"/>
              </w:rPr>
            </w:pPr>
          </w:p>
        </w:tc>
        <w:tc>
          <w:tcPr>
            <w:tcW w:w="1552" w:type="dxa"/>
            <w:vMerge/>
          </w:tcPr>
          <w:p w14:paraId="42F59EE6" w14:textId="77777777" w:rsidR="00EE3346" w:rsidRPr="0093274A" w:rsidRDefault="00EE3346" w:rsidP="0093274A">
            <w:pPr>
              <w:pStyle w:val="SemEspaamento"/>
              <w:tabs>
                <w:tab w:val="clear" w:pos="1615"/>
              </w:tabs>
              <w:spacing w:line="36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p>
        </w:tc>
        <w:tc>
          <w:tcPr>
            <w:tcW w:w="657" w:type="dxa"/>
          </w:tcPr>
          <w:p w14:paraId="63DDB512" w14:textId="77777777" w:rsidR="00EE3346" w:rsidRPr="0093274A" w:rsidRDefault="00EE3346" w:rsidP="0093274A">
            <w:pPr>
              <w:pStyle w:val="SemEspaamento"/>
              <w:tabs>
                <w:tab w:val="clear" w:pos="1615"/>
              </w:tabs>
              <w:spacing w:line="36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ESCS</w:t>
            </w:r>
          </w:p>
        </w:tc>
        <w:tc>
          <w:tcPr>
            <w:tcW w:w="1611" w:type="dxa"/>
          </w:tcPr>
          <w:p w14:paraId="4B78535F" w14:textId="77777777" w:rsidR="00EE3346" w:rsidRPr="0093274A" w:rsidRDefault="00EE3346" w:rsidP="0093274A">
            <w:pPr>
              <w:pStyle w:val="SemEspaamento"/>
              <w:tabs>
                <w:tab w:val="clear" w:pos="1615"/>
              </w:tabs>
              <w:spacing w:line="36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ESCS</w:t>
            </w:r>
          </w:p>
        </w:tc>
        <w:tc>
          <w:tcPr>
            <w:tcW w:w="685" w:type="dxa"/>
          </w:tcPr>
          <w:p w14:paraId="62234990" w14:textId="77777777" w:rsidR="00EE3346" w:rsidRPr="0093274A" w:rsidRDefault="00EE3346" w:rsidP="0093274A">
            <w:pPr>
              <w:pStyle w:val="SemEspaamento"/>
              <w:tabs>
                <w:tab w:val="clear" w:pos="1615"/>
              </w:tabs>
              <w:spacing w:line="36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2020</w:t>
            </w:r>
          </w:p>
        </w:tc>
        <w:tc>
          <w:tcPr>
            <w:tcW w:w="926" w:type="dxa"/>
          </w:tcPr>
          <w:p w14:paraId="7ECA0249" w14:textId="77777777" w:rsidR="00EE3346" w:rsidRPr="0093274A" w:rsidRDefault="00EE3346" w:rsidP="0093274A">
            <w:pPr>
              <w:pStyle w:val="SemEspaamento"/>
              <w:tabs>
                <w:tab w:val="clear" w:pos="1615"/>
              </w:tabs>
              <w:spacing w:line="36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2021</w:t>
            </w:r>
          </w:p>
        </w:tc>
        <w:tc>
          <w:tcPr>
            <w:tcW w:w="850" w:type="dxa"/>
          </w:tcPr>
          <w:p w14:paraId="26C696B8" w14:textId="77777777" w:rsidR="00EE3346" w:rsidRPr="0093274A" w:rsidRDefault="00EE3346" w:rsidP="0093274A">
            <w:pPr>
              <w:pStyle w:val="SemEspaamento"/>
              <w:tabs>
                <w:tab w:val="clear" w:pos="1615"/>
              </w:tabs>
              <w:spacing w:line="36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Maior</w:t>
            </w:r>
          </w:p>
        </w:tc>
        <w:tc>
          <w:tcPr>
            <w:tcW w:w="799" w:type="dxa"/>
          </w:tcPr>
          <w:p w14:paraId="2B90CF69" w14:textId="77777777" w:rsidR="00EE3346" w:rsidRPr="0093274A" w:rsidRDefault="00EE3346" w:rsidP="0093274A">
            <w:pPr>
              <w:pStyle w:val="SemEspaamento"/>
              <w:tabs>
                <w:tab w:val="clear" w:pos="1615"/>
              </w:tabs>
              <w:spacing w:line="36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Menor</w:t>
            </w:r>
          </w:p>
        </w:tc>
      </w:tr>
      <w:tr w:rsidR="00EE3346" w:rsidRPr="0093274A" w14:paraId="48CCC84D" w14:textId="77777777" w:rsidTr="0093274A">
        <w:tc>
          <w:tcPr>
            <w:cnfStyle w:val="001000000000" w:firstRow="0" w:lastRow="0" w:firstColumn="1" w:lastColumn="0" w:oddVBand="0" w:evenVBand="0" w:oddHBand="0" w:evenHBand="0" w:firstRowFirstColumn="0" w:firstRowLastColumn="0" w:lastRowFirstColumn="0" w:lastRowLastColumn="0"/>
            <w:tcW w:w="1142" w:type="dxa"/>
            <w:vMerge w:val="restart"/>
          </w:tcPr>
          <w:p w14:paraId="3F527313" w14:textId="77777777" w:rsidR="00EE3346" w:rsidRPr="0093274A" w:rsidRDefault="00EE3346" w:rsidP="0093274A">
            <w:pPr>
              <w:pStyle w:val="SemEspaamento"/>
              <w:tabs>
                <w:tab w:val="clear" w:pos="1615"/>
              </w:tabs>
              <w:spacing w:line="360" w:lineRule="auto"/>
              <w:jc w:val="left"/>
              <w:rPr>
                <w:rFonts w:asciiTheme="majorHAnsi" w:hAnsiTheme="majorHAnsi" w:cstheme="majorHAnsi"/>
                <w:sz w:val="24"/>
                <w:szCs w:val="24"/>
              </w:rPr>
            </w:pPr>
            <w:r w:rsidRPr="0093274A">
              <w:rPr>
                <w:rFonts w:asciiTheme="majorHAnsi" w:hAnsiTheme="majorHAnsi" w:cstheme="majorHAnsi"/>
                <w:sz w:val="24"/>
                <w:szCs w:val="24"/>
              </w:rPr>
              <w:t>Medicina</w:t>
            </w:r>
          </w:p>
        </w:tc>
        <w:tc>
          <w:tcPr>
            <w:tcW w:w="1552" w:type="dxa"/>
          </w:tcPr>
          <w:p w14:paraId="59157F49" w14:textId="77777777" w:rsidR="00EE3346" w:rsidRPr="0093274A" w:rsidRDefault="00EE3346" w:rsidP="0093274A">
            <w:pPr>
              <w:pStyle w:val="SemEspaamento"/>
              <w:tabs>
                <w:tab w:val="clear" w:pos="1615"/>
              </w:tabs>
              <w:spacing w:line="36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Ampla Concorrência</w:t>
            </w:r>
          </w:p>
        </w:tc>
        <w:tc>
          <w:tcPr>
            <w:tcW w:w="657" w:type="dxa"/>
          </w:tcPr>
          <w:p w14:paraId="28C0F620" w14:textId="77777777" w:rsidR="00EE3346" w:rsidRPr="0093274A" w:rsidRDefault="00EE3346" w:rsidP="0093274A">
            <w:pPr>
              <w:pStyle w:val="SemEspaamento"/>
              <w:tabs>
                <w:tab w:val="clear" w:pos="1615"/>
              </w:tabs>
              <w:spacing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48</w:t>
            </w:r>
          </w:p>
        </w:tc>
        <w:tc>
          <w:tcPr>
            <w:tcW w:w="1611" w:type="dxa"/>
          </w:tcPr>
          <w:p w14:paraId="0DAF04F7" w14:textId="77777777" w:rsidR="00EE3346" w:rsidRPr="0093274A" w:rsidRDefault="00EE3346" w:rsidP="0093274A">
            <w:pPr>
              <w:pStyle w:val="SemEspaamento"/>
              <w:tabs>
                <w:tab w:val="clear" w:pos="1615"/>
              </w:tabs>
              <w:spacing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4.723</w:t>
            </w:r>
          </w:p>
        </w:tc>
        <w:tc>
          <w:tcPr>
            <w:tcW w:w="685" w:type="dxa"/>
          </w:tcPr>
          <w:p w14:paraId="0E5E3B52" w14:textId="77777777" w:rsidR="00EE3346" w:rsidRPr="0093274A" w:rsidRDefault="00EE3346" w:rsidP="0093274A">
            <w:pPr>
              <w:pStyle w:val="SemEspaamento"/>
              <w:tabs>
                <w:tab w:val="clear" w:pos="1615"/>
              </w:tabs>
              <w:spacing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772,34</w:t>
            </w:r>
          </w:p>
        </w:tc>
        <w:tc>
          <w:tcPr>
            <w:tcW w:w="926" w:type="dxa"/>
          </w:tcPr>
          <w:p w14:paraId="5016661F" w14:textId="77777777" w:rsidR="00EE3346" w:rsidRPr="0093274A" w:rsidRDefault="00EE3346" w:rsidP="0093274A">
            <w:pPr>
              <w:pStyle w:val="SemEspaamento"/>
              <w:tabs>
                <w:tab w:val="clear" w:pos="1615"/>
              </w:tabs>
              <w:spacing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786,18</w:t>
            </w:r>
          </w:p>
        </w:tc>
        <w:tc>
          <w:tcPr>
            <w:tcW w:w="850" w:type="dxa"/>
            <w:vMerge w:val="restart"/>
          </w:tcPr>
          <w:p w14:paraId="065888FC" w14:textId="77777777" w:rsidR="00EE3346" w:rsidRPr="0093274A" w:rsidRDefault="00EE3346" w:rsidP="0093274A">
            <w:pPr>
              <w:pStyle w:val="SemEspaamento"/>
              <w:tabs>
                <w:tab w:val="clear" w:pos="1615"/>
              </w:tabs>
              <w:spacing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952,51</w:t>
            </w:r>
          </w:p>
        </w:tc>
        <w:tc>
          <w:tcPr>
            <w:tcW w:w="799" w:type="dxa"/>
            <w:vMerge w:val="restart"/>
          </w:tcPr>
          <w:p w14:paraId="0D8BD73C" w14:textId="77777777" w:rsidR="00EE3346" w:rsidRPr="0093274A" w:rsidRDefault="00EE3346" w:rsidP="0093274A">
            <w:pPr>
              <w:pStyle w:val="SemEspaamento"/>
              <w:tabs>
                <w:tab w:val="clear" w:pos="1615"/>
              </w:tabs>
              <w:spacing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629,52</w:t>
            </w:r>
          </w:p>
        </w:tc>
      </w:tr>
      <w:tr w:rsidR="00EE3346" w:rsidRPr="0093274A" w14:paraId="78684DA8" w14:textId="77777777" w:rsidTr="009327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2" w:type="dxa"/>
            <w:vMerge/>
          </w:tcPr>
          <w:p w14:paraId="732D11F4" w14:textId="77777777" w:rsidR="00EE3346" w:rsidRPr="0093274A" w:rsidRDefault="00EE3346" w:rsidP="0093274A">
            <w:pPr>
              <w:pStyle w:val="SemEspaamento"/>
              <w:tabs>
                <w:tab w:val="clear" w:pos="1615"/>
              </w:tabs>
              <w:spacing w:line="360" w:lineRule="auto"/>
              <w:jc w:val="left"/>
              <w:rPr>
                <w:rFonts w:asciiTheme="majorHAnsi" w:hAnsiTheme="majorHAnsi" w:cstheme="majorHAnsi"/>
                <w:sz w:val="24"/>
                <w:szCs w:val="24"/>
              </w:rPr>
            </w:pPr>
          </w:p>
        </w:tc>
        <w:tc>
          <w:tcPr>
            <w:tcW w:w="1552" w:type="dxa"/>
          </w:tcPr>
          <w:p w14:paraId="2316B1A2" w14:textId="77777777" w:rsidR="00EE3346" w:rsidRPr="0093274A" w:rsidRDefault="00EE3346" w:rsidP="0093274A">
            <w:pPr>
              <w:pStyle w:val="SemEspaamento"/>
              <w:tabs>
                <w:tab w:val="clear" w:pos="1615"/>
              </w:tabs>
              <w:spacing w:line="36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Cota Escola Pública</w:t>
            </w:r>
          </w:p>
        </w:tc>
        <w:tc>
          <w:tcPr>
            <w:tcW w:w="657" w:type="dxa"/>
          </w:tcPr>
          <w:p w14:paraId="38A94E39" w14:textId="77777777" w:rsidR="00EE3346" w:rsidRPr="0093274A" w:rsidRDefault="00EE3346" w:rsidP="0093274A">
            <w:pPr>
              <w:pStyle w:val="SemEspaamento"/>
              <w:tabs>
                <w:tab w:val="clear" w:pos="1615"/>
              </w:tabs>
              <w:spacing w:line="36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32</w:t>
            </w:r>
          </w:p>
        </w:tc>
        <w:tc>
          <w:tcPr>
            <w:tcW w:w="1611" w:type="dxa"/>
          </w:tcPr>
          <w:p w14:paraId="522AA74A" w14:textId="77777777" w:rsidR="00EE3346" w:rsidRPr="0093274A" w:rsidRDefault="00EE3346" w:rsidP="0093274A">
            <w:pPr>
              <w:pStyle w:val="SemEspaamento"/>
              <w:tabs>
                <w:tab w:val="clear" w:pos="1615"/>
              </w:tabs>
              <w:spacing w:line="36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3.346</w:t>
            </w:r>
          </w:p>
        </w:tc>
        <w:tc>
          <w:tcPr>
            <w:tcW w:w="685" w:type="dxa"/>
          </w:tcPr>
          <w:p w14:paraId="49609FC5" w14:textId="77777777" w:rsidR="00EE3346" w:rsidRPr="0093274A" w:rsidRDefault="00EE3346" w:rsidP="0093274A">
            <w:pPr>
              <w:pStyle w:val="SemEspaamento"/>
              <w:tabs>
                <w:tab w:val="clear" w:pos="1615"/>
              </w:tabs>
              <w:spacing w:line="36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703,02</w:t>
            </w:r>
          </w:p>
        </w:tc>
        <w:tc>
          <w:tcPr>
            <w:tcW w:w="926" w:type="dxa"/>
          </w:tcPr>
          <w:p w14:paraId="1ADE12E6" w14:textId="77777777" w:rsidR="00EE3346" w:rsidRPr="0093274A" w:rsidRDefault="00EE3346" w:rsidP="0093274A">
            <w:pPr>
              <w:pStyle w:val="SemEspaamento"/>
              <w:tabs>
                <w:tab w:val="clear" w:pos="1615"/>
              </w:tabs>
              <w:spacing w:line="36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754,99</w:t>
            </w:r>
          </w:p>
        </w:tc>
        <w:tc>
          <w:tcPr>
            <w:tcW w:w="850" w:type="dxa"/>
            <w:vMerge/>
          </w:tcPr>
          <w:p w14:paraId="5487BC39" w14:textId="77777777" w:rsidR="00EE3346" w:rsidRPr="0093274A" w:rsidRDefault="00EE3346" w:rsidP="0093274A">
            <w:pPr>
              <w:pStyle w:val="SemEspaamento"/>
              <w:tabs>
                <w:tab w:val="clear" w:pos="1615"/>
              </w:tabs>
              <w:spacing w:line="36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p>
        </w:tc>
        <w:tc>
          <w:tcPr>
            <w:tcW w:w="799" w:type="dxa"/>
            <w:vMerge/>
          </w:tcPr>
          <w:p w14:paraId="764CB929" w14:textId="77777777" w:rsidR="00EE3346" w:rsidRPr="0093274A" w:rsidRDefault="00EE3346" w:rsidP="0093274A">
            <w:pPr>
              <w:pStyle w:val="SemEspaamento"/>
              <w:tabs>
                <w:tab w:val="clear" w:pos="1615"/>
              </w:tabs>
              <w:spacing w:line="36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p>
        </w:tc>
      </w:tr>
      <w:tr w:rsidR="00EE3346" w:rsidRPr="0093274A" w14:paraId="1AEDDDEE" w14:textId="77777777" w:rsidTr="0093274A">
        <w:tc>
          <w:tcPr>
            <w:cnfStyle w:val="001000000000" w:firstRow="0" w:lastRow="0" w:firstColumn="1" w:lastColumn="0" w:oddVBand="0" w:evenVBand="0" w:oddHBand="0" w:evenHBand="0" w:firstRowFirstColumn="0" w:firstRowLastColumn="0" w:lastRowFirstColumn="0" w:lastRowLastColumn="0"/>
            <w:tcW w:w="1142" w:type="dxa"/>
            <w:vMerge w:val="restart"/>
          </w:tcPr>
          <w:p w14:paraId="5478184C" w14:textId="77777777" w:rsidR="00EE3346" w:rsidRPr="0093274A" w:rsidRDefault="00EE3346" w:rsidP="0093274A">
            <w:pPr>
              <w:pStyle w:val="SemEspaamento"/>
              <w:tabs>
                <w:tab w:val="clear" w:pos="1615"/>
              </w:tabs>
              <w:spacing w:line="360" w:lineRule="auto"/>
              <w:jc w:val="left"/>
              <w:rPr>
                <w:rFonts w:asciiTheme="majorHAnsi" w:hAnsiTheme="majorHAnsi" w:cstheme="majorHAnsi"/>
                <w:sz w:val="24"/>
                <w:szCs w:val="24"/>
              </w:rPr>
            </w:pPr>
            <w:r w:rsidRPr="0093274A">
              <w:rPr>
                <w:rFonts w:asciiTheme="majorHAnsi" w:hAnsiTheme="majorHAnsi" w:cstheme="majorHAnsi"/>
                <w:sz w:val="24"/>
                <w:szCs w:val="24"/>
              </w:rPr>
              <w:t>Enfermagem</w:t>
            </w:r>
          </w:p>
        </w:tc>
        <w:tc>
          <w:tcPr>
            <w:tcW w:w="1552" w:type="dxa"/>
          </w:tcPr>
          <w:p w14:paraId="1E48F59A" w14:textId="77777777" w:rsidR="00EE3346" w:rsidRPr="0093274A" w:rsidRDefault="00EE3346" w:rsidP="0093274A">
            <w:pPr>
              <w:pStyle w:val="SemEspaamento"/>
              <w:tabs>
                <w:tab w:val="clear" w:pos="1615"/>
              </w:tabs>
              <w:spacing w:line="36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Ampla Concorrência</w:t>
            </w:r>
          </w:p>
        </w:tc>
        <w:tc>
          <w:tcPr>
            <w:tcW w:w="657" w:type="dxa"/>
          </w:tcPr>
          <w:p w14:paraId="7002CE30" w14:textId="77777777" w:rsidR="00EE3346" w:rsidRPr="0093274A" w:rsidRDefault="00EE3346" w:rsidP="0093274A">
            <w:pPr>
              <w:pStyle w:val="SemEspaamento"/>
              <w:tabs>
                <w:tab w:val="clear" w:pos="1615"/>
              </w:tabs>
              <w:spacing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48</w:t>
            </w:r>
          </w:p>
        </w:tc>
        <w:tc>
          <w:tcPr>
            <w:tcW w:w="1611" w:type="dxa"/>
          </w:tcPr>
          <w:p w14:paraId="36ACFEF3" w14:textId="77777777" w:rsidR="00EE3346" w:rsidRPr="0093274A" w:rsidRDefault="00EE3346" w:rsidP="0093274A">
            <w:pPr>
              <w:pStyle w:val="SemEspaamento"/>
              <w:tabs>
                <w:tab w:val="clear" w:pos="1615"/>
              </w:tabs>
              <w:spacing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1.906</w:t>
            </w:r>
          </w:p>
        </w:tc>
        <w:tc>
          <w:tcPr>
            <w:tcW w:w="685" w:type="dxa"/>
          </w:tcPr>
          <w:p w14:paraId="25BD7F54" w14:textId="77777777" w:rsidR="00EE3346" w:rsidRPr="0093274A" w:rsidRDefault="00EE3346" w:rsidP="0093274A">
            <w:pPr>
              <w:pStyle w:val="SemEspaamento"/>
              <w:tabs>
                <w:tab w:val="clear" w:pos="1615"/>
              </w:tabs>
              <w:spacing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695,30</w:t>
            </w:r>
          </w:p>
        </w:tc>
        <w:tc>
          <w:tcPr>
            <w:tcW w:w="926" w:type="dxa"/>
          </w:tcPr>
          <w:p w14:paraId="71CA8531" w14:textId="77777777" w:rsidR="00EE3346" w:rsidRPr="0093274A" w:rsidRDefault="00EE3346" w:rsidP="0093274A">
            <w:pPr>
              <w:pStyle w:val="SemEspaamento"/>
              <w:tabs>
                <w:tab w:val="clear" w:pos="1615"/>
              </w:tabs>
              <w:spacing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699,53</w:t>
            </w:r>
          </w:p>
        </w:tc>
        <w:tc>
          <w:tcPr>
            <w:tcW w:w="850" w:type="dxa"/>
            <w:vMerge w:val="restart"/>
          </w:tcPr>
          <w:p w14:paraId="0164942D" w14:textId="77777777" w:rsidR="00EE3346" w:rsidRPr="0093274A" w:rsidRDefault="00EE3346" w:rsidP="0093274A">
            <w:pPr>
              <w:pStyle w:val="SemEspaamento"/>
              <w:tabs>
                <w:tab w:val="clear" w:pos="1615"/>
              </w:tabs>
              <w:spacing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835,18</w:t>
            </w:r>
          </w:p>
        </w:tc>
        <w:tc>
          <w:tcPr>
            <w:tcW w:w="799" w:type="dxa"/>
            <w:vMerge w:val="restart"/>
          </w:tcPr>
          <w:p w14:paraId="0A954111" w14:textId="77777777" w:rsidR="00EE3346" w:rsidRPr="0093274A" w:rsidRDefault="00EE3346" w:rsidP="0093274A">
            <w:pPr>
              <w:pStyle w:val="SemEspaamento"/>
              <w:tabs>
                <w:tab w:val="clear" w:pos="1615"/>
              </w:tabs>
              <w:spacing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397,42</w:t>
            </w:r>
          </w:p>
        </w:tc>
      </w:tr>
      <w:tr w:rsidR="00EE3346" w:rsidRPr="0093274A" w14:paraId="5832B9B8" w14:textId="77777777" w:rsidTr="009327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2" w:type="dxa"/>
            <w:vMerge/>
          </w:tcPr>
          <w:p w14:paraId="3267ADA5" w14:textId="77777777" w:rsidR="00EE3346" w:rsidRPr="0093274A" w:rsidRDefault="00EE3346" w:rsidP="0093274A">
            <w:pPr>
              <w:pStyle w:val="SemEspaamento"/>
              <w:tabs>
                <w:tab w:val="clear" w:pos="1615"/>
              </w:tabs>
              <w:spacing w:line="360" w:lineRule="auto"/>
              <w:jc w:val="left"/>
              <w:rPr>
                <w:rFonts w:asciiTheme="majorHAnsi" w:hAnsiTheme="majorHAnsi" w:cstheme="majorHAnsi"/>
                <w:sz w:val="24"/>
                <w:szCs w:val="24"/>
              </w:rPr>
            </w:pPr>
          </w:p>
        </w:tc>
        <w:tc>
          <w:tcPr>
            <w:tcW w:w="1552" w:type="dxa"/>
          </w:tcPr>
          <w:p w14:paraId="4E7D5B49" w14:textId="77777777" w:rsidR="00EE3346" w:rsidRPr="0093274A" w:rsidRDefault="00EE3346" w:rsidP="0093274A">
            <w:pPr>
              <w:pStyle w:val="SemEspaamento"/>
              <w:tabs>
                <w:tab w:val="clear" w:pos="1615"/>
              </w:tabs>
              <w:spacing w:line="36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Cota Escola Pública</w:t>
            </w:r>
          </w:p>
        </w:tc>
        <w:tc>
          <w:tcPr>
            <w:tcW w:w="657" w:type="dxa"/>
          </w:tcPr>
          <w:p w14:paraId="3A23D487" w14:textId="77777777" w:rsidR="00EE3346" w:rsidRPr="0093274A" w:rsidRDefault="00EE3346" w:rsidP="0093274A">
            <w:pPr>
              <w:pStyle w:val="SemEspaamento"/>
              <w:tabs>
                <w:tab w:val="clear" w:pos="1615"/>
              </w:tabs>
              <w:spacing w:line="36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32</w:t>
            </w:r>
          </w:p>
        </w:tc>
        <w:tc>
          <w:tcPr>
            <w:tcW w:w="1611" w:type="dxa"/>
          </w:tcPr>
          <w:p w14:paraId="0B9D087A" w14:textId="77777777" w:rsidR="00EE3346" w:rsidRPr="0093274A" w:rsidRDefault="00EE3346" w:rsidP="0093274A">
            <w:pPr>
              <w:pStyle w:val="SemEspaamento"/>
              <w:tabs>
                <w:tab w:val="clear" w:pos="1615"/>
              </w:tabs>
              <w:spacing w:line="36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2.116</w:t>
            </w:r>
          </w:p>
        </w:tc>
        <w:tc>
          <w:tcPr>
            <w:tcW w:w="685" w:type="dxa"/>
          </w:tcPr>
          <w:p w14:paraId="225AE419" w14:textId="77777777" w:rsidR="00EE3346" w:rsidRPr="0093274A" w:rsidRDefault="00EE3346" w:rsidP="0093274A">
            <w:pPr>
              <w:pStyle w:val="SemEspaamento"/>
              <w:tabs>
                <w:tab w:val="clear" w:pos="1615"/>
              </w:tabs>
              <w:spacing w:line="36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651,10</w:t>
            </w:r>
          </w:p>
        </w:tc>
        <w:tc>
          <w:tcPr>
            <w:tcW w:w="926" w:type="dxa"/>
          </w:tcPr>
          <w:p w14:paraId="13ED5A44" w14:textId="77777777" w:rsidR="00EE3346" w:rsidRPr="0093274A" w:rsidRDefault="00EE3346" w:rsidP="0093274A">
            <w:pPr>
              <w:pStyle w:val="SemEspaamento"/>
              <w:tabs>
                <w:tab w:val="clear" w:pos="1615"/>
              </w:tabs>
              <w:spacing w:line="36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r w:rsidRPr="0093274A">
              <w:rPr>
                <w:rFonts w:asciiTheme="majorHAnsi" w:hAnsiTheme="majorHAnsi" w:cstheme="majorHAnsi"/>
                <w:sz w:val="24"/>
                <w:szCs w:val="24"/>
              </w:rPr>
              <w:t>665,01</w:t>
            </w:r>
          </w:p>
        </w:tc>
        <w:tc>
          <w:tcPr>
            <w:tcW w:w="850" w:type="dxa"/>
            <w:vMerge/>
          </w:tcPr>
          <w:p w14:paraId="13ACAB9D" w14:textId="77777777" w:rsidR="00EE3346" w:rsidRPr="0093274A" w:rsidRDefault="00EE3346" w:rsidP="0093274A">
            <w:pPr>
              <w:pStyle w:val="SemEspaamento"/>
              <w:tabs>
                <w:tab w:val="clear" w:pos="1615"/>
              </w:tabs>
              <w:spacing w:line="36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p>
        </w:tc>
        <w:tc>
          <w:tcPr>
            <w:tcW w:w="799" w:type="dxa"/>
            <w:vMerge/>
          </w:tcPr>
          <w:p w14:paraId="62404F65" w14:textId="77777777" w:rsidR="00EE3346" w:rsidRPr="0093274A" w:rsidRDefault="00EE3346" w:rsidP="0093274A">
            <w:pPr>
              <w:pStyle w:val="SemEspaamento"/>
              <w:tabs>
                <w:tab w:val="clear" w:pos="1615"/>
              </w:tabs>
              <w:spacing w:line="36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4"/>
                <w:szCs w:val="24"/>
              </w:rPr>
            </w:pPr>
          </w:p>
        </w:tc>
      </w:tr>
    </w:tbl>
    <w:p w14:paraId="2D0BB47E" w14:textId="77777777" w:rsidR="00EE3346" w:rsidRPr="0093274A" w:rsidRDefault="00EE3346" w:rsidP="0093274A">
      <w:pPr>
        <w:tabs>
          <w:tab w:val="clear" w:pos="1615"/>
        </w:tabs>
        <w:rPr>
          <w:rFonts w:asciiTheme="majorHAnsi" w:hAnsiTheme="majorHAnsi" w:cstheme="majorHAnsi"/>
          <w:sz w:val="16"/>
        </w:rPr>
      </w:pPr>
      <w:r w:rsidRPr="0093274A">
        <w:rPr>
          <w:rFonts w:asciiTheme="majorHAnsi" w:hAnsiTheme="majorHAnsi" w:cstheme="majorHAnsi"/>
          <w:sz w:val="16"/>
        </w:rPr>
        <w:t>1.Nota de corte do curso, nas diferentes IES participantes.  Elaborada pelo autor a partir de dados obtidos na ESCS (2021) e pelo SiSU.</w:t>
      </w:r>
    </w:p>
    <w:p w14:paraId="351807C9" w14:textId="77777777" w:rsidR="00EE3346" w:rsidRPr="00516038" w:rsidRDefault="00EE3346" w:rsidP="00516038">
      <w:pPr>
        <w:tabs>
          <w:tab w:val="clear" w:pos="1615"/>
        </w:tabs>
        <w:jc w:val="both"/>
        <w:rPr>
          <w:rFonts w:asciiTheme="majorHAnsi" w:hAnsiTheme="majorHAnsi" w:cstheme="majorHAnsi"/>
        </w:rPr>
      </w:pPr>
    </w:p>
    <w:p w14:paraId="75EF84D4" w14:textId="7E5E2D51" w:rsidR="00EE3346" w:rsidRPr="0093274A" w:rsidRDefault="00EE3346" w:rsidP="0093274A">
      <w:pPr>
        <w:spacing w:line="360" w:lineRule="auto"/>
        <w:ind w:firstLine="709"/>
        <w:jc w:val="both"/>
        <w:rPr>
          <w:rFonts w:asciiTheme="majorHAnsi" w:hAnsiTheme="majorHAnsi" w:cstheme="majorHAnsi"/>
          <w:sz w:val="24"/>
          <w:szCs w:val="24"/>
        </w:rPr>
      </w:pPr>
      <w:r w:rsidRPr="0093274A">
        <w:rPr>
          <w:rFonts w:asciiTheme="majorHAnsi" w:hAnsiTheme="majorHAnsi" w:cstheme="majorHAnsi"/>
          <w:sz w:val="24"/>
          <w:szCs w:val="24"/>
        </w:rPr>
        <w:t>A destacar, também, que as maiores notas de corte retratam, na verdade, casos de IES que atribuem um percentual de bonificação para estudantes pertencentes à região ou a estado em que a instituição atua. Esse valor, para as notas apresentadas, teve um acréscimo da ordem de 20%. Percebe-se, ainda, um ligeiro aumento da nota de corte da cota para escola pública que, possivelmente, é consequência do que consta na documentação pesquisada e se refere à mudança de abrangência distrital para nacional (Tabela 1).</w:t>
      </w:r>
    </w:p>
    <w:p w14:paraId="00C7BEEB" w14:textId="7DFD664C" w:rsidR="00EE3346" w:rsidRPr="0093274A" w:rsidRDefault="00EE3346" w:rsidP="0093274A">
      <w:pPr>
        <w:spacing w:line="360" w:lineRule="auto"/>
        <w:ind w:firstLine="709"/>
        <w:jc w:val="both"/>
        <w:rPr>
          <w:rFonts w:asciiTheme="majorHAnsi" w:hAnsiTheme="majorHAnsi" w:cstheme="majorHAnsi"/>
          <w:sz w:val="24"/>
          <w:szCs w:val="24"/>
        </w:rPr>
      </w:pPr>
      <w:r w:rsidRPr="0093274A">
        <w:rPr>
          <w:rFonts w:asciiTheme="majorHAnsi" w:hAnsiTheme="majorHAnsi" w:cstheme="majorHAnsi"/>
          <w:sz w:val="24"/>
          <w:szCs w:val="24"/>
        </w:rPr>
        <w:t>Utilizando Ciências da Computação e Engenharia da Computação previstos como possíveis cursos a serem implantados na UnDF, uma consulta aos resultados do SiSU de 2021.1 mostra que as notas máximas de corte destas carreiras foram de 848,63 e 872,96 respectivamente e, portanto, numericamente no mesmo intervalo das notas dos cursos de Enfermagem e Medicina. As notas mínimas, normalmente associadas a candidatos que se beneficiam de algum tipo de cota, foram de 311,5 e 409,7 respectivamente, apenas um pouco mais baixas do que das carreiras da saúde citadas. Essa similitude, em um primeiro momento, possibilita que haja aproveitamento do ENEM com pontuação similar à atualmente utilizada, mas com pesos diferenciados para a respectiva área.</w:t>
      </w:r>
    </w:p>
    <w:p w14:paraId="09F3E144" w14:textId="7D4A64C5" w:rsidR="00EE3346" w:rsidRPr="0093274A" w:rsidRDefault="00EE3346" w:rsidP="0093274A">
      <w:pPr>
        <w:spacing w:line="360" w:lineRule="auto"/>
        <w:ind w:firstLine="709"/>
        <w:jc w:val="both"/>
        <w:rPr>
          <w:rFonts w:asciiTheme="majorHAnsi" w:hAnsiTheme="majorHAnsi" w:cstheme="majorHAnsi"/>
          <w:sz w:val="24"/>
          <w:szCs w:val="24"/>
        </w:rPr>
      </w:pPr>
      <w:r w:rsidRPr="0093274A">
        <w:rPr>
          <w:rFonts w:asciiTheme="majorHAnsi" w:hAnsiTheme="majorHAnsi" w:cstheme="majorHAnsi"/>
          <w:sz w:val="24"/>
          <w:szCs w:val="24"/>
        </w:rPr>
        <w:t>Caso a ideia seja a de manter o uso do SiSU, deveria haver uma reflexão por parte da UnDF visando à adequação e o aprimoramento do processo, conforme os itens listados abaixo:</w:t>
      </w:r>
    </w:p>
    <w:p w14:paraId="6C15A167" w14:textId="77777777" w:rsidR="00EE3346" w:rsidRPr="0093274A" w:rsidRDefault="00EE3346" w:rsidP="0093274A">
      <w:pPr>
        <w:pStyle w:val="PargrafodaLista"/>
        <w:numPr>
          <w:ilvl w:val="0"/>
          <w:numId w:val="13"/>
        </w:numPr>
        <w:tabs>
          <w:tab w:val="clear" w:pos="1615"/>
        </w:tabs>
        <w:spacing w:line="360" w:lineRule="auto"/>
        <w:ind w:left="714" w:hanging="357"/>
        <w:contextualSpacing w:val="0"/>
        <w:jc w:val="both"/>
        <w:rPr>
          <w:rFonts w:asciiTheme="majorHAnsi" w:hAnsiTheme="majorHAnsi" w:cstheme="majorHAnsi"/>
          <w:sz w:val="24"/>
          <w:szCs w:val="24"/>
        </w:rPr>
      </w:pPr>
      <w:r w:rsidRPr="0093274A">
        <w:rPr>
          <w:rFonts w:asciiTheme="majorHAnsi" w:hAnsiTheme="majorHAnsi" w:cstheme="majorHAnsi"/>
          <w:sz w:val="24"/>
          <w:szCs w:val="24"/>
        </w:rPr>
        <w:t>Uma das possibilidades levaria em conta apenas a adequação dos pesos das notas. Cursos da área Biológica/Saúde: manutenção dos pesos atualmente praticados; cursos da área de Tecnologia e Exatas: alteração para peso 4 na componente de Matemática e suas Tecnologias, e peso 3 para Ciências da Natureza e suas Tecnologias; curso da área de Humanidades: alteração para peso 2 na componente de Matemática e suas Tecnologias e de Ciências da Natureza e suas Tecnologias, e para peso 4 na componente de Ciências Humanas e suas Tecnologias.</w:t>
      </w:r>
    </w:p>
    <w:p w14:paraId="14DDDE80" w14:textId="77777777" w:rsidR="00EE3346" w:rsidRPr="0093274A" w:rsidRDefault="00EE3346" w:rsidP="0093274A">
      <w:pPr>
        <w:pStyle w:val="PargrafodaLista"/>
        <w:numPr>
          <w:ilvl w:val="0"/>
          <w:numId w:val="13"/>
        </w:numPr>
        <w:tabs>
          <w:tab w:val="clear" w:pos="1615"/>
        </w:tabs>
        <w:spacing w:line="360" w:lineRule="auto"/>
        <w:ind w:left="714" w:hanging="357"/>
        <w:contextualSpacing w:val="0"/>
        <w:jc w:val="both"/>
        <w:rPr>
          <w:rFonts w:asciiTheme="majorHAnsi" w:hAnsiTheme="majorHAnsi" w:cstheme="majorHAnsi"/>
          <w:sz w:val="24"/>
          <w:szCs w:val="24"/>
        </w:rPr>
      </w:pPr>
      <w:r w:rsidRPr="0093274A">
        <w:rPr>
          <w:rFonts w:asciiTheme="majorHAnsi" w:hAnsiTheme="majorHAnsi" w:cstheme="majorHAnsi"/>
          <w:sz w:val="24"/>
          <w:szCs w:val="24"/>
        </w:rPr>
        <w:t>Uma outra possibilidade seria não exigir uma nota mínima da prova como um todo já que é estabelecida nota mínima em cada componente e que se trata de processo classificatório. Assim, estabelecer uma nota mínima para a prova como um todo superior àquela dos componentes pode apenas significar o não preenchimento e ociosidade inicial de vagas. Por esse motivo, sugere-se a manutenção dos desempenhos mínimos por prova (300 pontos) e redação (350 pontos) sem estabelecimento dos pontos totais, atualmente em 500. Essa providência poderia ser acrescida inclusive por flexibilização da nota da(s) componente(s) de menor peso, no caso do não preenchimento das vagas, para valores inferiores ao exigido, desde que a nota fosse diferente de zero e não para a prova de redação, o que poderia garantir o preenchimento de vagas, mesmo para cursos de demanda mais baixa, o que pode ocorrer principalmente no início das atividades da escola, por falta de conhecimento dos candidatos. Seria lamentável que a regulamentação mais rígida levasse a uma ociosidade de vagas no ente federado que tem a terceira pior abrangência de vagas públicas do país.</w:t>
      </w:r>
    </w:p>
    <w:p w14:paraId="1EAD89ED" w14:textId="77777777" w:rsidR="00EE3346" w:rsidRPr="0093274A" w:rsidRDefault="00EE3346" w:rsidP="0093274A">
      <w:pPr>
        <w:pStyle w:val="NormalWeb"/>
        <w:numPr>
          <w:ilvl w:val="0"/>
          <w:numId w:val="13"/>
        </w:numPr>
        <w:spacing w:before="0" w:beforeAutospacing="0" w:after="160" w:afterAutospacing="0" w:line="360" w:lineRule="auto"/>
        <w:ind w:left="714" w:hanging="357"/>
        <w:jc w:val="both"/>
        <w:rPr>
          <w:rFonts w:asciiTheme="majorHAnsi" w:hAnsiTheme="majorHAnsi" w:cstheme="majorHAnsi"/>
          <w:color w:val="auto"/>
          <w:sz w:val="24"/>
          <w:szCs w:val="28"/>
        </w:rPr>
      </w:pPr>
      <w:r w:rsidRPr="0093274A">
        <w:rPr>
          <w:rFonts w:asciiTheme="majorHAnsi" w:hAnsiTheme="majorHAnsi" w:cstheme="majorHAnsi"/>
          <w:color w:val="auto"/>
          <w:sz w:val="24"/>
          <w:szCs w:val="28"/>
        </w:rPr>
        <w:t>Ainda com relação ao ingresso, seria importante rever o sistema de cotas praticado. Mantê-lo para todas as IES públicas do país como realizado em 2021 pode ser mais interessante para a atração de alunos melhor preparados para Brasília, mas pode representar uma perda de público local e a elitização do ingresso. Como nesse caso se trata de instituição criada e mantida com orçamento distrital, poderia haver alguma bonificação diferenciada, a exemplo do que acontece para IES como a UFMA, por exemplo, a partir da determinação de um percentual de acréscimo ao desempenho de egressos de escolas públicas distritais e, se considerado pertinente, um percentual maior para grupos de pretos, pardos e indígenas, ou outras combinações que visem a melhorar a equidade no ingresso à nova instituição. Como boa parte da população da RIDE tem Brasília como seu ponto de trabalho e é interesse desenvolver toda a região, poderia também ser concedida bonificação diferenciada para egressos de escola dessa região, mesmo considerando que a Constituição determina, e que o Art. 9</w:t>
      </w:r>
      <w:r w:rsidRPr="0093274A">
        <w:rPr>
          <w:rFonts w:asciiTheme="majorHAnsi" w:hAnsiTheme="majorHAnsi" w:cstheme="majorHAnsi"/>
          <w:color w:val="auto"/>
          <w:sz w:val="24"/>
        </w:rPr>
        <w:t>.</w:t>
      </w:r>
      <w:r w:rsidRPr="0093274A">
        <w:rPr>
          <w:rFonts w:asciiTheme="majorHAnsi" w:hAnsiTheme="majorHAnsi" w:cstheme="majorHAnsi"/>
          <w:color w:val="auto"/>
          <w:sz w:val="24"/>
          <w:vertAlign w:val="superscript"/>
        </w:rPr>
        <w:t>o</w:t>
      </w:r>
      <w:r w:rsidRPr="0093274A" w:rsidDel="007271A6">
        <w:rPr>
          <w:rFonts w:asciiTheme="majorHAnsi" w:hAnsiTheme="majorHAnsi" w:cstheme="majorHAnsi"/>
          <w:color w:val="auto"/>
          <w:sz w:val="24"/>
          <w:szCs w:val="28"/>
        </w:rPr>
        <w:t xml:space="preserve"> </w:t>
      </w:r>
      <w:r w:rsidRPr="0093274A">
        <w:rPr>
          <w:rFonts w:asciiTheme="majorHAnsi" w:hAnsiTheme="majorHAnsi" w:cstheme="majorHAnsi"/>
          <w:color w:val="auto"/>
          <w:sz w:val="24"/>
          <w:szCs w:val="28"/>
        </w:rPr>
        <w:t xml:space="preserve">da LDB explicita em seu Inciso III, que compete à União prestar assistência técnica e financeira aos Estados, ao Distrito Federal e aos Municípios para o desenvolvimento de seus sistemas de ensino e para o atendimento prioritário à escolaridade obrigatória, exercendo sua função redistributiva e supletiva, o que remeteria à UnB essa tarefa, agora auxiliada nos limites do DF pela UnDF. </w:t>
      </w:r>
    </w:p>
    <w:p w14:paraId="02911022" w14:textId="77777777" w:rsidR="00EE3346" w:rsidRPr="0093274A" w:rsidRDefault="00EE3346" w:rsidP="0093274A">
      <w:pPr>
        <w:pStyle w:val="PargrafodaLista"/>
        <w:numPr>
          <w:ilvl w:val="0"/>
          <w:numId w:val="13"/>
        </w:numPr>
        <w:tabs>
          <w:tab w:val="clear" w:pos="1615"/>
        </w:tabs>
        <w:spacing w:line="360" w:lineRule="auto"/>
        <w:jc w:val="both"/>
        <w:rPr>
          <w:rFonts w:asciiTheme="majorHAnsi" w:hAnsiTheme="majorHAnsi" w:cstheme="majorHAnsi"/>
          <w:sz w:val="24"/>
          <w:szCs w:val="24"/>
        </w:rPr>
      </w:pPr>
      <w:r w:rsidRPr="0093274A">
        <w:rPr>
          <w:rFonts w:asciiTheme="majorHAnsi" w:hAnsiTheme="majorHAnsi" w:cstheme="majorHAnsi"/>
          <w:sz w:val="24"/>
          <w:szCs w:val="24"/>
        </w:rPr>
        <w:t xml:space="preserve">Apenas como exemplo, essa bonificação poderia ser de 30% para egressos pretos, pardos e indígenas de escolas públicas distritais; 25% para egressos de escolas públicas distritais não contemplados no item anterior; 20% para egressos pretos, pardos e indígenas de escolas públicas dos municípios da RIDE; 15% para egressos de escolas públicas dos municípios da RIDE; 10% para egressos pretos, pardos e indígenas de escolas públicas dos demais municípios do país; 5% para egressos de escolas públicas dos demais municípios do país. A instituição poderia realizar uma simulação com os candidatos ingressantes em Medicina e Enfermagem e verificar o quanto isso aumentaria a participação de público local nesses cursos e, a partir daí, estabelecer percentuais diferenciados. </w:t>
      </w:r>
    </w:p>
    <w:p w14:paraId="1224A353" w14:textId="24591580" w:rsidR="00EE3346" w:rsidRPr="00516038" w:rsidRDefault="00C749C7" w:rsidP="0093274A">
      <w:pPr>
        <w:pStyle w:val="Ttulo3"/>
        <w:numPr>
          <w:ilvl w:val="2"/>
          <w:numId w:val="1"/>
        </w:numPr>
        <w:ind w:left="709" w:hanging="709"/>
        <w:rPr>
          <w:rFonts w:asciiTheme="majorHAnsi" w:hAnsiTheme="majorHAnsi" w:cstheme="majorHAnsi"/>
        </w:rPr>
      </w:pPr>
      <w:bookmarkStart w:id="21" w:name="_Toc102134970"/>
      <w:bookmarkStart w:id="22" w:name="_Toc87430854"/>
      <w:r w:rsidRPr="00516038">
        <w:rPr>
          <w:rFonts w:asciiTheme="majorHAnsi" w:hAnsiTheme="majorHAnsi" w:cstheme="majorHAnsi"/>
        </w:rPr>
        <w:t>TIPOS DE CURSOS PARA INGRESSO</w:t>
      </w:r>
      <w:bookmarkEnd w:id="21"/>
    </w:p>
    <w:p w14:paraId="229A58C2" w14:textId="2A08E0D0" w:rsidR="00EE3346" w:rsidRPr="00C749C7" w:rsidRDefault="00EE3346" w:rsidP="00C749C7">
      <w:pPr>
        <w:tabs>
          <w:tab w:val="clear" w:pos="1615"/>
        </w:tabs>
        <w:spacing w:line="360" w:lineRule="auto"/>
        <w:ind w:firstLine="708"/>
        <w:jc w:val="both"/>
        <w:rPr>
          <w:rFonts w:asciiTheme="majorHAnsi" w:hAnsiTheme="majorHAnsi" w:cstheme="majorHAnsi"/>
          <w:sz w:val="24"/>
          <w:szCs w:val="24"/>
        </w:rPr>
      </w:pPr>
      <w:r w:rsidRPr="00C749C7">
        <w:rPr>
          <w:rFonts w:asciiTheme="majorHAnsi" w:hAnsiTheme="majorHAnsi" w:cstheme="majorHAnsi"/>
          <w:sz w:val="24"/>
          <w:szCs w:val="24"/>
        </w:rPr>
        <w:t>A proposta de estatuto para a UnDF, em seu Artigo 50, elenca os tipos de cursos que a instituição poderá ministrar (graduação, pós-graduação, extensão e sequenciais por campo do saber) e nos Artigos 51 e 52, como se estrutura a graduação. Alguns aspectos causam preocupação, especialmente os negritados no texto extraído do documento, cujo teor deve estar sendo analisado e pode até já ter sido alterado, dado tratar-se de documento preliminar:</w:t>
      </w:r>
    </w:p>
    <w:p w14:paraId="7AA84DFB" w14:textId="77777777" w:rsidR="00C749C7" w:rsidRDefault="00C749C7" w:rsidP="00516038">
      <w:pPr>
        <w:tabs>
          <w:tab w:val="clear" w:pos="1615"/>
        </w:tabs>
        <w:autoSpaceDE w:val="0"/>
        <w:autoSpaceDN w:val="0"/>
        <w:adjustRightInd w:val="0"/>
        <w:spacing w:after="0"/>
        <w:ind w:left="2268" w:right="849"/>
        <w:jc w:val="both"/>
        <w:rPr>
          <w:rFonts w:asciiTheme="majorHAnsi" w:hAnsiTheme="majorHAnsi" w:cstheme="majorHAnsi"/>
          <w:b/>
          <w:bCs/>
        </w:rPr>
      </w:pPr>
    </w:p>
    <w:p w14:paraId="164BDE66" w14:textId="0A15A003" w:rsidR="00EE3346" w:rsidRPr="00516038" w:rsidRDefault="00EE3346" w:rsidP="00516038">
      <w:pPr>
        <w:tabs>
          <w:tab w:val="clear" w:pos="1615"/>
        </w:tabs>
        <w:autoSpaceDE w:val="0"/>
        <w:autoSpaceDN w:val="0"/>
        <w:adjustRightInd w:val="0"/>
        <w:spacing w:after="0"/>
        <w:ind w:left="2268" w:right="849"/>
        <w:jc w:val="both"/>
        <w:rPr>
          <w:rFonts w:asciiTheme="majorHAnsi" w:hAnsiTheme="majorHAnsi" w:cstheme="majorHAnsi"/>
        </w:rPr>
      </w:pPr>
      <w:r w:rsidRPr="00516038">
        <w:rPr>
          <w:rFonts w:asciiTheme="majorHAnsi" w:hAnsiTheme="majorHAnsi" w:cstheme="majorHAnsi"/>
          <w:b/>
          <w:bCs/>
        </w:rPr>
        <w:t xml:space="preserve">Art. 51. </w:t>
      </w:r>
      <w:r w:rsidRPr="00516038">
        <w:rPr>
          <w:rFonts w:asciiTheme="majorHAnsi" w:hAnsiTheme="majorHAnsi" w:cstheme="majorHAnsi"/>
        </w:rPr>
        <w:t>Os cursos de graduação serão estruturados de forma a atender:</w:t>
      </w:r>
    </w:p>
    <w:p w14:paraId="779FB350" w14:textId="77777777" w:rsidR="00EE3346" w:rsidRPr="00516038" w:rsidRDefault="00EE3346" w:rsidP="00516038">
      <w:pPr>
        <w:tabs>
          <w:tab w:val="clear" w:pos="1615"/>
        </w:tabs>
        <w:autoSpaceDE w:val="0"/>
        <w:autoSpaceDN w:val="0"/>
        <w:adjustRightInd w:val="0"/>
        <w:spacing w:after="0"/>
        <w:ind w:left="2268" w:right="849"/>
        <w:jc w:val="both"/>
        <w:rPr>
          <w:rFonts w:asciiTheme="majorHAnsi" w:hAnsiTheme="majorHAnsi" w:cstheme="majorHAnsi"/>
          <w:b/>
        </w:rPr>
      </w:pPr>
      <w:r w:rsidRPr="00516038">
        <w:rPr>
          <w:rFonts w:asciiTheme="majorHAnsi" w:hAnsiTheme="majorHAnsi" w:cstheme="majorHAnsi"/>
        </w:rPr>
        <w:t xml:space="preserve">I – </w:t>
      </w:r>
      <w:r w:rsidRPr="00516038">
        <w:rPr>
          <w:rFonts w:asciiTheme="majorHAnsi" w:hAnsiTheme="majorHAnsi" w:cstheme="majorHAnsi"/>
          <w:b/>
        </w:rPr>
        <w:t>às diretrizes curriculares nacionais para cada curso e área do saber, deliberadas pelo Conselho Nacional de Educação (CNE);</w:t>
      </w:r>
    </w:p>
    <w:p w14:paraId="44AEF01C" w14:textId="77777777" w:rsidR="00EE3346" w:rsidRPr="00516038" w:rsidRDefault="00EE3346" w:rsidP="00516038">
      <w:pPr>
        <w:tabs>
          <w:tab w:val="clear" w:pos="1615"/>
        </w:tabs>
        <w:autoSpaceDE w:val="0"/>
        <w:autoSpaceDN w:val="0"/>
        <w:adjustRightInd w:val="0"/>
        <w:spacing w:after="0"/>
        <w:ind w:left="2268" w:right="849"/>
        <w:jc w:val="both"/>
        <w:rPr>
          <w:rFonts w:asciiTheme="majorHAnsi" w:hAnsiTheme="majorHAnsi" w:cstheme="majorHAnsi"/>
        </w:rPr>
      </w:pPr>
      <w:r w:rsidRPr="00516038">
        <w:rPr>
          <w:rFonts w:asciiTheme="majorHAnsi" w:hAnsiTheme="majorHAnsi" w:cstheme="majorHAnsi"/>
        </w:rPr>
        <w:t xml:space="preserve">II – ao estímulo à autonomia crescente dos estudantes na construção dos conhecimentos, </w:t>
      </w:r>
      <w:r w:rsidRPr="00516038">
        <w:rPr>
          <w:rFonts w:asciiTheme="majorHAnsi" w:hAnsiTheme="majorHAnsi" w:cstheme="majorHAnsi"/>
          <w:b/>
        </w:rPr>
        <w:t>fortalecendo o processo de interdependência</w:t>
      </w:r>
      <w:r w:rsidRPr="00516038">
        <w:rPr>
          <w:rFonts w:asciiTheme="majorHAnsi" w:hAnsiTheme="majorHAnsi" w:cstheme="majorHAnsi"/>
        </w:rPr>
        <w:t xml:space="preserve"> e busca de soluções para os problemas a que são submetidos, fomentando uma formação profissional que considere a utilização de metodologias de ensino inovadoras e as práticas desenvolvidas no mundo do trabalho;</w:t>
      </w:r>
    </w:p>
    <w:p w14:paraId="063E3951" w14:textId="77777777" w:rsidR="00EE3346" w:rsidRPr="00516038" w:rsidRDefault="00EE3346" w:rsidP="00516038">
      <w:pPr>
        <w:tabs>
          <w:tab w:val="clear" w:pos="1615"/>
        </w:tabs>
        <w:autoSpaceDE w:val="0"/>
        <w:autoSpaceDN w:val="0"/>
        <w:adjustRightInd w:val="0"/>
        <w:spacing w:after="0"/>
        <w:ind w:left="2268" w:right="849"/>
        <w:jc w:val="both"/>
        <w:rPr>
          <w:rFonts w:asciiTheme="majorHAnsi" w:hAnsiTheme="majorHAnsi" w:cstheme="majorHAnsi"/>
        </w:rPr>
      </w:pPr>
      <w:r w:rsidRPr="00516038">
        <w:rPr>
          <w:rFonts w:asciiTheme="majorHAnsi" w:hAnsiTheme="majorHAnsi" w:cstheme="majorHAnsi"/>
        </w:rPr>
        <w:t>III – à integração da educação superior pública com as políticas públicas, programas e ações institucionais desenvolvidos em âmbito locorregional;</w:t>
      </w:r>
    </w:p>
    <w:p w14:paraId="1C29956C" w14:textId="77777777" w:rsidR="00EE3346" w:rsidRPr="00516038" w:rsidRDefault="00EE3346" w:rsidP="00516038">
      <w:pPr>
        <w:tabs>
          <w:tab w:val="clear" w:pos="1615"/>
        </w:tabs>
        <w:autoSpaceDE w:val="0"/>
        <w:autoSpaceDN w:val="0"/>
        <w:adjustRightInd w:val="0"/>
        <w:spacing w:after="0"/>
        <w:ind w:left="2268" w:right="849"/>
        <w:jc w:val="both"/>
        <w:rPr>
          <w:rFonts w:asciiTheme="majorHAnsi" w:hAnsiTheme="majorHAnsi" w:cstheme="majorHAnsi"/>
        </w:rPr>
      </w:pPr>
      <w:r w:rsidRPr="00516038">
        <w:rPr>
          <w:rFonts w:asciiTheme="majorHAnsi" w:hAnsiTheme="majorHAnsi" w:cstheme="majorHAnsi"/>
        </w:rPr>
        <w:t>IV – a priorização das necessidades e dos problemas do Distrito Federal e RIDE na manutenção e programação de cursos;</w:t>
      </w:r>
    </w:p>
    <w:p w14:paraId="0255FE2B" w14:textId="77777777" w:rsidR="00EE3346" w:rsidRPr="00516038" w:rsidRDefault="00EE3346" w:rsidP="00516038">
      <w:pPr>
        <w:tabs>
          <w:tab w:val="clear" w:pos="1615"/>
        </w:tabs>
        <w:autoSpaceDE w:val="0"/>
        <w:autoSpaceDN w:val="0"/>
        <w:adjustRightInd w:val="0"/>
        <w:spacing w:after="0"/>
        <w:ind w:left="2268" w:right="849"/>
        <w:jc w:val="both"/>
        <w:rPr>
          <w:rFonts w:asciiTheme="majorHAnsi" w:hAnsiTheme="majorHAnsi" w:cstheme="majorHAnsi"/>
        </w:rPr>
      </w:pPr>
      <w:r w:rsidRPr="00516038">
        <w:rPr>
          <w:rFonts w:asciiTheme="majorHAnsi" w:hAnsiTheme="majorHAnsi" w:cstheme="majorHAnsi"/>
        </w:rPr>
        <w:t>V – a integração do ensino com as ciências e das tecnologias, desenvolvendo o conhecimento científico, junto com os valores éticos capazes de integrar a pessoa humana à sociedade, formando profissionais competentes para atuação no mundo do trabalho e para melhoria das condições de vida em sociedade;</w:t>
      </w:r>
    </w:p>
    <w:p w14:paraId="3804785C" w14:textId="77777777" w:rsidR="00EE3346" w:rsidRPr="00516038" w:rsidRDefault="00EE3346" w:rsidP="00516038">
      <w:pPr>
        <w:tabs>
          <w:tab w:val="clear" w:pos="1615"/>
        </w:tabs>
        <w:autoSpaceDE w:val="0"/>
        <w:autoSpaceDN w:val="0"/>
        <w:adjustRightInd w:val="0"/>
        <w:spacing w:after="0"/>
        <w:ind w:left="2268" w:right="849"/>
        <w:jc w:val="both"/>
        <w:rPr>
          <w:rFonts w:asciiTheme="majorHAnsi" w:hAnsiTheme="majorHAnsi" w:cstheme="majorHAnsi"/>
          <w:b/>
        </w:rPr>
      </w:pPr>
      <w:r w:rsidRPr="00516038">
        <w:rPr>
          <w:rFonts w:asciiTheme="majorHAnsi" w:hAnsiTheme="majorHAnsi" w:cstheme="majorHAnsi"/>
        </w:rPr>
        <w:t xml:space="preserve">VI – a integração dos conhecimentos e saberes necessários, à demanda e às peculiaridades de cada formação profissional, mediante a elaboração dos respectivos currículos </w:t>
      </w:r>
      <w:r w:rsidRPr="00516038">
        <w:rPr>
          <w:rFonts w:asciiTheme="majorHAnsi" w:hAnsiTheme="majorHAnsi" w:cstheme="majorHAnsi"/>
          <w:b/>
        </w:rPr>
        <w:t>com matérias obrigatórias, prefixadas ou optativas, e facultativas;</w:t>
      </w:r>
    </w:p>
    <w:p w14:paraId="1E8A38DE" w14:textId="77777777" w:rsidR="00EE3346" w:rsidRPr="00516038" w:rsidRDefault="00EE3346" w:rsidP="00516038">
      <w:pPr>
        <w:tabs>
          <w:tab w:val="clear" w:pos="1615"/>
        </w:tabs>
        <w:autoSpaceDE w:val="0"/>
        <w:autoSpaceDN w:val="0"/>
        <w:adjustRightInd w:val="0"/>
        <w:spacing w:after="0"/>
        <w:ind w:left="2268" w:right="849"/>
        <w:jc w:val="both"/>
        <w:rPr>
          <w:rFonts w:asciiTheme="majorHAnsi" w:hAnsiTheme="majorHAnsi" w:cstheme="majorHAnsi"/>
        </w:rPr>
      </w:pPr>
      <w:r w:rsidRPr="00516038">
        <w:rPr>
          <w:rFonts w:asciiTheme="majorHAnsi" w:hAnsiTheme="majorHAnsi" w:cstheme="majorHAnsi"/>
        </w:rPr>
        <w:t>VII – à diversificação de ocupações e empregos e à procura de educação de nível superior, estabelecendo-se um sistema de créditos para diferentes combinações curriculares;</w:t>
      </w:r>
    </w:p>
    <w:p w14:paraId="37B46627" w14:textId="77777777" w:rsidR="00EE3346" w:rsidRPr="00516038" w:rsidRDefault="00EE3346" w:rsidP="00516038">
      <w:pPr>
        <w:tabs>
          <w:tab w:val="clear" w:pos="1615"/>
        </w:tabs>
        <w:autoSpaceDE w:val="0"/>
        <w:autoSpaceDN w:val="0"/>
        <w:adjustRightInd w:val="0"/>
        <w:spacing w:after="0"/>
        <w:ind w:left="2268" w:right="849"/>
        <w:jc w:val="both"/>
        <w:rPr>
          <w:rFonts w:asciiTheme="majorHAnsi" w:hAnsiTheme="majorHAnsi" w:cstheme="majorHAnsi"/>
          <w:b/>
        </w:rPr>
      </w:pPr>
      <w:r w:rsidRPr="00516038">
        <w:rPr>
          <w:rFonts w:asciiTheme="majorHAnsi" w:hAnsiTheme="majorHAnsi" w:cstheme="majorHAnsi"/>
          <w:b/>
          <w:bCs/>
        </w:rPr>
        <w:t xml:space="preserve">Art. 52. </w:t>
      </w:r>
      <w:r w:rsidRPr="00516038">
        <w:rPr>
          <w:rFonts w:asciiTheme="majorHAnsi" w:hAnsiTheme="majorHAnsi" w:cstheme="majorHAnsi"/>
          <w:b/>
        </w:rPr>
        <w:t>Os cursos de bacharelado e de licenciatura estarão abertos à matrícula dos que tenham concluído o ensino médio ou equivalente e que tenham sido classificados em processo seletivo, até o limite das vagas pré-fixadas, nos termos da legislação pertinente e do disposto no Regimento</w:t>
      </w:r>
    </w:p>
    <w:p w14:paraId="1EBFC747" w14:textId="25C48D8C" w:rsidR="00EE3346" w:rsidRDefault="00EE3346" w:rsidP="00516038">
      <w:pPr>
        <w:tabs>
          <w:tab w:val="clear" w:pos="1615"/>
        </w:tabs>
        <w:ind w:left="2268" w:right="849"/>
        <w:jc w:val="both"/>
        <w:rPr>
          <w:rFonts w:asciiTheme="majorHAnsi" w:hAnsiTheme="majorHAnsi" w:cstheme="majorHAnsi"/>
          <w:b/>
          <w:sz w:val="24"/>
          <w:szCs w:val="24"/>
        </w:rPr>
      </w:pPr>
      <w:r w:rsidRPr="00516038">
        <w:rPr>
          <w:rFonts w:asciiTheme="majorHAnsi" w:hAnsiTheme="majorHAnsi" w:cstheme="majorHAnsi"/>
          <w:b/>
        </w:rPr>
        <w:t>Geral da UnDF</w:t>
      </w:r>
      <w:r w:rsidRPr="00516038">
        <w:rPr>
          <w:rFonts w:asciiTheme="majorHAnsi" w:hAnsiTheme="majorHAnsi" w:cstheme="majorHAnsi"/>
          <w:b/>
          <w:sz w:val="24"/>
          <w:szCs w:val="24"/>
        </w:rPr>
        <w:t>.</w:t>
      </w:r>
    </w:p>
    <w:p w14:paraId="0076F4FA" w14:textId="77777777" w:rsidR="00C749C7" w:rsidRPr="00516038" w:rsidRDefault="00C749C7" w:rsidP="00516038">
      <w:pPr>
        <w:tabs>
          <w:tab w:val="clear" w:pos="1615"/>
        </w:tabs>
        <w:ind w:left="2268" w:right="849"/>
        <w:jc w:val="both"/>
        <w:rPr>
          <w:rFonts w:asciiTheme="majorHAnsi" w:hAnsiTheme="majorHAnsi" w:cstheme="majorHAnsi"/>
          <w:b/>
          <w:sz w:val="24"/>
          <w:szCs w:val="24"/>
        </w:rPr>
      </w:pPr>
    </w:p>
    <w:p w14:paraId="3E4CB1DB" w14:textId="31A56028" w:rsidR="00EE3346" w:rsidRPr="00C749C7" w:rsidRDefault="00EE3346" w:rsidP="00C749C7">
      <w:pPr>
        <w:tabs>
          <w:tab w:val="clear" w:pos="1615"/>
        </w:tabs>
        <w:spacing w:line="360" w:lineRule="auto"/>
        <w:ind w:right="-1" w:firstLine="709"/>
        <w:jc w:val="both"/>
        <w:rPr>
          <w:rFonts w:asciiTheme="majorHAnsi" w:hAnsiTheme="majorHAnsi" w:cstheme="majorHAnsi"/>
          <w:sz w:val="24"/>
          <w:szCs w:val="24"/>
        </w:rPr>
      </w:pPr>
      <w:r w:rsidRPr="00C749C7">
        <w:rPr>
          <w:rFonts w:asciiTheme="majorHAnsi" w:hAnsiTheme="majorHAnsi" w:cstheme="majorHAnsi"/>
          <w:sz w:val="24"/>
          <w:szCs w:val="24"/>
        </w:rPr>
        <w:t>Pelo disposto no Inciso I, a IES só poderá ofertar cursos que já possuam aprovadas Diretrizes Curriculares Nacionais, o que limita sua atuação, especialmente por se tratar de Universidade. Só para citar um exemplo, foi graças à autonomia, inclusive de criação de novos cursos, que as Universidades Federais puderam implantar e consolidar os bacharelados interdisciplinares, até hoje sem DCN, que só são editadas quando o curso passa a ter uma quantidade e consolidação mais expressivas. Isso também significa, de certa forma, abrir mão do Art. 81 da LDB que permite a criação de cursos e a experimentação na educação, salutares para a própria concepção de formar para o mundo (também, mas não apenas do trabalho), em constantes modificações.</w:t>
      </w:r>
    </w:p>
    <w:p w14:paraId="1F4FE7D7" w14:textId="3066BB25" w:rsidR="00EE3346" w:rsidRPr="00C749C7" w:rsidRDefault="00EE3346" w:rsidP="00C749C7">
      <w:pPr>
        <w:tabs>
          <w:tab w:val="clear" w:pos="1615"/>
        </w:tabs>
        <w:spacing w:line="360" w:lineRule="auto"/>
        <w:ind w:right="-1" w:firstLine="709"/>
        <w:jc w:val="both"/>
        <w:rPr>
          <w:rFonts w:asciiTheme="majorHAnsi" w:hAnsiTheme="majorHAnsi" w:cstheme="majorHAnsi"/>
          <w:sz w:val="24"/>
          <w:szCs w:val="24"/>
        </w:rPr>
      </w:pPr>
      <w:r w:rsidRPr="00C749C7">
        <w:rPr>
          <w:rFonts w:asciiTheme="majorHAnsi" w:hAnsiTheme="majorHAnsi" w:cstheme="majorHAnsi"/>
          <w:sz w:val="24"/>
          <w:szCs w:val="24"/>
        </w:rPr>
        <w:t>O Inciso II aparentemente está contraditório já que, ao fazer sua leitura, esperava o fortalecimento da independência dos estudantes na solução dos problemas.</w:t>
      </w:r>
    </w:p>
    <w:p w14:paraId="577DEF4E" w14:textId="70264165" w:rsidR="00EE3346" w:rsidRPr="00C749C7" w:rsidRDefault="00EE3346" w:rsidP="00C749C7">
      <w:pPr>
        <w:tabs>
          <w:tab w:val="clear" w:pos="1615"/>
        </w:tabs>
        <w:spacing w:line="360" w:lineRule="auto"/>
        <w:ind w:right="-1" w:firstLine="709"/>
        <w:jc w:val="both"/>
        <w:rPr>
          <w:rFonts w:asciiTheme="majorHAnsi" w:hAnsiTheme="majorHAnsi" w:cstheme="majorHAnsi"/>
          <w:sz w:val="24"/>
          <w:szCs w:val="24"/>
        </w:rPr>
      </w:pPr>
      <w:r w:rsidRPr="00C749C7">
        <w:rPr>
          <w:rFonts w:asciiTheme="majorHAnsi" w:hAnsiTheme="majorHAnsi" w:cstheme="majorHAnsi"/>
          <w:sz w:val="24"/>
          <w:szCs w:val="24"/>
        </w:rPr>
        <w:t>O Inciso VI determina a existência de matérias, o que, apesar de mais amplo que disciplina, poderia ser substituído por atividades curriculares que trariam uma maior flexibilidade à estruturação curricular.</w:t>
      </w:r>
    </w:p>
    <w:p w14:paraId="15527920" w14:textId="06A7C06C" w:rsidR="00EE3346" w:rsidRPr="00C749C7" w:rsidRDefault="00EE3346" w:rsidP="00C749C7">
      <w:pPr>
        <w:tabs>
          <w:tab w:val="clear" w:pos="1615"/>
        </w:tabs>
        <w:spacing w:line="360" w:lineRule="auto"/>
        <w:ind w:right="-1" w:firstLine="709"/>
        <w:jc w:val="both"/>
        <w:rPr>
          <w:rFonts w:asciiTheme="majorHAnsi" w:hAnsiTheme="majorHAnsi" w:cstheme="majorHAnsi"/>
          <w:sz w:val="24"/>
          <w:szCs w:val="24"/>
        </w:rPr>
      </w:pPr>
      <w:r w:rsidRPr="00C749C7">
        <w:rPr>
          <w:rFonts w:asciiTheme="majorHAnsi" w:hAnsiTheme="majorHAnsi" w:cstheme="majorHAnsi"/>
          <w:sz w:val="24"/>
          <w:szCs w:val="24"/>
        </w:rPr>
        <w:t>Finalmente, o Art. 52 não contempla os cursos superiores de tecnologia, destacando apenas as outras duas formas de graduação: bacharelado e licenciatura. Isso, de certa forma, vai de encontro à própria atuação da Escola de Gestão que está oferecendo o curso de gestão pública que, s.m.j, trata-se de uma graduação tecnologia.</w:t>
      </w:r>
    </w:p>
    <w:p w14:paraId="17FD88C9" w14:textId="6C8DA51B" w:rsidR="00EE3346" w:rsidRPr="00C749C7" w:rsidRDefault="00EE3346" w:rsidP="00C749C7">
      <w:pPr>
        <w:tabs>
          <w:tab w:val="clear" w:pos="1615"/>
          <w:tab w:val="left" w:pos="7938"/>
          <w:tab w:val="left" w:pos="8364"/>
          <w:tab w:val="left" w:pos="8505"/>
        </w:tabs>
        <w:spacing w:line="360" w:lineRule="auto"/>
        <w:ind w:right="-1" w:firstLine="709"/>
        <w:jc w:val="both"/>
        <w:rPr>
          <w:rFonts w:asciiTheme="majorHAnsi" w:hAnsiTheme="majorHAnsi" w:cstheme="majorHAnsi"/>
          <w:sz w:val="24"/>
          <w:szCs w:val="24"/>
        </w:rPr>
      </w:pPr>
      <w:r w:rsidRPr="00C749C7">
        <w:rPr>
          <w:rFonts w:asciiTheme="majorHAnsi" w:hAnsiTheme="majorHAnsi" w:cstheme="majorHAnsi"/>
          <w:sz w:val="24"/>
          <w:szCs w:val="24"/>
        </w:rPr>
        <w:t>Outro comentário que poderia contribuir para a diminuição do preconceito criado ao seu redor especialmente nas IES públicas, se refere aos cursos sequenciais introduzidos pelo Art. 44 da LDB e listados no Art. 50 da proposta de estatuto. Sua oferta, para atualizações ou mesmo para certificações iniciais que não se configuram como uma graduação podem ser de grande valia para os estudantes e um diferencial formativo que já é utilizado em diferentes instituições privadas e algumas públicas. Entretanto, como falta um referenciamento público mais consolidado, há um aumento desse preconceito e confusão junto ao setor produtivo da sua efetiva inserção no sistema educacional.</w:t>
      </w:r>
    </w:p>
    <w:p w14:paraId="7475376C" w14:textId="1103EDA7" w:rsidR="00EE3346" w:rsidRPr="00C749C7" w:rsidRDefault="00EE3346" w:rsidP="00C749C7">
      <w:pPr>
        <w:tabs>
          <w:tab w:val="clear" w:pos="1615"/>
          <w:tab w:val="left" w:pos="7938"/>
          <w:tab w:val="left" w:pos="8364"/>
          <w:tab w:val="left" w:pos="8505"/>
        </w:tabs>
        <w:spacing w:line="360" w:lineRule="auto"/>
        <w:ind w:right="-1" w:firstLine="709"/>
        <w:jc w:val="both"/>
        <w:rPr>
          <w:rFonts w:asciiTheme="majorHAnsi" w:hAnsiTheme="majorHAnsi" w:cstheme="majorHAnsi"/>
          <w:sz w:val="24"/>
          <w:szCs w:val="24"/>
        </w:rPr>
      </w:pPr>
      <w:r w:rsidRPr="00C749C7">
        <w:rPr>
          <w:rFonts w:asciiTheme="majorHAnsi" w:hAnsiTheme="majorHAnsi" w:cstheme="majorHAnsi"/>
          <w:sz w:val="24"/>
          <w:szCs w:val="24"/>
        </w:rPr>
        <w:t>Explica-se: a mudança provocada pela introdução dos cursos sequenciais como cursos superiores sem levarem ao grau acadêmico foi a oferta desses cursos como um tipo de formação mais rápida e vantajosa, já que, inicialmente, os sequenciais de formação específica conduziam a diploma, confundindo seu término com o de um curso de graduação. Além disso, foram utilizadas nomenclaturas para designação desses sequenciais, idênticas ou muito semelhantes àquelas das graduações na mesma área, levando a uma grande confusão entre estudantes e também no próprio mercado de trabalho que passou a encarar formações mais rápidas como aligeiradas, nocivas e/ou indesejáveis.</w:t>
      </w:r>
    </w:p>
    <w:p w14:paraId="4FDC111C" w14:textId="5EC0E86C" w:rsidR="00EE3346" w:rsidRPr="00C749C7" w:rsidRDefault="00EE3346" w:rsidP="00C749C7">
      <w:pPr>
        <w:tabs>
          <w:tab w:val="clear" w:pos="1615"/>
        </w:tabs>
        <w:spacing w:line="360" w:lineRule="auto"/>
        <w:ind w:firstLine="709"/>
        <w:jc w:val="both"/>
        <w:rPr>
          <w:rFonts w:asciiTheme="majorHAnsi" w:hAnsiTheme="majorHAnsi" w:cstheme="majorHAnsi"/>
          <w:sz w:val="24"/>
          <w:szCs w:val="24"/>
        </w:rPr>
      </w:pPr>
      <w:r w:rsidRPr="00C749C7">
        <w:rPr>
          <w:rFonts w:asciiTheme="majorHAnsi" w:hAnsiTheme="majorHAnsi" w:cstheme="majorHAnsi"/>
          <w:sz w:val="24"/>
          <w:szCs w:val="24"/>
        </w:rPr>
        <w:t>Esse movimento acabou gerando uma desvalorização das graduações tecnológicas que, a despeito de serem mais rápidas em função do foco formativo e da densidade das atividades práticas e produção do conhecimento aplicado, são cursos que levam ao grau acadêmico. Assim, erroneamente escolhidos para oferta em função de sua rapidez, houve uma segunda fase de expansão do ensino superior privado, agora associada aos cursos superiores de tecnologia. Esses cursos tiveram suas DCN aprovadas em 2001, como boa parte das demais graduações, mas ainda hoje são encarados por muitos como cursos de segunda categoria ou cursos preparatórios para um bacharelado, este sim, mais valorizado. A cultura bacharelesca, infelizmente ainda muito presente, acaba diminuindo as duas outras formações que levam ao grau acadêmico no país, conforme também salientado pela iminente Profa. Dra. Elizabeth Balbachevsky, na mesa redonda que tratou das arquiteturas acadêmicas da educação superior durante o Seminário Universidade do Distrito Federal Professor Jorge Amaury Maia Nunes: do projeto à criação (CUNHA, BALBACHEVSKY, MOTA e SOUSA, 2021).</w:t>
      </w:r>
    </w:p>
    <w:p w14:paraId="48894825" w14:textId="29A15F63" w:rsidR="00EE3346" w:rsidRPr="00C749C7" w:rsidRDefault="00EE3346" w:rsidP="00C749C7">
      <w:pPr>
        <w:tabs>
          <w:tab w:val="clear" w:pos="1615"/>
        </w:tabs>
        <w:spacing w:line="360" w:lineRule="auto"/>
        <w:ind w:firstLine="709"/>
        <w:jc w:val="both"/>
        <w:rPr>
          <w:rFonts w:asciiTheme="majorHAnsi" w:hAnsiTheme="majorHAnsi" w:cstheme="majorHAnsi"/>
          <w:sz w:val="24"/>
          <w:szCs w:val="24"/>
        </w:rPr>
      </w:pPr>
      <w:r w:rsidRPr="00C749C7">
        <w:rPr>
          <w:rFonts w:asciiTheme="majorHAnsi" w:hAnsiTheme="majorHAnsi" w:cstheme="majorHAnsi"/>
          <w:sz w:val="24"/>
          <w:szCs w:val="24"/>
        </w:rPr>
        <w:t xml:space="preserve">Essa desvalorização levou muitas Instituições a colocarem a diplomação de cursos superiores de tecnologia como intermediária dos cursos de bacharelado, reforçando essa tendência que uma continência impõe. Não cabe aqui um aprofundamento da questão, mas apenas o registro de que as DCN dos cursos superiores de tecnologia lhe conferem o mesmo </w:t>
      </w:r>
      <w:r w:rsidRPr="00C749C7">
        <w:rPr>
          <w:rFonts w:asciiTheme="majorHAnsi" w:hAnsiTheme="majorHAnsi" w:cstheme="majorHAnsi"/>
          <w:i/>
          <w:iCs/>
          <w:sz w:val="24"/>
          <w:szCs w:val="24"/>
        </w:rPr>
        <w:t>status</w:t>
      </w:r>
      <w:r w:rsidRPr="00C749C7">
        <w:rPr>
          <w:rFonts w:asciiTheme="majorHAnsi" w:hAnsiTheme="majorHAnsi" w:cstheme="majorHAnsi"/>
          <w:sz w:val="24"/>
          <w:szCs w:val="24"/>
        </w:rPr>
        <w:t xml:space="preserve"> de bacharelados e licenciaturas, mas lhe atribuem as características específicas de sua natureza, densidade e maior foco na tecnologia; atendimento de demandas sociais mais imediatas; e densidade das atividades práticas e da produção de conhecimento aplicado a problemas existentes, maior do que a produção do conhecimento humano enquanto patrimônio de seu desenvolvimento, mais ligada aos bacharelados (CNE, 2002). Com essas características, especialmente o foco da formação, esses cursos são mais rápidos que os bacharelados e licenciaturas, o que não significa que sejam piores, de segunda categoria, aligeirados, ou estejam contidos nesses outros.</w:t>
      </w:r>
    </w:p>
    <w:p w14:paraId="55A19FA3" w14:textId="2ED51EE0" w:rsidR="00EE3346" w:rsidRPr="00C749C7" w:rsidRDefault="00EE3346" w:rsidP="00C749C7">
      <w:pPr>
        <w:tabs>
          <w:tab w:val="clear" w:pos="1615"/>
        </w:tabs>
        <w:spacing w:after="40" w:line="360" w:lineRule="auto"/>
        <w:ind w:firstLine="709"/>
        <w:jc w:val="both"/>
        <w:rPr>
          <w:rFonts w:asciiTheme="majorHAnsi" w:hAnsiTheme="majorHAnsi" w:cstheme="majorHAnsi"/>
          <w:sz w:val="24"/>
          <w:szCs w:val="24"/>
        </w:rPr>
      </w:pPr>
      <w:r w:rsidRPr="00C749C7">
        <w:rPr>
          <w:rFonts w:asciiTheme="majorHAnsi" w:hAnsiTheme="majorHAnsi" w:cstheme="majorHAnsi"/>
          <w:sz w:val="24"/>
          <w:szCs w:val="24"/>
        </w:rPr>
        <w:t>A situação ainda persiste e, a despeito de muitos considerarem os CST como cursos equivalentes aos “</w:t>
      </w:r>
      <w:r w:rsidRPr="00C749C7">
        <w:rPr>
          <w:rFonts w:asciiTheme="majorHAnsi" w:hAnsiTheme="majorHAnsi" w:cstheme="majorHAnsi"/>
          <w:i/>
          <w:iCs/>
          <w:sz w:val="24"/>
          <w:szCs w:val="24"/>
        </w:rPr>
        <w:t>community colleges</w:t>
      </w:r>
      <w:r w:rsidRPr="00C749C7">
        <w:rPr>
          <w:rFonts w:asciiTheme="majorHAnsi" w:hAnsiTheme="majorHAnsi" w:cstheme="majorHAnsi"/>
          <w:sz w:val="24"/>
          <w:szCs w:val="24"/>
        </w:rPr>
        <w:t xml:space="preserve">” americanos, a interpretação é equivocada, já que essa formação equivale aos cursos sequenciais em uma área mais ampla, que viabilize ou que prepare os estudantes para as graduações, a exemplo do que foi pensado pela UFSB e seus colégios universitários (CUNI) conforme relatado por Almeida Filho (2021). A rigor, muitos dos cursos que têm sido criados como bacharelados, talvez para terem um </w:t>
      </w:r>
      <w:r w:rsidRPr="00C749C7">
        <w:rPr>
          <w:rFonts w:asciiTheme="majorHAnsi" w:hAnsiTheme="majorHAnsi" w:cstheme="majorHAnsi"/>
          <w:i/>
          <w:sz w:val="24"/>
          <w:szCs w:val="24"/>
        </w:rPr>
        <w:t xml:space="preserve">status </w:t>
      </w:r>
      <w:r w:rsidRPr="00C749C7">
        <w:rPr>
          <w:rFonts w:asciiTheme="majorHAnsi" w:hAnsiTheme="majorHAnsi" w:cstheme="majorHAnsi"/>
          <w:sz w:val="24"/>
          <w:szCs w:val="24"/>
        </w:rPr>
        <w:t xml:space="preserve">maior, têm características, vocação e currículo de curso tecnológico, cuja abrangência hoje é muito maior e contempla 13 diferentes eixos, que abrangem “ambiente e saúde”, “desenvolvimento educacional e social”, “gestão e negócios”, “militar”, “produção alimentícia”, “produção cultural e design”, “produção industrial”,  “recursos naturais”, “segurança” e “turismo, hospitalidade e lazer” (MEC, 2016), além dos cursos inicialmente desenvolvidos que pertenciam basicamente aos atuais eixos de “controle e processos industriais”, “informação e comunicação” e “infraestrutura” quando de sua criação no início dos anos 1970, o que traz um novo conceito a respeito do que seja tecnologia, já que ela efetivamente abrange praticamente todas as áreas do conhecimento moderno. </w:t>
      </w:r>
    </w:p>
    <w:p w14:paraId="34761525" w14:textId="410E3CE9" w:rsidR="00EE3346" w:rsidRPr="00C749C7" w:rsidRDefault="00EE3346" w:rsidP="00C749C7">
      <w:pPr>
        <w:tabs>
          <w:tab w:val="clear" w:pos="1615"/>
        </w:tabs>
        <w:spacing w:line="360" w:lineRule="auto"/>
        <w:ind w:firstLine="709"/>
        <w:jc w:val="both"/>
        <w:rPr>
          <w:rFonts w:asciiTheme="majorHAnsi" w:hAnsiTheme="majorHAnsi" w:cstheme="majorHAnsi"/>
          <w:sz w:val="24"/>
          <w:szCs w:val="24"/>
        </w:rPr>
      </w:pPr>
      <w:r w:rsidRPr="00C749C7">
        <w:rPr>
          <w:rFonts w:asciiTheme="majorHAnsi" w:hAnsiTheme="majorHAnsi" w:cstheme="majorHAnsi"/>
          <w:sz w:val="24"/>
          <w:szCs w:val="24"/>
        </w:rPr>
        <w:t>Assim, apesar de não ter sido feito um estudo sobre graduações tecnológicas, poderia ser organizada uma estrutura que pudesse contemplar também essa formação para os ingressantes na UnDF, fechando, assim, as três possibilidades de oferta de cursos de graduação hoje previstas. Um ingresso comum, seguido da formação em um eixo tecnológico, seguido da formação específica em um de seus cursos, poderia ser uma trajetória interessante a se desenvolver.</w:t>
      </w:r>
    </w:p>
    <w:p w14:paraId="3115F99E" w14:textId="27F50830" w:rsidR="00EE3346" w:rsidRPr="00516038" w:rsidRDefault="00C749C7" w:rsidP="00C749C7">
      <w:pPr>
        <w:pStyle w:val="Ttulo3"/>
        <w:numPr>
          <w:ilvl w:val="2"/>
          <w:numId w:val="1"/>
        </w:numPr>
        <w:ind w:left="709" w:hanging="709"/>
        <w:rPr>
          <w:rFonts w:asciiTheme="majorHAnsi" w:hAnsiTheme="majorHAnsi" w:cstheme="majorHAnsi"/>
        </w:rPr>
      </w:pPr>
      <w:bookmarkStart w:id="23" w:name="_Toc102134971"/>
      <w:r w:rsidRPr="00516038">
        <w:rPr>
          <w:rFonts w:asciiTheme="majorHAnsi" w:hAnsiTheme="majorHAnsi" w:cstheme="majorHAnsi"/>
        </w:rPr>
        <w:t>FORMAS DE INGRESSO</w:t>
      </w:r>
      <w:bookmarkEnd w:id="22"/>
      <w:bookmarkEnd w:id="23"/>
    </w:p>
    <w:p w14:paraId="3315FFAF" w14:textId="65CDC09A" w:rsidR="00EE3346" w:rsidRPr="00C749C7" w:rsidRDefault="00EE3346" w:rsidP="00C749C7">
      <w:pPr>
        <w:tabs>
          <w:tab w:val="clear" w:pos="1615"/>
        </w:tabs>
        <w:spacing w:line="360" w:lineRule="auto"/>
        <w:ind w:firstLine="709"/>
        <w:jc w:val="both"/>
        <w:rPr>
          <w:rFonts w:asciiTheme="majorHAnsi" w:hAnsiTheme="majorHAnsi" w:cstheme="majorHAnsi"/>
          <w:sz w:val="24"/>
          <w:szCs w:val="24"/>
        </w:rPr>
      </w:pPr>
      <w:r w:rsidRPr="00C749C7">
        <w:rPr>
          <w:rFonts w:asciiTheme="majorHAnsi" w:hAnsiTheme="majorHAnsi" w:cstheme="majorHAnsi"/>
          <w:sz w:val="24"/>
          <w:szCs w:val="24"/>
        </w:rPr>
        <w:t>Apesar da concepção proposta por Anísio Teixeira para a estruturação universitária, com ingressos em cursos genéricos de formação, a tendência do final do século XX foi a de diversificar e de vocacionar os ingressos nos cursos superiores. Assim, ao iniciar um curso de engenharia de algumas instituições como a UnB, por exemplo, os estudantes participavam de atividades comuns nos chamados ciclos básicos, para então darem continuidade a uma formação mais específica, em engenharia civil, mecânica, elétrica ou outras 4 ou 5 denominações. A ideia foi sendo perdida e não apenas os ingressos na maioria das IES passaram a ser específicos para uma dada formação (Engenharia Florestal, por exemplo), como a diversidade de cursos foi aumentada em 4 a 5 vezes. A despeito dessa pulverização formativa, quando foram aprovadas as Diretrizes Curriculares para os Cursos de Engenharia, foi dado um tratamento único para a formação de engenheiro, que resistiu na maioria dessas formações, mesmo após a edição das novas DCN para engenharia em 2019 (CNE, 2019), apesar de já estarem aprovadas algumas diretrizes específicas, como Engenharia Agrícola, Engenharia de Computação, Engenharia de Pesca, Engenharia de Software e Engenharia Florestal.</w:t>
      </w:r>
    </w:p>
    <w:p w14:paraId="6DFEBBE1" w14:textId="2162B548" w:rsidR="00EE3346" w:rsidRPr="00C749C7" w:rsidRDefault="00EE3346" w:rsidP="00C749C7">
      <w:pPr>
        <w:tabs>
          <w:tab w:val="clear" w:pos="1615"/>
        </w:tabs>
        <w:spacing w:line="360" w:lineRule="auto"/>
        <w:ind w:firstLine="709"/>
        <w:jc w:val="both"/>
        <w:rPr>
          <w:rFonts w:asciiTheme="majorHAnsi" w:hAnsiTheme="majorHAnsi" w:cstheme="majorHAnsi"/>
          <w:sz w:val="24"/>
          <w:szCs w:val="24"/>
        </w:rPr>
      </w:pPr>
      <w:r w:rsidRPr="00C749C7">
        <w:rPr>
          <w:rFonts w:asciiTheme="majorHAnsi" w:hAnsiTheme="majorHAnsi" w:cstheme="majorHAnsi"/>
          <w:sz w:val="24"/>
          <w:szCs w:val="24"/>
        </w:rPr>
        <w:t>Inúmeros fatores contribuíram para esse vocacionamento inicial para as formações universitárias e, de alguma forma, o assunto será tratado adiante, apesar de não caber aqui aprofundar suas causas. Entretanto, é importante admitir que essa compartimentalização aumentou o tecnicismo formativo dos cursos e diminuiu a formação mais humanista necessária para uma inserção social plena. Com o tempo, essa precarização e imediatismo formativos aliados a uma diminuição dos conhecimentos apropriados pelos ingressantes em cursos superiores, passou a reverter o próprio quadro criado: mais ingressos em ciclos básicos ou mais propostas de formações universitárias generalistas, visando a uma formação humana e não apenas o preparo para profissões específicas foram ganhando força e levaram, no início dos anos 2000, a experiências exitosas a partir da criação de bacharelados interdisciplinares e, posteriormente, de licenciaturas interdisciplinares.</w:t>
      </w:r>
    </w:p>
    <w:p w14:paraId="607AA8BD" w14:textId="62D13CC2" w:rsidR="00EE3346" w:rsidRPr="00C749C7" w:rsidRDefault="00EE3346" w:rsidP="00C749C7">
      <w:pPr>
        <w:tabs>
          <w:tab w:val="clear" w:pos="1615"/>
        </w:tabs>
        <w:spacing w:line="360" w:lineRule="auto"/>
        <w:ind w:firstLine="709"/>
        <w:jc w:val="both"/>
        <w:rPr>
          <w:rFonts w:asciiTheme="majorHAnsi" w:hAnsiTheme="majorHAnsi" w:cstheme="majorHAnsi"/>
          <w:sz w:val="24"/>
          <w:szCs w:val="24"/>
        </w:rPr>
      </w:pPr>
      <w:r w:rsidRPr="00C749C7">
        <w:rPr>
          <w:rFonts w:asciiTheme="majorHAnsi" w:hAnsiTheme="majorHAnsi" w:cstheme="majorHAnsi"/>
          <w:sz w:val="24"/>
          <w:szCs w:val="24"/>
        </w:rPr>
        <w:t>Com relação ao ingresso direto em cursos específicos, as formações gerais apresentam alguns diferenciais que podem contribuir para a sua escolha, com destaque para:</w:t>
      </w:r>
    </w:p>
    <w:p w14:paraId="5CA83A31" w14:textId="77777777" w:rsidR="00EE3346" w:rsidRPr="00C749C7" w:rsidRDefault="00EE3346" w:rsidP="00C749C7">
      <w:pPr>
        <w:pStyle w:val="PargrafodaLista"/>
        <w:numPr>
          <w:ilvl w:val="0"/>
          <w:numId w:val="2"/>
        </w:numPr>
        <w:tabs>
          <w:tab w:val="clear" w:pos="1615"/>
        </w:tabs>
        <w:spacing w:line="360" w:lineRule="auto"/>
        <w:ind w:left="714" w:hanging="357"/>
        <w:contextualSpacing w:val="0"/>
        <w:jc w:val="both"/>
        <w:rPr>
          <w:rFonts w:asciiTheme="majorHAnsi" w:hAnsiTheme="majorHAnsi" w:cstheme="majorHAnsi"/>
          <w:sz w:val="24"/>
          <w:szCs w:val="24"/>
        </w:rPr>
      </w:pPr>
      <w:r w:rsidRPr="00C749C7">
        <w:rPr>
          <w:rFonts w:asciiTheme="majorHAnsi" w:hAnsiTheme="majorHAnsi" w:cstheme="majorHAnsi"/>
          <w:sz w:val="24"/>
          <w:szCs w:val="24"/>
        </w:rPr>
        <w:t>Ela evita a escolha precoce de uma carreira e a evasão que ocorre no início dos cursos, especialmente aquelas ligadas à flutuação, ou seja, à percepção de uma escolha equivocada de curso, mas normalmente não da área (LIMA e ZAGO, 2017);</w:t>
      </w:r>
    </w:p>
    <w:p w14:paraId="3CCD5A58" w14:textId="77777777" w:rsidR="00EE3346" w:rsidRPr="00C749C7" w:rsidRDefault="00EE3346" w:rsidP="00C749C7">
      <w:pPr>
        <w:pStyle w:val="PargrafodaLista"/>
        <w:numPr>
          <w:ilvl w:val="0"/>
          <w:numId w:val="2"/>
        </w:numPr>
        <w:tabs>
          <w:tab w:val="clear" w:pos="1615"/>
        </w:tabs>
        <w:spacing w:line="360" w:lineRule="auto"/>
        <w:ind w:left="714" w:hanging="357"/>
        <w:contextualSpacing w:val="0"/>
        <w:jc w:val="both"/>
        <w:rPr>
          <w:rFonts w:asciiTheme="majorHAnsi" w:hAnsiTheme="majorHAnsi" w:cstheme="majorHAnsi"/>
          <w:sz w:val="24"/>
          <w:szCs w:val="24"/>
        </w:rPr>
      </w:pPr>
      <w:r w:rsidRPr="00C749C7">
        <w:rPr>
          <w:rFonts w:asciiTheme="majorHAnsi" w:hAnsiTheme="majorHAnsi" w:cstheme="majorHAnsi"/>
          <w:sz w:val="24"/>
          <w:szCs w:val="24"/>
        </w:rPr>
        <w:t>Ela possibilita que lacunas formativas da educação básica possam ser melhor trabalhadas em temas transversais, aumentando, do mesmo modo, a importância de uma formação integrada e interdisciplinar;</w:t>
      </w:r>
    </w:p>
    <w:p w14:paraId="2D0FB511" w14:textId="77777777" w:rsidR="00EE3346" w:rsidRPr="00C749C7" w:rsidRDefault="00EE3346" w:rsidP="00C749C7">
      <w:pPr>
        <w:pStyle w:val="PargrafodaLista"/>
        <w:numPr>
          <w:ilvl w:val="0"/>
          <w:numId w:val="2"/>
        </w:numPr>
        <w:tabs>
          <w:tab w:val="clear" w:pos="1615"/>
        </w:tabs>
        <w:spacing w:line="360" w:lineRule="auto"/>
        <w:ind w:left="714" w:hanging="357"/>
        <w:contextualSpacing w:val="0"/>
        <w:jc w:val="both"/>
        <w:rPr>
          <w:rFonts w:asciiTheme="majorHAnsi" w:hAnsiTheme="majorHAnsi" w:cstheme="majorHAnsi"/>
          <w:sz w:val="24"/>
          <w:szCs w:val="24"/>
        </w:rPr>
      </w:pPr>
      <w:r w:rsidRPr="00C749C7">
        <w:rPr>
          <w:rFonts w:asciiTheme="majorHAnsi" w:hAnsiTheme="majorHAnsi" w:cstheme="majorHAnsi"/>
          <w:sz w:val="24"/>
          <w:szCs w:val="24"/>
        </w:rPr>
        <w:t>Ela permite uma formação superior desatrelada a profissões específicas, mas com abrangência para permitir uma visão mais holística e completa da área, com consequente amadurecimento na condução da continuidade do próprio aprendizado;</w:t>
      </w:r>
    </w:p>
    <w:p w14:paraId="4EA21183" w14:textId="77777777" w:rsidR="00EE3346" w:rsidRPr="00C749C7" w:rsidRDefault="00EE3346" w:rsidP="00C749C7">
      <w:pPr>
        <w:pStyle w:val="PargrafodaLista"/>
        <w:numPr>
          <w:ilvl w:val="0"/>
          <w:numId w:val="2"/>
        </w:numPr>
        <w:tabs>
          <w:tab w:val="clear" w:pos="1615"/>
        </w:tabs>
        <w:spacing w:line="360" w:lineRule="auto"/>
        <w:ind w:left="714" w:hanging="357"/>
        <w:contextualSpacing w:val="0"/>
        <w:jc w:val="both"/>
        <w:rPr>
          <w:rFonts w:asciiTheme="majorHAnsi" w:hAnsiTheme="majorHAnsi" w:cstheme="majorHAnsi"/>
          <w:sz w:val="24"/>
          <w:szCs w:val="24"/>
        </w:rPr>
      </w:pPr>
      <w:r w:rsidRPr="00C749C7">
        <w:rPr>
          <w:rFonts w:asciiTheme="majorHAnsi" w:hAnsiTheme="majorHAnsi" w:cstheme="majorHAnsi"/>
          <w:sz w:val="24"/>
          <w:szCs w:val="24"/>
        </w:rPr>
        <w:t>A estruturação leva a certificações intermediárias que podem ser de valia para uma maior ascensão profissional, ainda que sem a obtenção de um grau acadêmico específico, já que muitas colocações no mundo do trabalho representam setores que não exigem esse grau ou pertencem a atividades ainda não regulamentadas em lei.</w:t>
      </w:r>
    </w:p>
    <w:p w14:paraId="3A869B3E" w14:textId="1014C1C3" w:rsidR="00EE3346" w:rsidRPr="00C749C7" w:rsidRDefault="00EE3346" w:rsidP="00C749C7">
      <w:pPr>
        <w:tabs>
          <w:tab w:val="clear" w:pos="1615"/>
        </w:tabs>
        <w:spacing w:line="360" w:lineRule="auto"/>
        <w:ind w:firstLine="709"/>
        <w:jc w:val="both"/>
        <w:rPr>
          <w:rFonts w:asciiTheme="majorHAnsi" w:hAnsiTheme="majorHAnsi" w:cstheme="majorHAnsi"/>
          <w:sz w:val="24"/>
          <w:szCs w:val="24"/>
        </w:rPr>
      </w:pPr>
      <w:r w:rsidRPr="00C749C7">
        <w:rPr>
          <w:rFonts w:asciiTheme="majorHAnsi" w:hAnsiTheme="majorHAnsi" w:cstheme="majorHAnsi"/>
          <w:sz w:val="24"/>
          <w:szCs w:val="24"/>
        </w:rPr>
        <w:t>Em contrapartida, o ingresso via formação geral pode dificultar o preenchimento das vagas ofertadas em escolas que não têm uma tradição na formação de quadros de nível superior, já que pode induzir um candidato a pensar nas vantagens de ingresso na carreira específica desejada em vez de receber uma formação prévia para depois concorrer por ela em um segundo momento.</w:t>
      </w:r>
    </w:p>
    <w:p w14:paraId="58FE6C65" w14:textId="0759FCCE" w:rsidR="00EE3346" w:rsidRPr="00C749C7" w:rsidRDefault="00EE3346" w:rsidP="00C749C7">
      <w:pPr>
        <w:tabs>
          <w:tab w:val="clear" w:pos="1615"/>
        </w:tabs>
        <w:spacing w:line="360" w:lineRule="auto"/>
        <w:ind w:firstLine="709"/>
        <w:jc w:val="both"/>
        <w:rPr>
          <w:rFonts w:asciiTheme="majorHAnsi" w:hAnsiTheme="majorHAnsi" w:cstheme="majorHAnsi"/>
          <w:sz w:val="24"/>
          <w:szCs w:val="24"/>
        </w:rPr>
      </w:pPr>
      <w:r w:rsidRPr="00C749C7">
        <w:rPr>
          <w:rFonts w:asciiTheme="majorHAnsi" w:hAnsiTheme="majorHAnsi" w:cstheme="majorHAnsi"/>
          <w:sz w:val="24"/>
          <w:szCs w:val="24"/>
        </w:rPr>
        <w:t>Desse modo, as vantagens de ingressos menos vocacionados superam uma eventual desvantagem que possa ocorrer num primeiro momento em função da falta de tradição da UnDF, principalmente por conta da demanda aquecida na área de informática que é a sugerida para oferta inicial de cursos.</w:t>
      </w:r>
    </w:p>
    <w:p w14:paraId="3391347C" w14:textId="0C6605DF" w:rsidR="00EE3346" w:rsidRPr="00516038" w:rsidRDefault="00C749C7" w:rsidP="00C749C7">
      <w:pPr>
        <w:pStyle w:val="Ttulo3"/>
        <w:numPr>
          <w:ilvl w:val="2"/>
          <w:numId w:val="1"/>
        </w:numPr>
        <w:ind w:left="709" w:hanging="709"/>
        <w:rPr>
          <w:rFonts w:asciiTheme="majorHAnsi" w:hAnsiTheme="majorHAnsi" w:cstheme="majorHAnsi"/>
        </w:rPr>
      </w:pPr>
      <w:bookmarkStart w:id="24" w:name="_Toc102134972"/>
      <w:r w:rsidRPr="00516038">
        <w:rPr>
          <w:rFonts w:asciiTheme="majorHAnsi" w:hAnsiTheme="majorHAnsi" w:cstheme="majorHAnsi"/>
        </w:rPr>
        <w:t>VAGAS PARA INGRESSO E ABANDONO ESCOLAR</w:t>
      </w:r>
      <w:bookmarkEnd w:id="24"/>
    </w:p>
    <w:p w14:paraId="6497520F" w14:textId="22442FB2" w:rsidR="00EE3346" w:rsidRPr="00C749C7" w:rsidRDefault="00EE3346" w:rsidP="00C749C7">
      <w:pPr>
        <w:tabs>
          <w:tab w:val="clear" w:pos="1615"/>
        </w:tabs>
        <w:spacing w:line="360" w:lineRule="auto"/>
        <w:ind w:firstLine="709"/>
        <w:jc w:val="both"/>
        <w:rPr>
          <w:rFonts w:asciiTheme="majorHAnsi" w:hAnsiTheme="majorHAnsi" w:cstheme="majorHAnsi"/>
          <w:sz w:val="24"/>
          <w:szCs w:val="24"/>
        </w:rPr>
      </w:pPr>
      <w:r w:rsidRPr="00C749C7">
        <w:rPr>
          <w:rFonts w:asciiTheme="majorHAnsi" w:hAnsiTheme="majorHAnsi" w:cstheme="majorHAnsi"/>
          <w:sz w:val="24"/>
          <w:szCs w:val="24"/>
        </w:rPr>
        <w:t>A ESCS oferece, atualmente, 160 vagas para ingresso nos dois cursos ministrados, de Medicina e de Enfermagem. Supondo uma quantidade similar de vagas e a proposta de quatro cursos na área da computação (quatro bacharelados, dos quais dois são engenharias), poder-se-ia trabalhar com uma entrada inicial de 320 alunos. Entretanto, a quantidade de vagas pode ser estabelecida a partir da demanda atualmente existente, a fim de atingir, de forma mais significativa, a população distrital.</w:t>
      </w:r>
    </w:p>
    <w:p w14:paraId="1C340190" w14:textId="2CE696BB" w:rsidR="00EE3346" w:rsidRPr="00C749C7" w:rsidRDefault="00EE3346" w:rsidP="00C749C7">
      <w:pPr>
        <w:tabs>
          <w:tab w:val="clear" w:pos="1615"/>
        </w:tabs>
        <w:spacing w:line="360" w:lineRule="auto"/>
        <w:ind w:firstLine="709"/>
        <w:jc w:val="both"/>
        <w:rPr>
          <w:rFonts w:asciiTheme="majorHAnsi" w:hAnsiTheme="majorHAnsi" w:cstheme="majorHAnsi"/>
          <w:sz w:val="24"/>
          <w:szCs w:val="24"/>
        </w:rPr>
      </w:pPr>
      <w:r w:rsidRPr="00C749C7">
        <w:rPr>
          <w:rFonts w:asciiTheme="majorHAnsi" w:hAnsiTheme="majorHAnsi" w:cstheme="majorHAnsi"/>
          <w:sz w:val="24"/>
          <w:szCs w:val="24"/>
        </w:rPr>
        <w:t>Dados de demanda dos cursos, perfil de ingressantes, distribuição e outros, constam do detalhado levantamento realizado pelo Cebraspe em 2021 (ROBL, 2021) e foi feito um pequeno recorte de alguns cursos diretamente ligados à área da computação e interdisciplinares que poderiam ser ofertados imediatamente pela UnDF (Tabela 1.2). É importante notar que a relação de candidatos por vaga no DF é alta para o total da oferta do curso de Engenharia de Computação (4,2 c/v) o que é muito superior do que para o Brasil de forma geral (1,7 c/v). Entretanto, esse valor para IES públicas, de 6,1 candidatos/vaga no DF é um pouco inferior a essa relação em nível nacional (7,3). Em Engenharia de Software, as IES públicas no país apresentaram relação de 5,4 c/v, 6 vezes superior ao total de IES. No DF, as vagas públicas ofertadas foram apenas para preenchimento de vagas remanescentes e não de ingresso (dados não mostrados, INEP, 2020). Apesar disso, há uma maior relação candidatos/vaga no DF que no total do país (Tabela 1.2). Ainda com relação à comparação entre o DF e o país, a tabela mostra uma diferença marcante: a falta da oferta de formações interdisciplinares em áreas correlatas e, ainda que haja a oferta de um programa interdisciplinar na área da computação, ele só é ofertado em IES privadas. O mesmo ocorre com o curso de Sistemas de Informação, com mais de 5 mil vagas em 2019, mas todas em IES privadas. Em menor quantidade, isso também ocorre com o Curso de Engenharia de Software público que, ao menos no ano em tela, não iniciou turmas novas conforme já citado.</w:t>
      </w:r>
    </w:p>
    <w:p w14:paraId="56B4BFCD" w14:textId="77777777" w:rsidR="00EE3346" w:rsidRPr="00516038" w:rsidRDefault="00EE3346" w:rsidP="00516038">
      <w:pPr>
        <w:tabs>
          <w:tab w:val="clear" w:pos="1615"/>
        </w:tabs>
        <w:jc w:val="both"/>
        <w:rPr>
          <w:rFonts w:asciiTheme="majorHAnsi" w:hAnsiTheme="majorHAnsi" w:cstheme="majorHAnsi"/>
        </w:rPr>
      </w:pPr>
    </w:p>
    <w:p w14:paraId="6F2F0DF6" w14:textId="77777777" w:rsidR="00EE3346" w:rsidRPr="00516038" w:rsidRDefault="00EE3346" w:rsidP="008A364C">
      <w:pPr>
        <w:pStyle w:val="Legenda"/>
      </w:pPr>
      <w:r w:rsidRPr="00516038">
        <w:t>Tabela 1.2 – Dados sobre vagas, candidatos inscritos e ingressantes em cursos da área da computação no Brasil e DF.</w:t>
      </w:r>
    </w:p>
    <w:tbl>
      <w:tblPr>
        <w:tblStyle w:val="TabeladeGrade41"/>
        <w:tblW w:w="95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3"/>
        <w:gridCol w:w="1060"/>
        <w:gridCol w:w="698"/>
        <w:gridCol w:w="476"/>
        <w:gridCol w:w="884"/>
        <w:gridCol w:w="810"/>
        <w:gridCol w:w="502"/>
        <w:gridCol w:w="810"/>
        <w:gridCol w:w="716"/>
        <w:gridCol w:w="476"/>
        <w:gridCol w:w="466"/>
        <w:gridCol w:w="777"/>
      </w:tblGrid>
      <w:tr w:rsidR="00C749C7" w:rsidRPr="00C749C7" w14:paraId="18E21773" w14:textId="77777777" w:rsidTr="00C749C7">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7" w:type="dxa"/>
            <w:vMerge w:val="restart"/>
            <w:tcBorders>
              <w:top w:val="none" w:sz="0" w:space="0" w:color="auto"/>
              <w:left w:val="none" w:sz="0" w:space="0" w:color="auto"/>
              <w:bottom w:val="none" w:sz="0" w:space="0" w:color="auto"/>
              <w:right w:val="none" w:sz="0" w:space="0" w:color="auto"/>
            </w:tcBorders>
            <w:noWrap/>
            <w:hideMark/>
          </w:tcPr>
          <w:p w14:paraId="7B37852F" w14:textId="77777777" w:rsidR="00EE3346" w:rsidRPr="00C749C7" w:rsidRDefault="00EE3346" w:rsidP="00516038">
            <w:pPr>
              <w:tabs>
                <w:tab w:val="clear" w:pos="1615"/>
              </w:tabs>
              <w:rPr>
                <w:rFonts w:asciiTheme="majorHAnsi" w:eastAsia="Times New Roman" w:hAnsiTheme="majorHAnsi" w:cstheme="majorHAnsi"/>
                <w:b w:val="0"/>
                <w:bCs w:val="0"/>
                <w:sz w:val="16"/>
                <w:szCs w:val="16"/>
                <w:lang w:eastAsia="pt-BR"/>
              </w:rPr>
            </w:pPr>
            <w:r w:rsidRPr="00C749C7">
              <w:rPr>
                <w:rFonts w:asciiTheme="majorHAnsi" w:eastAsia="Times New Roman" w:hAnsiTheme="majorHAnsi" w:cstheme="majorHAnsi"/>
                <w:sz w:val="16"/>
                <w:szCs w:val="16"/>
                <w:lang w:eastAsia="pt-BR"/>
              </w:rPr>
              <w:t>Curso</w:t>
            </w:r>
          </w:p>
        </w:tc>
        <w:tc>
          <w:tcPr>
            <w:tcW w:w="2381" w:type="dxa"/>
            <w:gridSpan w:val="3"/>
            <w:tcBorders>
              <w:top w:val="none" w:sz="0" w:space="0" w:color="auto"/>
              <w:left w:val="none" w:sz="0" w:space="0" w:color="auto"/>
              <w:bottom w:val="none" w:sz="0" w:space="0" w:color="auto"/>
              <w:right w:val="none" w:sz="0" w:space="0" w:color="auto"/>
            </w:tcBorders>
            <w:noWrap/>
            <w:hideMark/>
          </w:tcPr>
          <w:p w14:paraId="1BFD4ECB" w14:textId="77777777" w:rsidR="00EE3346" w:rsidRPr="00C749C7" w:rsidRDefault="00EE3346" w:rsidP="00516038">
            <w:pPr>
              <w:tabs>
                <w:tab w:val="clear" w:pos="1615"/>
              </w:tabs>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sz w:val="16"/>
                <w:szCs w:val="16"/>
                <w:lang w:eastAsia="pt-BR"/>
              </w:rPr>
            </w:pPr>
            <w:r w:rsidRPr="00C749C7">
              <w:rPr>
                <w:rFonts w:asciiTheme="majorHAnsi" w:eastAsia="Times New Roman" w:hAnsiTheme="majorHAnsi" w:cstheme="majorHAnsi"/>
                <w:sz w:val="16"/>
                <w:szCs w:val="16"/>
                <w:lang w:eastAsia="pt-BR"/>
              </w:rPr>
              <w:t>Vagas (1)</w:t>
            </w:r>
          </w:p>
        </w:tc>
        <w:tc>
          <w:tcPr>
            <w:tcW w:w="2340" w:type="dxa"/>
            <w:gridSpan w:val="3"/>
            <w:tcBorders>
              <w:top w:val="none" w:sz="0" w:space="0" w:color="auto"/>
              <w:left w:val="none" w:sz="0" w:space="0" w:color="auto"/>
              <w:bottom w:val="none" w:sz="0" w:space="0" w:color="auto"/>
              <w:right w:val="none" w:sz="0" w:space="0" w:color="auto"/>
            </w:tcBorders>
            <w:noWrap/>
            <w:hideMark/>
          </w:tcPr>
          <w:p w14:paraId="5FC478D1" w14:textId="77777777" w:rsidR="00EE3346" w:rsidRPr="00C749C7" w:rsidRDefault="00EE3346" w:rsidP="00516038">
            <w:pPr>
              <w:tabs>
                <w:tab w:val="clear" w:pos="1615"/>
              </w:tabs>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sz w:val="16"/>
                <w:szCs w:val="16"/>
                <w:lang w:eastAsia="pt-BR"/>
              </w:rPr>
            </w:pPr>
            <w:r w:rsidRPr="00C749C7">
              <w:rPr>
                <w:rFonts w:asciiTheme="majorHAnsi" w:eastAsia="Times New Roman" w:hAnsiTheme="majorHAnsi" w:cstheme="majorHAnsi"/>
                <w:sz w:val="16"/>
                <w:szCs w:val="16"/>
                <w:lang w:eastAsia="pt-BR"/>
              </w:rPr>
              <w:t>Inscritos (1)</w:t>
            </w:r>
          </w:p>
        </w:tc>
        <w:tc>
          <w:tcPr>
            <w:tcW w:w="2127" w:type="dxa"/>
            <w:gridSpan w:val="3"/>
            <w:tcBorders>
              <w:top w:val="none" w:sz="0" w:space="0" w:color="auto"/>
              <w:left w:val="none" w:sz="0" w:space="0" w:color="auto"/>
              <w:bottom w:val="none" w:sz="0" w:space="0" w:color="auto"/>
              <w:right w:val="none" w:sz="0" w:space="0" w:color="auto"/>
            </w:tcBorders>
            <w:noWrap/>
            <w:hideMark/>
          </w:tcPr>
          <w:p w14:paraId="0F5BD72D" w14:textId="77777777" w:rsidR="00EE3346" w:rsidRPr="00C749C7" w:rsidRDefault="00EE3346" w:rsidP="00516038">
            <w:pPr>
              <w:tabs>
                <w:tab w:val="clear" w:pos="1615"/>
              </w:tabs>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sz w:val="16"/>
                <w:szCs w:val="16"/>
                <w:lang w:eastAsia="pt-BR"/>
              </w:rPr>
            </w:pPr>
            <w:r w:rsidRPr="00C749C7">
              <w:rPr>
                <w:rFonts w:asciiTheme="majorHAnsi" w:eastAsia="Times New Roman" w:hAnsiTheme="majorHAnsi" w:cstheme="majorHAnsi"/>
                <w:sz w:val="16"/>
                <w:szCs w:val="16"/>
                <w:lang w:eastAsia="pt-BR"/>
              </w:rPr>
              <w:t>Ingressos (1)</w:t>
            </w:r>
          </w:p>
        </w:tc>
        <w:tc>
          <w:tcPr>
            <w:tcW w:w="1318" w:type="dxa"/>
            <w:gridSpan w:val="2"/>
            <w:tcBorders>
              <w:top w:val="none" w:sz="0" w:space="0" w:color="auto"/>
              <w:left w:val="none" w:sz="0" w:space="0" w:color="auto"/>
              <w:bottom w:val="none" w:sz="0" w:space="0" w:color="auto"/>
              <w:right w:val="none" w:sz="0" w:space="0" w:color="auto"/>
            </w:tcBorders>
            <w:noWrap/>
            <w:hideMark/>
          </w:tcPr>
          <w:p w14:paraId="515A8661" w14:textId="77777777" w:rsidR="00EE3346" w:rsidRPr="00C749C7" w:rsidRDefault="00EE3346" w:rsidP="00516038">
            <w:pPr>
              <w:tabs>
                <w:tab w:val="clear" w:pos="1615"/>
              </w:tabs>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sz w:val="16"/>
                <w:szCs w:val="16"/>
                <w:lang w:eastAsia="pt-BR"/>
              </w:rPr>
            </w:pPr>
            <w:r w:rsidRPr="00C749C7">
              <w:rPr>
                <w:rFonts w:asciiTheme="majorHAnsi" w:eastAsia="Times New Roman" w:hAnsiTheme="majorHAnsi" w:cstheme="majorHAnsi"/>
                <w:sz w:val="16"/>
                <w:szCs w:val="16"/>
                <w:lang w:eastAsia="pt-BR"/>
              </w:rPr>
              <w:t>Relação c/v</w:t>
            </w:r>
          </w:p>
        </w:tc>
      </w:tr>
      <w:tr w:rsidR="00C749C7" w:rsidRPr="00516038" w14:paraId="3DAFD208" w14:textId="77777777" w:rsidTr="00C749C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7" w:type="dxa"/>
            <w:vMerge/>
            <w:hideMark/>
          </w:tcPr>
          <w:p w14:paraId="34AA52F2" w14:textId="77777777" w:rsidR="00EE3346" w:rsidRPr="00516038" w:rsidRDefault="00EE3346" w:rsidP="00516038">
            <w:pPr>
              <w:tabs>
                <w:tab w:val="clear" w:pos="1615"/>
              </w:tabs>
              <w:rPr>
                <w:rFonts w:asciiTheme="majorHAnsi" w:eastAsia="Times New Roman" w:hAnsiTheme="majorHAnsi" w:cstheme="majorHAnsi"/>
                <w:b w:val="0"/>
                <w:bCs w:val="0"/>
                <w:color w:val="000000"/>
                <w:sz w:val="16"/>
                <w:szCs w:val="16"/>
                <w:lang w:eastAsia="pt-BR"/>
              </w:rPr>
            </w:pPr>
          </w:p>
        </w:tc>
        <w:tc>
          <w:tcPr>
            <w:tcW w:w="1138" w:type="dxa"/>
            <w:noWrap/>
            <w:hideMark/>
          </w:tcPr>
          <w:p w14:paraId="053CE24A"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Total</w:t>
            </w:r>
          </w:p>
        </w:tc>
        <w:tc>
          <w:tcPr>
            <w:tcW w:w="743" w:type="dxa"/>
            <w:noWrap/>
            <w:hideMark/>
          </w:tcPr>
          <w:p w14:paraId="0BC1D23B"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Pública</w:t>
            </w:r>
          </w:p>
        </w:tc>
        <w:tc>
          <w:tcPr>
            <w:tcW w:w="500" w:type="dxa"/>
            <w:noWrap/>
            <w:hideMark/>
          </w:tcPr>
          <w:p w14:paraId="25AACE64"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w:t>
            </w:r>
          </w:p>
        </w:tc>
        <w:tc>
          <w:tcPr>
            <w:tcW w:w="946" w:type="dxa"/>
            <w:noWrap/>
            <w:hideMark/>
          </w:tcPr>
          <w:p w14:paraId="24BCAB92"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Total</w:t>
            </w:r>
          </w:p>
        </w:tc>
        <w:tc>
          <w:tcPr>
            <w:tcW w:w="865" w:type="dxa"/>
            <w:noWrap/>
            <w:hideMark/>
          </w:tcPr>
          <w:p w14:paraId="750EC053"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Públicas</w:t>
            </w:r>
          </w:p>
        </w:tc>
        <w:tc>
          <w:tcPr>
            <w:tcW w:w="529" w:type="dxa"/>
            <w:noWrap/>
            <w:hideMark/>
          </w:tcPr>
          <w:p w14:paraId="51F52A82"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w:t>
            </w:r>
          </w:p>
        </w:tc>
        <w:tc>
          <w:tcPr>
            <w:tcW w:w="865" w:type="dxa"/>
            <w:noWrap/>
            <w:hideMark/>
          </w:tcPr>
          <w:p w14:paraId="456CAEE5"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Total</w:t>
            </w:r>
          </w:p>
        </w:tc>
        <w:tc>
          <w:tcPr>
            <w:tcW w:w="762" w:type="dxa"/>
            <w:noWrap/>
            <w:hideMark/>
          </w:tcPr>
          <w:p w14:paraId="757E4FB8"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Públicas</w:t>
            </w:r>
          </w:p>
        </w:tc>
        <w:tc>
          <w:tcPr>
            <w:tcW w:w="500" w:type="dxa"/>
            <w:noWrap/>
            <w:hideMark/>
          </w:tcPr>
          <w:p w14:paraId="09C53F75"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w:t>
            </w:r>
          </w:p>
        </w:tc>
        <w:tc>
          <w:tcPr>
            <w:tcW w:w="489" w:type="dxa"/>
            <w:noWrap/>
            <w:hideMark/>
          </w:tcPr>
          <w:p w14:paraId="6F20177C" w14:textId="77777777" w:rsidR="00EE3346" w:rsidRPr="00516038" w:rsidRDefault="00EE3346" w:rsidP="00516038">
            <w:pPr>
              <w:tabs>
                <w:tab w:val="clear" w:pos="1615"/>
              </w:tabs>
              <w:ind w:hanging="66"/>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Total</w:t>
            </w:r>
          </w:p>
        </w:tc>
        <w:tc>
          <w:tcPr>
            <w:tcW w:w="829" w:type="dxa"/>
            <w:noWrap/>
            <w:hideMark/>
          </w:tcPr>
          <w:p w14:paraId="3D31E1CA"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Pública</w:t>
            </w:r>
          </w:p>
        </w:tc>
      </w:tr>
      <w:tr w:rsidR="00C749C7" w:rsidRPr="00516038" w14:paraId="626CF56D" w14:textId="77777777" w:rsidTr="00C749C7">
        <w:trPr>
          <w:trHeight w:val="288"/>
        </w:trPr>
        <w:tc>
          <w:tcPr>
            <w:cnfStyle w:val="001000000000" w:firstRow="0" w:lastRow="0" w:firstColumn="1" w:lastColumn="0" w:oddVBand="0" w:evenVBand="0" w:oddHBand="0" w:evenHBand="0" w:firstRowFirstColumn="0" w:firstRowLastColumn="0" w:lastRowFirstColumn="0" w:lastRowLastColumn="0"/>
            <w:tcW w:w="1417" w:type="dxa"/>
            <w:noWrap/>
            <w:hideMark/>
          </w:tcPr>
          <w:p w14:paraId="1D1959F8" w14:textId="77777777" w:rsidR="00EE3346" w:rsidRPr="00516038" w:rsidRDefault="00EE3346" w:rsidP="00516038">
            <w:pPr>
              <w:tabs>
                <w:tab w:val="clear" w:pos="1615"/>
              </w:tabs>
              <w:rPr>
                <w:rFonts w:asciiTheme="majorHAnsi" w:eastAsia="Times New Roman" w:hAnsiTheme="majorHAnsi" w:cstheme="majorHAnsi"/>
                <w:b w:val="0"/>
                <w:bCs w:val="0"/>
                <w:color w:val="000000"/>
                <w:sz w:val="16"/>
                <w:szCs w:val="16"/>
                <w:lang w:eastAsia="pt-BR"/>
              </w:rPr>
            </w:pPr>
            <w:r w:rsidRPr="00516038">
              <w:rPr>
                <w:rFonts w:asciiTheme="majorHAnsi" w:eastAsia="Times New Roman" w:hAnsiTheme="majorHAnsi" w:cstheme="majorHAnsi"/>
                <w:color w:val="000000"/>
                <w:sz w:val="16"/>
                <w:szCs w:val="16"/>
                <w:lang w:eastAsia="pt-BR"/>
              </w:rPr>
              <w:t>BRASIL - TOTAL</w:t>
            </w:r>
          </w:p>
        </w:tc>
        <w:tc>
          <w:tcPr>
            <w:tcW w:w="1138" w:type="dxa"/>
            <w:noWrap/>
            <w:hideMark/>
          </w:tcPr>
          <w:p w14:paraId="709D497F"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16.425.302</w:t>
            </w:r>
          </w:p>
        </w:tc>
        <w:tc>
          <w:tcPr>
            <w:tcW w:w="743" w:type="dxa"/>
            <w:noWrap/>
            <w:hideMark/>
          </w:tcPr>
          <w:p w14:paraId="5D197523"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837.809</w:t>
            </w:r>
          </w:p>
        </w:tc>
        <w:tc>
          <w:tcPr>
            <w:tcW w:w="500" w:type="dxa"/>
            <w:noWrap/>
            <w:hideMark/>
          </w:tcPr>
          <w:p w14:paraId="34AF9E0D"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5,1</w:t>
            </w:r>
          </w:p>
        </w:tc>
        <w:tc>
          <w:tcPr>
            <w:tcW w:w="946" w:type="dxa"/>
            <w:noWrap/>
            <w:hideMark/>
          </w:tcPr>
          <w:p w14:paraId="504F267F"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20.079.195</w:t>
            </w:r>
          </w:p>
        </w:tc>
        <w:tc>
          <w:tcPr>
            <w:tcW w:w="865" w:type="dxa"/>
            <w:noWrap/>
            <w:hideMark/>
          </w:tcPr>
          <w:p w14:paraId="0784C4CF"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6.253.215</w:t>
            </w:r>
          </w:p>
        </w:tc>
        <w:tc>
          <w:tcPr>
            <w:tcW w:w="529" w:type="dxa"/>
            <w:noWrap/>
            <w:hideMark/>
          </w:tcPr>
          <w:p w14:paraId="0B7EF78B"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31,1</w:t>
            </w:r>
          </w:p>
        </w:tc>
        <w:tc>
          <w:tcPr>
            <w:tcW w:w="865" w:type="dxa"/>
            <w:noWrap/>
            <w:hideMark/>
          </w:tcPr>
          <w:p w14:paraId="20EB47C5"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3.633.320</w:t>
            </w:r>
          </w:p>
        </w:tc>
        <w:tc>
          <w:tcPr>
            <w:tcW w:w="762" w:type="dxa"/>
            <w:noWrap/>
            <w:hideMark/>
          </w:tcPr>
          <w:p w14:paraId="7D2D13D9"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559.293</w:t>
            </w:r>
          </w:p>
        </w:tc>
        <w:tc>
          <w:tcPr>
            <w:tcW w:w="500" w:type="dxa"/>
            <w:noWrap/>
            <w:hideMark/>
          </w:tcPr>
          <w:p w14:paraId="455F7061"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15,4</w:t>
            </w:r>
          </w:p>
        </w:tc>
        <w:tc>
          <w:tcPr>
            <w:tcW w:w="489" w:type="dxa"/>
            <w:noWrap/>
            <w:hideMark/>
          </w:tcPr>
          <w:p w14:paraId="79671F83"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1,2</w:t>
            </w:r>
          </w:p>
        </w:tc>
        <w:tc>
          <w:tcPr>
            <w:tcW w:w="829" w:type="dxa"/>
            <w:noWrap/>
            <w:hideMark/>
          </w:tcPr>
          <w:p w14:paraId="0430E279"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7,5</w:t>
            </w:r>
          </w:p>
        </w:tc>
      </w:tr>
      <w:tr w:rsidR="00C749C7" w:rsidRPr="00516038" w14:paraId="7B280A27" w14:textId="77777777" w:rsidTr="00C749C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7" w:type="dxa"/>
            <w:noWrap/>
            <w:hideMark/>
          </w:tcPr>
          <w:p w14:paraId="09103CA7" w14:textId="77777777" w:rsidR="00EE3346" w:rsidRPr="00516038" w:rsidRDefault="00EE3346" w:rsidP="00516038">
            <w:pPr>
              <w:tabs>
                <w:tab w:val="clear" w:pos="1615"/>
              </w:tabs>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 xml:space="preserve">Ciência da computação </w:t>
            </w:r>
          </w:p>
        </w:tc>
        <w:tc>
          <w:tcPr>
            <w:tcW w:w="1138" w:type="dxa"/>
            <w:noWrap/>
            <w:hideMark/>
          </w:tcPr>
          <w:p w14:paraId="4EF39547"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85.897</w:t>
            </w:r>
          </w:p>
        </w:tc>
        <w:tc>
          <w:tcPr>
            <w:tcW w:w="743" w:type="dxa"/>
            <w:noWrap/>
            <w:hideMark/>
          </w:tcPr>
          <w:p w14:paraId="71B2B0FD"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10.787</w:t>
            </w:r>
          </w:p>
        </w:tc>
        <w:tc>
          <w:tcPr>
            <w:tcW w:w="500" w:type="dxa"/>
            <w:noWrap/>
            <w:hideMark/>
          </w:tcPr>
          <w:p w14:paraId="6F3CBED6"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12,6</w:t>
            </w:r>
          </w:p>
        </w:tc>
        <w:tc>
          <w:tcPr>
            <w:tcW w:w="946" w:type="dxa"/>
            <w:noWrap/>
            <w:hideMark/>
          </w:tcPr>
          <w:p w14:paraId="08720B5C"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149.578</w:t>
            </w:r>
          </w:p>
        </w:tc>
        <w:tc>
          <w:tcPr>
            <w:tcW w:w="865" w:type="dxa"/>
            <w:noWrap/>
            <w:hideMark/>
          </w:tcPr>
          <w:p w14:paraId="1A2A8664"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78.886</w:t>
            </w:r>
          </w:p>
        </w:tc>
        <w:tc>
          <w:tcPr>
            <w:tcW w:w="529" w:type="dxa"/>
            <w:noWrap/>
            <w:hideMark/>
          </w:tcPr>
          <w:p w14:paraId="6C72661E"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52,7</w:t>
            </w:r>
          </w:p>
        </w:tc>
        <w:tc>
          <w:tcPr>
            <w:tcW w:w="865" w:type="dxa"/>
            <w:noWrap/>
            <w:hideMark/>
          </w:tcPr>
          <w:p w14:paraId="7BC48B26"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26.270</w:t>
            </w:r>
          </w:p>
        </w:tc>
        <w:tc>
          <w:tcPr>
            <w:tcW w:w="762" w:type="dxa"/>
            <w:noWrap/>
            <w:hideMark/>
          </w:tcPr>
          <w:p w14:paraId="3E1B338E"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8.255</w:t>
            </w:r>
          </w:p>
        </w:tc>
        <w:tc>
          <w:tcPr>
            <w:tcW w:w="500" w:type="dxa"/>
            <w:noWrap/>
            <w:hideMark/>
          </w:tcPr>
          <w:p w14:paraId="3495A714"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31,4</w:t>
            </w:r>
          </w:p>
        </w:tc>
        <w:tc>
          <w:tcPr>
            <w:tcW w:w="489" w:type="dxa"/>
            <w:noWrap/>
            <w:hideMark/>
          </w:tcPr>
          <w:p w14:paraId="6C377198"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1,7</w:t>
            </w:r>
          </w:p>
        </w:tc>
        <w:tc>
          <w:tcPr>
            <w:tcW w:w="829" w:type="dxa"/>
            <w:noWrap/>
            <w:hideMark/>
          </w:tcPr>
          <w:p w14:paraId="260DD16D"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7,3</w:t>
            </w:r>
          </w:p>
        </w:tc>
      </w:tr>
      <w:tr w:rsidR="00C749C7" w:rsidRPr="00516038" w14:paraId="19EE2712" w14:textId="77777777" w:rsidTr="00C749C7">
        <w:trPr>
          <w:trHeight w:val="288"/>
        </w:trPr>
        <w:tc>
          <w:tcPr>
            <w:cnfStyle w:val="001000000000" w:firstRow="0" w:lastRow="0" w:firstColumn="1" w:lastColumn="0" w:oddVBand="0" w:evenVBand="0" w:oddHBand="0" w:evenHBand="0" w:firstRowFirstColumn="0" w:firstRowLastColumn="0" w:lastRowFirstColumn="0" w:lastRowLastColumn="0"/>
            <w:tcW w:w="1417" w:type="dxa"/>
            <w:noWrap/>
            <w:hideMark/>
          </w:tcPr>
          <w:p w14:paraId="4A1A65EA" w14:textId="77777777" w:rsidR="00EE3346" w:rsidRPr="00516038" w:rsidRDefault="00EE3346" w:rsidP="00516038">
            <w:pPr>
              <w:tabs>
                <w:tab w:val="clear" w:pos="1615"/>
              </w:tabs>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Engenharia de computação (2)</w:t>
            </w:r>
          </w:p>
        </w:tc>
        <w:tc>
          <w:tcPr>
            <w:tcW w:w="1138" w:type="dxa"/>
            <w:noWrap/>
            <w:hideMark/>
          </w:tcPr>
          <w:p w14:paraId="71C4A3A3"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48.028</w:t>
            </w:r>
          </w:p>
        </w:tc>
        <w:tc>
          <w:tcPr>
            <w:tcW w:w="743" w:type="dxa"/>
            <w:noWrap/>
            <w:hideMark/>
          </w:tcPr>
          <w:p w14:paraId="1FC6980E"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5.772</w:t>
            </w:r>
          </w:p>
        </w:tc>
        <w:tc>
          <w:tcPr>
            <w:tcW w:w="500" w:type="dxa"/>
            <w:noWrap/>
            <w:hideMark/>
          </w:tcPr>
          <w:p w14:paraId="20C42409"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12,0</w:t>
            </w:r>
          </w:p>
        </w:tc>
        <w:tc>
          <w:tcPr>
            <w:tcW w:w="946" w:type="dxa"/>
            <w:noWrap/>
            <w:hideMark/>
          </w:tcPr>
          <w:p w14:paraId="1FA723AB"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82.061</w:t>
            </w:r>
          </w:p>
        </w:tc>
        <w:tc>
          <w:tcPr>
            <w:tcW w:w="865" w:type="dxa"/>
            <w:noWrap/>
            <w:hideMark/>
          </w:tcPr>
          <w:p w14:paraId="6A102C03"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42.192</w:t>
            </w:r>
          </w:p>
        </w:tc>
        <w:tc>
          <w:tcPr>
            <w:tcW w:w="529" w:type="dxa"/>
            <w:noWrap/>
            <w:hideMark/>
          </w:tcPr>
          <w:p w14:paraId="09756794"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51,4</w:t>
            </w:r>
          </w:p>
        </w:tc>
        <w:tc>
          <w:tcPr>
            <w:tcW w:w="865" w:type="dxa"/>
            <w:noWrap/>
            <w:hideMark/>
          </w:tcPr>
          <w:p w14:paraId="78134F3C"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12.622</w:t>
            </w:r>
          </w:p>
        </w:tc>
        <w:tc>
          <w:tcPr>
            <w:tcW w:w="762" w:type="dxa"/>
            <w:noWrap/>
            <w:hideMark/>
          </w:tcPr>
          <w:p w14:paraId="17D3B306"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4.420</w:t>
            </w:r>
          </w:p>
        </w:tc>
        <w:tc>
          <w:tcPr>
            <w:tcW w:w="500" w:type="dxa"/>
            <w:noWrap/>
            <w:hideMark/>
          </w:tcPr>
          <w:p w14:paraId="2F87BB55"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35,0</w:t>
            </w:r>
          </w:p>
        </w:tc>
        <w:tc>
          <w:tcPr>
            <w:tcW w:w="489" w:type="dxa"/>
            <w:noWrap/>
            <w:hideMark/>
          </w:tcPr>
          <w:p w14:paraId="052A70AB"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1,7</w:t>
            </w:r>
          </w:p>
        </w:tc>
        <w:tc>
          <w:tcPr>
            <w:tcW w:w="829" w:type="dxa"/>
            <w:noWrap/>
            <w:hideMark/>
          </w:tcPr>
          <w:p w14:paraId="4830F9DB"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7,3</w:t>
            </w:r>
          </w:p>
        </w:tc>
      </w:tr>
      <w:tr w:rsidR="00C749C7" w:rsidRPr="00516038" w14:paraId="44D6A667" w14:textId="77777777" w:rsidTr="00C749C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7" w:type="dxa"/>
            <w:noWrap/>
            <w:hideMark/>
          </w:tcPr>
          <w:p w14:paraId="605D8F37" w14:textId="77777777" w:rsidR="00EE3346" w:rsidRPr="00516038" w:rsidRDefault="00EE3346" w:rsidP="00516038">
            <w:pPr>
              <w:tabs>
                <w:tab w:val="clear" w:pos="1615"/>
              </w:tabs>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 xml:space="preserve">Engenharia de software </w:t>
            </w:r>
          </w:p>
        </w:tc>
        <w:tc>
          <w:tcPr>
            <w:tcW w:w="1138" w:type="dxa"/>
            <w:noWrap/>
            <w:hideMark/>
          </w:tcPr>
          <w:p w14:paraId="004C1B3C"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16.045</w:t>
            </w:r>
          </w:p>
        </w:tc>
        <w:tc>
          <w:tcPr>
            <w:tcW w:w="743" w:type="dxa"/>
            <w:noWrap/>
            <w:hideMark/>
          </w:tcPr>
          <w:p w14:paraId="02BD6FA5"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1.307</w:t>
            </w:r>
          </w:p>
        </w:tc>
        <w:tc>
          <w:tcPr>
            <w:tcW w:w="500" w:type="dxa"/>
            <w:noWrap/>
            <w:hideMark/>
          </w:tcPr>
          <w:p w14:paraId="3870ABD0"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8,1</w:t>
            </w:r>
          </w:p>
        </w:tc>
        <w:tc>
          <w:tcPr>
            <w:tcW w:w="946" w:type="dxa"/>
            <w:noWrap/>
            <w:hideMark/>
          </w:tcPr>
          <w:p w14:paraId="557C2C7B"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14.630</w:t>
            </w:r>
          </w:p>
        </w:tc>
        <w:tc>
          <w:tcPr>
            <w:tcW w:w="865" w:type="dxa"/>
            <w:noWrap/>
            <w:hideMark/>
          </w:tcPr>
          <w:p w14:paraId="17C3541C"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7.063</w:t>
            </w:r>
          </w:p>
        </w:tc>
        <w:tc>
          <w:tcPr>
            <w:tcW w:w="529" w:type="dxa"/>
            <w:noWrap/>
            <w:hideMark/>
          </w:tcPr>
          <w:p w14:paraId="3B7E7F74"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48,3</w:t>
            </w:r>
          </w:p>
        </w:tc>
        <w:tc>
          <w:tcPr>
            <w:tcW w:w="865" w:type="dxa"/>
            <w:noWrap/>
            <w:hideMark/>
          </w:tcPr>
          <w:p w14:paraId="7EEC5157"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4.443</w:t>
            </w:r>
          </w:p>
        </w:tc>
        <w:tc>
          <w:tcPr>
            <w:tcW w:w="762" w:type="dxa"/>
            <w:noWrap/>
            <w:hideMark/>
          </w:tcPr>
          <w:p w14:paraId="4AF96C64"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994</w:t>
            </w:r>
          </w:p>
        </w:tc>
        <w:tc>
          <w:tcPr>
            <w:tcW w:w="500" w:type="dxa"/>
            <w:noWrap/>
            <w:hideMark/>
          </w:tcPr>
          <w:p w14:paraId="5DC026D9"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22,4</w:t>
            </w:r>
          </w:p>
        </w:tc>
        <w:tc>
          <w:tcPr>
            <w:tcW w:w="489" w:type="dxa"/>
            <w:noWrap/>
            <w:hideMark/>
          </w:tcPr>
          <w:p w14:paraId="2F9F299A"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0,9</w:t>
            </w:r>
          </w:p>
        </w:tc>
        <w:tc>
          <w:tcPr>
            <w:tcW w:w="829" w:type="dxa"/>
            <w:noWrap/>
            <w:hideMark/>
          </w:tcPr>
          <w:p w14:paraId="080BB976"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5,4</w:t>
            </w:r>
          </w:p>
        </w:tc>
      </w:tr>
      <w:tr w:rsidR="00C749C7" w:rsidRPr="00516038" w14:paraId="03845912" w14:textId="77777777" w:rsidTr="00C749C7">
        <w:trPr>
          <w:trHeight w:val="288"/>
        </w:trPr>
        <w:tc>
          <w:tcPr>
            <w:cnfStyle w:val="001000000000" w:firstRow="0" w:lastRow="0" w:firstColumn="1" w:lastColumn="0" w:oddVBand="0" w:evenVBand="0" w:oddHBand="0" w:evenHBand="0" w:firstRowFirstColumn="0" w:firstRowLastColumn="0" w:lastRowFirstColumn="0" w:lastRowLastColumn="0"/>
            <w:tcW w:w="1417" w:type="dxa"/>
            <w:noWrap/>
            <w:hideMark/>
          </w:tcPr>
          <w:p w14:paraId="79BAA2A5" w14:textId="77777777" w:rsidR="00EE3346" w:rsidRPr="00516038" w:rsidRDefault="00EE3346" w:rsidP="00516038">
            <w:pPr>
              <w:tabs>
                <w:tab w:val="clear" w:pos="1615"/>
              </w:tabs>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 xml:space="preserve">Sistemas de informação </w:t>
            </w:r>
          </w:p>
        </w:tc>
        <w:tc>
          <w:tcPr>
            <w:tcW w:w="1138" w:type="dxa"/>
            <w:noWrap/>
            <w:hideMark/>
          </w:tcPr>
          <w:p w14:paraId="07FE7CFF"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494.193</w:t>
            </w:r>
          </w:p>
        </w:tc>
        <w:tc>
          <w:tcPr>
            <w:tcW w:w="743" w:type="dxa"/>
            <w:noWrap/>
            <w:hideMark/>
          </w:tcPr>
          <w:p w14:paraId="490DE939"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24.680</w:t>
            </w:r>
          </w:p>
        </w:tc>
        <w:tc>
          <w:tcPr>
            <w:tcW w:w="500" w:type="dxa"/>
            <w:noWrap/>
            <w:hideMark/>
          </w:tcPr>
          <w:p w14:paraId="35B91E74"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5,0</w:t>
            </w:r>
          </w:p>
        </w:tc>
        <w:tc>
          <w:tcPr>
            <w:tcW w:w="946" w:type="dxa"/>
            <w:noWrap/>
            <w:hideMark/>
          </w:tcPr>
          <w:p w14:paraId="19D20D74"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448.478</w:t>
            </w:r>
          </w:p>
        </w:tc>
        <w:tc>
          <w:tcPr>
            <w:tcW w:w="865" w:type="dxa"/>
            <w:noWrap/>
            <w:hideMark/>
          </w:tcPr>
          <w:p w14:paraId="2A5ACF4B"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136.850</w:t>
            </w:r>
          </w:p>
        </w:tc>
        <w:tc>
          <w:tcPr>
            <w:tcW w:w="529" w:type="dxa"/>
            <w:noWrap/>
            <w:hideMark/>
          </w:tcPr>
          <w:p w14:paraId="78CF33E7"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30,5</w:t>
            </w:r>
          </w:p>
        </w:tc>
        <w:tc>
          <w:tcPr>
            <w:tcW w:w="865" w:type="dxa"/>
            <w:noWrap/>
            <w:hideMark/>
          </w:tcPr>
          <w:p w14:paraId="400725F2"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101.189</w:t>
            </w:r>
          </w:p>
        </w:tc>
        <w:tc>
          <w:tcPr>
            <w:tcW w:w="762" w:type="dxa"/>
            <w:noWrap/>
            <w:hideMark/>
          </w:tcPr>
          <w:p w14:paraId="6D4786A9"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18.937</w:t>
            </w:r>
          </w:p>
        </w:tc>
        <w:tc>
          <w:tcPr>
            <w:tcW w:w="500" w:type="dxa"/>
            <w:noWrap/>
            <w:hideMark/>
          </w:tcPr>
          <w:p w14:paraId="6C05E1C0"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18,7</w:t>
            </w:r>
          </w:p>
        </w:tc>
        <w:tc>
          <w:tcPr>
            <w:tcW w:w="489" w:type="dxa"/>
            <w:noWrap/>
            <w:hideMark/>
          </w:tcPr>
          <w:p w14:paraId="38B2735E"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0,9</w:t>
            </w:r>
          </w:p>
        </w:tc>
        <w:tc>
          <w:tcPr>
            <w:tcW w:w="829" w:type="dxa"/>
            <w:noWrap/>
            <w:hideMark/>
          </w:tcPr>
          <w:p w14:paraId="3100B74A"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5,5</w:t>
            </w:r>
          </w:p>
        </w:tc>
      </w:tr>
      <w:tr w:rsidR="00C749C7" w:rsidRPr="00516038" w14:paraId="7686645B" w14:textId="77777777" w:rsidTr="00C749C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7" w:type="dxa"/>
            <w:noWrap/>
            <w:hideMark/>
          </w:tcPr>
          <w:p w14:paraId="0759AA16" w14:textId="77777777" w:rsidR="00EE3346" w:rsidRPr="00516038" w:rsidRDefault="00EE3346" w:rsidP="00516038">
            <w:pPr>
              <w:tabs>
                <w:tab w:val="clear" w:pos="1615"/>
              </w:tabs>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 xml:space="preserve">Interdiscipl.C.Naturais, Mat. Estat. </w:t>
            </w:r>
          </w:p>
        </w:tc>
        <w:tc>
          <w:tcPr>
            <w:tcW w:w="1138" w:type="dxa"/>
            <w:noWrap/>
            <w:hideMark/>
          </w:tcPr>
          <w:p w14:paraId="15DEB75B"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25.720</w:t>
            </w:r>
          </w:p>
        </w:tc>
        <w:tc>
          <w:tcPr>
            <w:tcW w:w="743" w:type="dxa"/>
            <w:noWrap/>
            <w:hideMark/>
          </w:tcPr>
          <w:p w14:paraId="1C2CDBBA"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11.555</w:t>
            </w:r>
          </w:p>
        </w:tc>
        <w:tc>
          <w:tcPr>
            <w:tcW w:w="500" w:type="dxa"/>
            <w:noWrap/>
            <w:hideMark/>
          </w:tcPr>
          <w:p w14:paraId="7FF634D9"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44,9</w:t>
            </w:r>
          </w:p>
        </w:tc>
        <w:tc>
          <w:tcPr>
            <w:tcW w:w="946" w:type="dxa"/>
            <w:noWrap/>
            <w:hideMark/>
          </w:tcPr>
          <w:p w14:paraId="23567793"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51.496</w:t>
            </w:r>
          </w:p>
        </w:tc>
        <w:tc>
          <w:tcPr>
            <w:tcW w:w="865" w:type="dxa"/>
            <w:noWrap/>
            <w:hideMark/>
          </w:tcPr>
          <w:p w14:paraId="4735F6ED"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51.162</w:t>
            </w:r>
          </w:p>
        </w:tc>
        <w:tc>
          <w:tcPr>
            <w:tcW w:w="529" w:type="dxa"/>
            <w:noWrap/>
            <w:hideMark/>
          </w:tcPr>
          <w:p w14:paraId="7C4EC899"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99,4</w:t>
            </w:r>
          </w:p>
        </w:tc>
        <w:tc>
          <w:tcPr>
            <w:tcW w:w="865" w:type="dxa"/>
            <w:noWrap/>
            <w:hideMark/>
          </w:tcPr>
          <w:p w14:paraId="75728200"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8.733</w:t>
            </w:r>
          </w:p>
        </w:tc>
        <w:tc>
          <w:tcPr>
            <w:tcW w:w="762" w:type="dxa"/>
            <w:noWrap/>
            <w:hideMark/>
          </w:tcPr>
          <w:p w14:paraId="44F233E9"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8.598</w:t>
            </w:r>
          </w:p>
        </w:tc>
        <w:tc>
          <w:tcPr>
            <w:tcW w:w="500" w:type="dxa"/>
            <w:noWrap/>
            <w:hideMark/>
          </w:tcPr>
          <w:p w14:paraId="1ABE3981"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98,5</w:t>
            </w:r>
          </w:p>
        </w:tc>
        <w:tc>
          <w:tcPr>
            <w:tcW w:w="489" w:type="dxa"/>
            <w:noWrap/>
            <w:hideMark/>
          </w:tcPr>
          <w:p w14:paraId="0EB0C4C3"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2,0</w:t>
            </w:r>
          </w:p>
        </w:tc>
        <w:tc>
          <w:tcPr>
            <w:tcW w:w="829" w:type="dxa"/>
            <w:noWrap/>
            <w:hideMark/>
          </w:tcPr>
          <w:p w14:paraId="2E79177A"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4,4</w:t>
            </w:r>
          </w:p>
        </w:tc>
      </w:tr>
      <w:tr w:rsidR="00C749C7" w:rsidRPr="00516038" w14:paraId="1E332E91" w14:textId="77777777" w:rsidTr="00C749C7">
        <w:trPr>
          <w:trHeight w:val="288"/>
        </w:trPr>
        <w:tc>
          <w:tcPr>
            <w:cnfStyle w:val="001000000000" w:firstRow="0" w:lastRow="0" w:firstColumn="1" w:lastColumn="0" w:oddVBand="0" w:evenVBand="0" w:oddHBand="0" w:evenHBand="0" w:firstRowFirstColumn="0" w:firstRowLastColumn="0" w:lastRowFirstColumn="0" w:lastRowLastColumn="0"/>
            <w:tcW w:w="1417" w:type="dxa"/>
            <w:noWrap/>
            <w:hideMark/>
          </w:tcPr>
          <w:p w14:paraId="1CC4EA60" w14:textId="77777777" w:rsidR="00EE3346" w:rsidRPr="00516038" w:rsidRDefault="00EE3346" w:rsidP="00516038">
            <w:pPr>
              <w:tabs>
                <w:tab w:val="clear" w:pos="1615"/>
              </w:tabs>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 xml:space="preserve">Interdiscipl.Computação/TIC </w:t>
            </w:r>
          </w:p>
        </w:tc>
        <w:tc>
          <w:tcPr>
            <w:tcW w:w="1138" w:type="dxa"/>
            <w:noWrap/>
            <w:hideMark/>
          </w:tcPr>
          <w:p w14:paraId="49602D55"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14.211</w:t>
            </w:r>
          </w:p>
        </w:tc>
        <w:tc>
          <w:tcPr>
            <w:tcW w:w="743" w:type="dxa"/>
            <w:noWrap/>
            <w:hideMark/>
          </w:tcPr>
          <w:p w14:paraId="09B7E229"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1.264</w:t>
            </w:r>
          </w:p>
        </w:tc>
        <w:tc>
          <w:tcPr>
            <w:tcW w:w="500" w:type="dxa"/>
            <w:noWrap/>
            <w:hideMark/>
          </w:tcPr>
          <w:p w14:paraId="6E6BEEEC"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8,9</w:t>
            </w:r>
          </w:p>
        </w:tc>
        <w:tc>
          <w:tcPr>
            <w:tcW w:w="946" w:type="dxa"/>
            <w:noWrap/>
            <w:hideMark/>
          </w:tcPr>
          <w:p w14:paraId="3DB9BE22"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11.924</w:t>
            </w:r>
          </w:p>
        </w:tc>
        <w:tc>
          <w:tcPr>
            <w:tcW w:w="865" w:type="dxa"/>
            <w:noWrap/>
            <w:hideMark/>
          </w:tcPr>
          <w:p w14:paraId="19BFF57F"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6.929</w:t>
            </w:r>
          </w:p>
        </w:tc>
        <w:tc>
          <w:tcPr>
            <w:tcW w:w="529" w:type="dxa"/>
            <w:noWrap/>
            <w:hideMark/>
          </w:tcPr>
          <w:p w14:paraId="7439C620"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58,1</w:t>
            </w:r>
          </w:p>
        </w:tc>
        <w:tc>
          <w:tcPr>
            <w:tcW w:w="865" w:type="dxa"/>
            <w:noWrap/>
            <w:hideMark/>
          </w:tcPr>
          <w:p w14:paraId="6772B448"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3.598</w:t>
            </w:r>
          </w:p>
        </w:tc>
        <w:tc>
          <w:tcPr>
            <w:tcW w:w="762" w:type="dxa"/>
            <w:noWrap/>
            <w:hideMark/>
          </w:tcPr>
          <w:p w14:paraId="367B1555"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1.088</w:t>
            </w:r>
          </w:p>
        </w:tc>
        <w:tc>
          <w:tcPr>
            <w:tcW w:w="500" w:type="dxa"/>
            <w:noWrap/>
            <w:hideMark/>
          </w:tcPr>
          <w:p w14:paraId="2AEE3C4A"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30,2</w:t>
            </w:r>
          </w:p>
        </w:tc>
        <w:tc>
          <w:tcPr>
            <w:tcW w:w="489" w:type="dxa"/>
            <w:noWrap/>
            <w:hideMark/>
          </w:tcPr>
          <w:p w14:paraId="108BB7A1"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0,8</w:t>
            </w:r>
          </w:p>
        </w:tc>
        <w:tc>
          <w:tcPr>
            <w:tcW w:w="829" w:type="dxa"/>
            <w:noWrap/>
            <w:hideMark/>
          </w:tcPr>
          <w:p w14:paraId="5B105FAC"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5,5</w:t>
            </w:r>
          </w:p>
        </w:tc>
      </w:tr>
      <w:tr w:rsidR="00C749C7" w:rsidRPr="00516038" w14:paraId="2EE4FF3D" w14:textId="77777777" w:rsidTr="00C749C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7" w:type="dxa"/>
            <w:noWrap/>
            <w:hideMark/>
          </w:tcPr>
          <w:p w14:paraId="2C8E256D" w14:textId="77777777" w:rsidR="00EE3346" w:rsidRPr="00516038" w:rsidRDefault="00EE3346" w:rsidP="00516038">
            <w:pPr>
              <w:tabs>
                <w:tab w:val="clear" w:pos="1615"/>
              </w:tabs>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Interdiscipl.Engenharia, Prod.Constr.</w:t>
            </w:r>
          </w:p>
        </w:tc>
        <w:tc>
          <w:tcPr>
            <w:tcW w:w="1138" w:type="dxa"/>
            <w:noWrap/>
            <w:hideMark/>
          </w:tcPr>
          <w:p w14:paraId="643E9BA4"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322</w:t>
            </w:r>
          </w:p>
        </w:tc>
        <w:tc>
          <w:tcPr>
            <w:tcW w:w="743" w:type="dxa"/>
            <w:noWrap/>
            <w:hideMark/>
          </w:tcPr>
          <w:p w14:paraId="50E5C2A3"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178</w:t>
            </w:r>
          </w:p>
        </w:tc>
        <w:tc>
          <w:tcPr>
            <w:tcW w:w="500" w:type="dxa"/>
            <w:noWrap/>
            <w:hideMark/>
          </w:tcPr>
          <w:p w14:paraId="1968BBD0"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55,3</w:t>
            </w:r>
          </w:p>
        </w:tc>
        <w:tc>
          <w:tcPr>
            <w:tcW w:w="946" w:type="dxa"/>
            <w:noWrap/>
            <w:hideMark/>
          </w:tcPr>
          <w:p w14:paraId="61F9D0CF"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1.245</w:t>
            </w:r>
          </w:p>
        </w:tc>
        <w:tc>
          <w:tcPr>
            <w:tcW w:w="865" w:type="dxa"/>
            <w:noWrap/>
            <w:hideMark/>
          </w:tcPr>
          <w:p w14:paraId="47CC8285"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1.115</w:t>
            </w:r>
          </w:p>
        </w:tc>
        <w:tc>
          <w:tcPr>
            <w:tcW w:w="529" w:type="dxa"/>
            <w:noWrap/>
            <w:hideMark/>
          </w:tcPr>
          <w:p w14:paraId="0BB802AF"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89,6</w:t>
            </w:r>
          </w:p>
        </w:tc>
        <w:tc>
          <w:tcPr>
            <w:tcW w:w="865" w:type="dxa"/>
            <w:noWrap/>
            <w:hideMark/>
          </w:tcPr>
          <w:p w14:paraId="2D4BA94D"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160</w:t>
            </w:r>
          </w:p>
        </w:tc>
        <w:tc>
          <w:tcPr>
            <w:tcW w:w="762" w:type="dxa"/>
            <w:noWrap/>
            <w:hideMark/>
          </w:tcPr>
          <w:p w14:paraId="4AAAAB84"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132</w:t>
            </w:r>
          </w:p>
        </w:tc>
        <w:tc>
          <w:tcPr>
            <w:tcW w:w="500" w:type="dxa"/>
            <w:noWrap/>
            <w:hideMark/>
          </w:tcPr>
          <w:p w14:paraId="1082B7CE"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82,5</w:t>
            </w:r>
          </w:p>
        </w:tc>
        <w:tc>
          <w:tcPr>
            <w:tcW w:w="489" w:type="dxa"/>
            <w:noWrap/>
            <w:hideMark/>
          </w:tcPr>
          <w:p w14:paraId="01D20CF1"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3,9</w:t>
            </w:r>
          </w:p>
        </w:tc>
        <w:tc>
          <w:tcPr>
            <w:tcW w:w="829" w:type="dxa"/>
            <w:noWrap/>
            <w:hideMark/>
          </w:tcPr>
          <w:p w14:paraId="72472861"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6,3</w:t>
            </w:r>
          </w:p>
        </w:tc>
      </w:tr>
      <w:tr w:rsidR="00C749C7" w:rsidRPr="00516038" w14:paraId="268EAF0E" w14:textId="77777777" w:rsidTr="00C749C7">
        <w:trPr>
          <w:trHeight w:val="288"/>
        </w:trPr>
        <w:tc>
          <w:tcPr>
            <w:cnfStyle w:val="001000000000" w:firstRow="0" w:lastRow="0" w:firstColumn="1" w:lastColumn="0" w:oddVBand="0" w:evenVBand="0" w:oddHBand="0" w:evenHBand="0" w:firstRowFirstColumn="0" w:firstRowLastColumn="0" w:lastRowFirstColumn="0" w:lastRowLastColumn="0"/>
            <w:tcW w:w="1417" w:type="dxa"/>
            <w:noWrap/>
            <w:hideMark/>
          </w:tcPr>
          <w:p w14:paraId="2220843B" w14:textId="77777777" w:rsidR="00EE3346" w:rsidRPr="00516038" w:rsidRDefault="00EE3346" w:rsidP="00516038">
            <w:pPr>
              <w:tabs>
                <w:tab w:val="clear" w:pos="1615"/>
              </w:tabs>
              <w:rPr>
                <w:rFonts w:asciiTheme="majorHAnsi" w:eastAsia="Times New Roman" w:hAnsiTheme="majorHAnsi" w:cstheme="majorHAnsi"/>
                <w:b w:val="0"/>
                <w:bCs w:val="0"/>
                <w:color w:val="000000"/>
                <w:sz w:val="16"/>
                <w:szCs w:val="16"/>
                <w:lang w:eastAsia="pt-BR"/>
              </w:rPr>
            </w:pPr>
            <w:r w:rsidRPr="00516038">
              <w:rPr>
                <w:rFonts w:asciiTheme="majorHAnsi" w:eastAsia="Times New Roman" w:hAnsiTheme="majorHAnsi" w:cstheme="majorHAnsi"/>
                <w:color w:val="000000"/>
                <w:sz w:val="16"/>
                <w:szCs w:val="16"/>
                <w:lang w:eastAsia="pt-BR"/>
              </w:rPr>
              <w:t>Distrito Federal</w:t>
            </w:r>
          </w:p>
        </w:tc>
        <w:tc>
          <w:tcPr>
            <w:tcW w:w="1138" w:type="dxa"/>
            <w:noWrap/>
            <w:hideMark/>
          </w:tcPr>
          <w:p w14:paraId="547D8055"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166.738</w:t>
            </w:r>
          </w:p>
        </w:tc>
        <w:tc>
          <w:tcPr>
            <w:tcW w:w="743" w:type="dxa"/>
            <w:noWrap/>
            <w:hideMark/>
          </w:tcPr>
          <w:p w14:paraId="6DB11FDB"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13.018</w:t>
            </w:r>
          </w:p>
        </w:tc>
        <w:tc>
          <w:tcPr>
            <w:tcW w:w="500" w:type="dxa"/>
            <w:noWrap/>
            <w:hideMark/>
          </w:tcPr>
          <w:p w14:paraId="3F2012BD"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7,8</w:t>
            </w:r>
          </w:p>
        </w:tc>
        <w:tc>
          <w:tcPr>
            <w:tcW w:w="946" w:type="dxa"/>
            <w:noWrap/>
            <w:hideMark/>
          </w:tcPr>
          <w:p w14:paraId="4C7BB201"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351.962</w:t>
            </w:r>
          </w:p>
        </w:tc>
        <w:tc>
          <w:tcPr>
            <w:tcW w:w="865" w:type="dxa"/>
            <w:noWrap/>
            <w:hideMark/>
          </w:tcPr>
          <w:p w14:paraId="4068A5EF"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116.478</w:t>
            </w:r>
          </w:p>
        </w:tc>
        <w:tc>
          <w:tcPr>
            <w:tcW w:w="529" w:type="dxa"/>
            <w:noWrap/>
            <w:hideMark/>
          </w:tcPr>
          <w:p w14:paraId="09B285F0"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33,1</w:t>
            </w:r>
          </w:p>
        </w:tc>
        <w:tc>
          <w:tcPr>
            <w:tcW w:w="865" w:type="dxa"/>
            <w:noWrap/>
            <w:hideMark/>
          </w:tcPr>
          <w:p w14:paraId="20C8FFF0"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100.570</w:t>
            </w:r>
          </w:p>
        </w:tc>
        <w:tc>
          <w:tcPr>
            <w:tcW w:w="762" w:type="dxa"/>
            <w:noWrap/>
            <w:hideMark/>
          </w:tcPr>
          <w:p w14:paraId="5A0F530F"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11.875</w:t>
            </w:r>
          </w:p>
        </w:tc>
        <w:tc>
          <w:tcPr>
            <w:tcW w:w="500" w:type="dxa"/>
            <w:noWrap/>
            <w:hideMark/>
          </w:tcPr>
          <w:p w14:paraId="18F23B1F"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11,8</w:t>
            </w:r>
          </w:p>
        </w:tc>
        <w:tc>
          <w:tcPr>
            <w:tcW w:w="489" w:type="dxa"/>
            <w:noWrap/>
            <w:hideMark/>
          </w:tcPr>
          <w:p w14:paraId="1FD2D17B"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2,1</w:t>
            </w:r>
          </w:p>
        </w:tc>
        <w:tc>
          <w:tcPr>
            <w:tcW w:w="829" w:type="dxa"/>
            <w:noWrap/>
            <w:hideMark/>
          </w:tcPr>
          <w:p w14:paraId="75BB1E84"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8,9</w:t>
            </w:r>
          </w:p>
        </w:tc>
      </w:tr>
      <w:tr w:rsidR="00C749C7" w:rsidRPr="00516038" w14:paraId="35902B19" w14:textId="77777777" w:rsidTr="00C749C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7" w:type="dxa"/>
            <w:noWrap/>
            <w:hideMark/>
          </w:tcPr>
          <w:p w14:paraId="4ADE84BA" w14:textId="77777777" w:rsidR="00EE3346" w:rsidRPr="00516038" w:rsidRDefault="00EE3346" w:rsidP="00516038">
            <w:pPr>
              <w:tabs>
                <w:tab w:val="clear" w:pos="1615"/>
              </w:tabs>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 xml:space="preserve">Ciência da computação </w:t>
            </w:r>
          </w:p>
        </w:tc>
        <w:tc>
          <w:tcPr>
            <w:tcW w:w="1138" w:type="dxa"/>
            <w:noWrap/>
            <w:hideMark/>
          </w:tcPr>
          <w:p w14:paraId="5596A8D6"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2.400</w:t>
            </w:r>
          </w:p>
        </w:tc>
        <w:tc>
          <w:tcPr>
            <w:tcW w:w="743" w:type="dxa"/>
            <w:noWrap/>
            <w:hideMark/>
          </w:tcPr>
          <w:p w14:paraId="0FD80EB5"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102</w:t>
            </w:r>
          </w:p>
        </w:tc>
        <w:tc>
          <w:tcPr>
            <w:tcW w:w="500" w:type="dxa"/>
            <w:noWrap/>
            <w:hideMark/>
          </w:tcPr>
          <w:p w14:paraId="6EB8FDFB"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4,3</w:t>
            </w:r>
          </w:p>
        </w:tc>
        <w:tc>
          <w:tcPr>
            <w:tcW w:w="946" w:type="dxa"/>
            <w:noWrap/>
            <w:hideMark/>
          </w:tcPr>
          <w:p w14:paraId="49F48A48"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4.239</w:t>
            </w:r>
          </w:p>
        </w:tc>
        <w:tc>
          <w:tcPr>
            <w:tcW w:w="865" w:type="dxa"/>
            <w:noWrap/>
            <w:hideMark/>
          </w:tcPr>
          <w:p w14:paraId="4569CEFD"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863</w:t>
            </w:r>
          </w:p>
        </w:tc>
        <w:tc>
          <w:tcPr>
            <w:tcW w:w="529" w:type="dxa"/>
            <w:noWrap/>
            <w:hideMark/>
          </w:tcPr>
          <w:p w14:paraId="073689CB"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20,4</w:t>
            </w:r>
          </w:p>
        </w:tc>
        <w:tc>
          <w:tcPr>
            <w:tcW w:w="865" w:type="dxa"/>
            <w:noWrap/>
            <w:hideMark/>
          </w:tcPr>
          <w:p w14:paraId="5250E7F8"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774</w:t>
            </w:r>
          </w:p>
        </w:tc>
        <w:tc>
          <w:tcPr>
            <w:tcW w:w="762" w:type="dxa"/>
            <w:noWrap/>
            <w:hideMark/>
          </w:tcPr>
          <w:p w14:paraId="04DFE9EB"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104</w:t>
            </w:r>
          </w:p>
        </w:tc>
        <w:tc>
          <w:tcPr>
            <w:tcW w:w="500" w:type="dxa"/>
            <w:noWrap/>
            <w:hideMark/>
          </w:tcPr>
          <w:p w14:paraId="1D1D812A"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13,4</w:t>
            </w:r>
          </w:p>
        </w:tc>
        <w:tc>
          <w:tcPr>
            <w:tcW w:w="489" w:type="dxa"/>
            <w:noWrap/>
            <w:hideMark/>
          </w:tcPr>
          <w:p w14:paraId="0FF0E2DB"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1,8</w:t>
            </w:r>
          </w:p>
        </w:tc>
        <w:tc>
          <w:tcPr>
            <w:tcW w:w="829" w:type="dxa"/>
            <w:noWrap/>
            <w:hideMark/>
          </w:tcPr>
          <w:p w14:paraId="273BA0AF"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8,5</w:t>
            </w:r>
          </w:p>
        </w:tc>
      </w:tr>
      <w:tr w:rsidR="00C749C7" w:rsidRPr="00516038" w14:paraId="704DB4E7" w14:textId="77777777" w:rsidTr="00C749C7">
        <w:trPr>
          <w:trHeight w:val="288"/>
        </w:trPr>
        <w:tc>
          <w:tcPr>
            <w:cnfStyle w:val="001000000000" w:firstRow="0" w:lastRow="0" w:firstColumn="1" w:lastColumn="0" w:oddVBand="0" w:evenVBand="0" w:oddHBand="0" w:evenHBand="0" w:firstRowFirstColumn="0" w:firstRowLastColumn="0" w:lastRowFirstColumn="0" w:lastRowLastColumn="0"/>
            <w:tcW w:w="1417" w:type="dxa"/>
            <w:noWrap/>
            <w:hideMark/>
          </w:tcPr>
          <w:p w14:paraId="76D22988" w14:textId="77777777" w:rsidR="00EE3346" w:rsidRPr="00516038" w:rsidRDefault="00EE3346" w:rsidP="00516038">
            <w:pPr>
              <w:tabs>
                <w:tab w:val="clear" w:pos="1615"/>
              </w:tabs>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Engenharia de computação (2)</w:t>
            </w:r>
          </w:p>
        </w:tc>
        <w:tc>
          <w:tcPr>
            <w:tcW w:w="1138" w:type="dxa"/>
            <w:noWrap/>
            <w:hideMark/>
          </w:tcPr>
          <w:p w14:paraId="7790433C"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368</w:t>
            </w:r>
          </w:p>
        </w:tc>
        <w:tc>
          <w:tcPr>
            <w:tcW w:w="743" w:type="dxa"/>
            <w:noWrap/>
            <w:hideMark/>
          </w:tcPr>
          <w:p w14:paraId="7470464F"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99</w:t>
            </w:r>
          </w:p>
        </w:tc>
        <w:tc>
          <w:tcPr>
            <w:tcW w:w="500" w:type="dxa"/>
            <w:noWrap/>
            <w:hideMark/>
          </w:tcPr>
          <w:p w14:paraId="12464C19"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26,9</w:t>
            </w:r>
          </w:p>
        </w:tc>
        <w:tc>
          <w:tcPr>
            <w:tcW w:w="946" w:type="dxa"/>
            <w:noWrap/>
            <w:hideMark/>
          </w:tcPr>
          <w:p w14:paraId="2DE21740"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1.562</w:t>
            </w:r>
          </w:p>
        </w:tc>
        <w:tc>
          <w:tcPr>
            <w:tcW w:w="865" w:type="dxa"/>
            <w:noWrap/>
            <w:hideMark/>
          </w:tcPr>
          <w:p w14:paraId="55A2C69E"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602</w:t>
            </w:r>
          </w:p>
        </w:tc>
        <w:tc>
          <w:tcPr>
            <w:tcW w:w="529" w:type="dxa"/>
            <w:noWrap/>
            <w:hideMark/>
          </w:tcPr>
          <w:p w14:paraId="60AA8977"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38,5</w:t>
            </w:r>
          </w:p>
        </w:tc>
        <w:tc>
          <w:tcPr>
            <w:tcW w:w="865" w:type="dxa"/>
            <w:noWrap/>
            <w:hideMark/>
          </w:tcPr>
          <w:p w14:paraId="096893EB"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223</w:t>
            </w:r>
          </w:p>
        </w:tc>
        <w:tc>
          <w:tcPr>
            <w:tcW w:w="762" w:type="dxa"/>
            <w:noWrap/>
            <w:hideMark/>
          </w:tcPr>
          <w:p w14:paraId="0BFF5140"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88</w:t>
            </w:r>
          </w:p>
        </w:tc>
        <w:tc>
          <w:tcPr>
            <w:tcW w:w="500" w:type="dxa"/>
            <w:noWrap/>
            <w:hideMark/>
          </w:tcPr>
          <w:p w14:paraId="5CDCC489"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39,5</w:t>
            </w:r>
          </w:p>
        </w:tc>
        <w:tc>
          <w:tcPr>
            <w:tcW w:w="489" w:type="dxa"/>
            <w:noWrap/>
            <w:hideMark/>
          </w:tcPr>
          <w:p w14:paraId="1C6CB621"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4,2</w:t>
            </w:r>
          </w:p>
        </w:tc>
        <w:tc>
          <w:tcPr>
            <w:tcW w:w="829" w:type="dxa"/>
            <w:noWrap/>
            <w:hideMark/>
          </w:tcPr>
          <w:p w14:paraId="1193DB38"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6,1</w:t>
            </w:r>
          </w:p>
        </w:tc>
      </w:tr>
      <w:tr w:rsidR="00C749C7" w:rsidRPr="00516038" w14:paraId="0720D44F" w14:textId="77777777" w:rsidTr="00C749C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7" w:type="dxa"/>
            <w:noWrap/>
            <w:hideMark/>
          </w:tcPr>
          <w:p w14:paraId="7021FFA5" w14:textId="77777777" w:rsidR="00EE3346" w:rsidRPr="00516038" w:rsidRDefault="00EE3346" w:rsidP="00516038">
            <w:pPr>
              <w:tabs>
                <w:tab w:val="clear" w:pos="1615"/>
              </w:tabs>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 xml:space="preserve">Engenharia de software </w:t>
            </w:r>
          </w:p>
        </w:tc>
        <w:tc>
          <w:tcPr>
            <w:tcW w:w="1138" w:type="dxa"/>
            <w:noWrap/>
            <w:hideMark/>
          </w:tcPr>
          <w:p w14:paraId="63595559"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282</w:t>
            </w:r>
          </w:p>
        </w:tc>
        <w:tc>
          <w:tcPr>
            <w:tcW w:w="743" w:type="dxa"/>
            <w:noWrap/>
            <w:hideMark/>
          </w:tcPr>
          <w:p w14:paraId="752C33A3"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14</w:t>
            </w:r>
          </w:p>
        </w:tc>
        <w:tc>
          <w:tcPr>
            <w:tcW w:w="500" w:type="dxa"/>
            <w:noWrap/>
            <w:hideMark/>
          </w:tcPr>
          <w:p w14:paraId="3BC5DB2B"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5,0</w:t>
            </w:r>
          </w:p>
        </w:tc>
        <w:tc>
          <w:tcPr>
            <w:tcW w:w="946" w:type="dxa"/>
            <w:noWrap/>
            <w:hideMark/>
          </w:tcPr>
          <w:p w14:paraId="3075CA47"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461</w:t>
            </w:r>
          </w:p>
        </w:tc>
        <w:tc>
          <w:tcPr>
            <w:tcW w:w="865" w:type="dxa"/>
            <w:noWrap/>
            <w:hideMark/>
          </w:tcPr>
          <w:p w14:paraId="31DDCE79"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14</w:t>
            </w:r>
          </w:p>
        </w:tc>
        <w:tc>
          <w:tcPr>
            <w:tcW w:w="529" w:type="dxa"/>
            <w:noWrap/>
            <w:hideMark/>
          </w:tcPr>
          <w:p w14:paraId="2546D924"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3,0</w:t>
            </w:r>
          </w:p>
        </w:tc>
        <w:tc>
          <w:tcPr>
            <w:tcW w:w="865" w:type="dxa"/>
            <w:noWrap/>
            <w:hideMark/>
          </w:tcPr>
          <w:p w14:paraId="2A05041C"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231</w:t>
            </w:r>
          </w:p>
        </w:tc>
        <w:tc>
          <w:tcPr>
            <w:tcW w:w="762" w:type="dxa"/>
            <w:noWrap/>
            <w:hideMark/>
          </w:tcPr>
          <w:p w14:paraId="1D7B6B55"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16</w:t>
            </w:r>
          </w:p>
        </w:tc>
        <w:tc>
          <w:tcPr>
            <w:tcW w:w="500" w:type="dxa"/>
            <w:noWrap/>
            <w:hideMark/>
          </w:tcPr>
          <w:p w14:paraId="22D16875"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6,9</w:t>
            </w:r>
          </w:p>
        </w:tc>
        <w:tc>
          <w:tcPr>
            <w:tcW w:w="489" w:type="dxa"/>
            <w:noWrap/>
            <w:hideMark/>
          </w:tcPr>
          <w:p w14:paraId="56A11C68"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1,6</w:t>
            </w:r>
          </w:p>
        </w:tc>
        <w:tc>
          <w:tcPr>
            <w:tcW w:w="829" w:type="dxa"/>
            <w:noWrap/>
            <w:hideMark/>
          </w:tcPr>
          <w:p w14:paraId="7DCB9BB1"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1,0</w:t>
            </w:r>
          </w:p>
        </w:tc>
      </w:tr>
      <w:tr w:rsidR="00C749C7" w:rsidRPr="00516038" w14:paraId="05DBDB75" w14:textId="77777777" w:rsidTr="00C749C7">
        <w:trPr>
          <w:trHeight w:val="288"/>
        </w:trPr>
        <w:tc>
          <w:tcPr>
            <w:cnfStyle w:val="001000000000" w:firstRow="0" w:lastRow="0" w:firstColumn="1" w:lastColumn="0" w:oddVBand="0" w:evenVBand="0" w:oddHBand="0" w:evenHBand="0" w:firstRowFirstColumn="0" w:firstRowLastColumn="0" w:lastRowFirstColumn="0" w:lastRowLastColumn="0"/>
            <w:tcW w:w="1417" w:type="dxa"/>
            <w:noWrap/>
            <w:hideMark/>
          </w:tcPr>
          <w:p w14:paraId="117D89AF" w14:textId="77777777" w:rsidR="00EE3346" w:rsidRPr="00516038" w:rsidRDefault="00EE3346" w:rsidP="00516038">
            <w:pPr>
              <w:tabs>
                <w:tab w:val="clear" w:pos="1615"/>
              </w:tabs>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 xml:space="preserve">Sistemas de informação </w:t>
            </w:r>
          </w:p>
        </w:tc>
        <w:tc>
          <w:tcPr>
            <w:tcW w:w="1138" w:type="dxa"/>
            <w:noWrap/>
            <w:hideMark/>
          </w:tcPr>
          <w:p w14:paraId="1817ADC8"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5.328</w:t>
            </w:r>
          </w:p>
        </w:tc>
        <w:tc>
          <w:tcPr>
            <w:tcW w:w="743" w:type="dxa"/>
            <w:noWrap/>
            <w:hideMark/>
          </w:tcPr>
          <w:p w14:paraId="5F7295C4"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0</w:t>
            </w:r>
          </w:p>
        </w:tc>
        <w:tc>
          <w:tcPr>
            <w:tcW w:w="500" w:type="dxa"/>
            <w:noWrap/>
            <w:hideMark/>
          </w:tcPr>
          <w:p w14:paraId="49E85E50"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0,0</w:t>
            </w:r>
          </w:p>
        </w:tc>
        <w:tc>
          <w:tcPr>
            <w:tcW w:w="946" w:type="dxa"/>
            <w:noWrap/>
            <w:hideMark/>
          </w:tcPr>
          <w:p w14:paraId="7277024B"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7.285</w:t>
            </w:r>
          </w:p>
        </w:tc>
        <w:tc>
          <w:tcPr>
            <w:tcW w:w="865" w:type="dxa"/>
            <w:noWrap/>
            <w:hideMark/>
          </w:tcPr>
          <w:p w14:paraId="5A9FF247"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0</w:t>
            </w:r>
          </w:p>
        </w:tc>
        <w:tc>
          <w:tcPr>
            <w:tcW w:w="529" w:type="dxa"/>
            <w:noWrap/>
            <w:hideMark/>
          </w:tcPr>
          <w:p w14:paraId="451E7186"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0,0</w:t>
            </w:r>
          </w:p>
        </w:tc>
        <w:tc>
          <w:tcPr>
            <w:tcW w:w="865" w:type="dxa"/>
            <w:noWrap/>
            <w:hideMark/>
          </w:tcPr>
          <w:p w14:paraId="3BF5F274"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4.366</w:t>
            </w:r>
          </w:p>
        </w:tc>
        <w:tc>
          <w:tcPr>
            <w:tcW w:w="762" w:type="dxa"/>
            <w:noWrap/>
            <w:hideMark/>
          </w:tcPr>
          <w:p w14:paraId="65631EA2"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0</w:t>
            </w:r>
          </w:p>
        </w:tc>
        <w:tc>
          <w:tcPr>
            <w:tcW w:w="500" w:type="dxa"/>
            <w:noWrap/>
            <w:hideMark/>
          </w:tcPr>
          <w:p w14:paraId="269B2C88"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0,0</w:t>
            </w:r>
          </w:p>
        </w:tc>
        <w:tc>
          <w:tcPr>
            <w:tcW w:w="489" w:type="dxa"/>
            <w:noWrap/>
            <w:hideMark/>
          </w:tcPr>
          <w:p w14:paraId="2A0824AA"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1,4</w:t>
            </w:r>
          </w:p>
        </w:tc>
        <w:tc>
          <w:tcPr>
            <w:tcW w:w="829" w:type="dxa"/>
            <w:noWrap/>
            <w:hideMark/>
          </w:tcPr>
          <w:p w14:paraId="15735DA2"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 </w:t>
            </w:r>
          </w:p>
        </w:tc>
      </w:tr>
      <w:tr w:rsidR="00C749C7" w:rsidRPr="00516038" w14:paraId="0F85D982" w14:textId="77777777" w:rsidTr="00C749C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7" w:type="dxa"/>
            <w:noWrap/>
            <w:hideMark/>
          </w:tcPr>
          <w:p w14:paraId="5E7ED58B" w14:textId="77777777" w:rsidR="00EE3346" w:rsidRPr="00516038" w:rsidRDefault="00EE3346" w:rsidP="00516038">
            <w:pPr>
              <w:tabs>
                <w:tab w:val="clear" w:pos="1615"/>
              </w:tabs>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 xml:space="preserve">Interdiscipl.Computação/TIC </w:t>
            </w:r>
          </w:p>
        </w:tc>
        <w:tc>
          <w:tcPr>
            <w:tcW w:w="1138" w:type="dxa"/>
            <w:noWrap/>
            <w:hideMark/>
          </w:tcPr>
          <w:p w14:paraId="42D31E9F"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334</w:t>
            </w:r>
          </w:p>
        </w:tc>
        <w:tc>
          <w:tcPr>
            <w:tcW w:w="743" w:type="dxa"/>
            <w:noWrap/>
            <w:hideMark/>
          </w:tcPr>
          <w:p w14:paraId="384A8D88"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0</w:t>
            </w:r>
          </w:p>
        </w:tc>
        <w:tc>
          <w:tcPr>
            <w:tcW w:w="500" w:type="dxa"/>
            <w:noWrap/>
            <w:hideMark/>
          </w:tcPr>
          <w:p w14:paraId="1F247718"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0,0</w:t>
            </w:r>
          </w:p>
        </w:tc>
        <w:tc>
          <w:tcPr>
            <w:tcW w:w="946" w:type="dxa"/>
            <w:noWrap/>
            <w:hideMark/>
          </w:tcPr>
          <w:p w14:paraId="54F9A1A5"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661</w:t>
            </w:r>
          </w:p>
        </w:tc>
        <w:tc>
          <w:tcPr>
            <w:tcW w:w="865" w:type="dxa"/>
            <w:noWrap/>
            <w:hideMark/>
          </w:tcPr>
          <w:p w14:paraId="07BB0D30"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0</w:t>
            </w:r>
          </w:p>
        </w:tc>
        <w:tc>
          <w:tcPr>
            <w:tcW w:w="529" w:type="dxa"/>
            <w:noWrap/>
            <w:hideMark/>
          </w:tcPr>
          <w:p w14:paraId="2DF5A08A"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0,0</w:t>
            </w:r>
          </w:p>
        </w:tc>
        <w:tc>
          <w:tcPr>
            <w:tcW w:w="865" w:type="dxa"/>
            <w:noWrap/>
            <w:hideMark/>
          </w:tcPr>
          <w:p w14:paraId="431C8727"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154</w:t>
            </w:r>
          </w:p>
        </w:tc>
        <w:tc>
          <w:tcPr>
            <w:tcW w:w="762" w:type="dxa"/>
            <w:noWrap/>
            <w:hideMark/>
          </w:tcPr>
          <w:p w14:paraId="3879C5C6"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0</w:t>
            </w:r>
          </w:p>
        </w:tc>
        <w:tc>
          <w:tcPr>
            <w:tcW w:w="500" w:type="dxa"/>
            <w:noWrap/>
            <w:hideMark/>
          </w:tcPr>
          <w:p w14:paraId="32A51845"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0,0</w:t>
            </w:r>
          </w:p>
        </w:tc>
        <w:tc>
          <w:tcPr>
            <w:tcW w:w="489" w:type="dxa"/>
            <w:noWrap/>
            <w:hideMark/>
          </w:tcPr>
          <w:p w14:paraId="02A0D2A8"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2,0</w:t>
            </w:r>
          </w:p>
        </w:tc>
        <w:tc>
          <w:tcPr>
            <w:tcW w:w="829" w:type="dxa"/>
            <w:noWrap/>
            <w:hideMark/>
          </w:tcPr>
          <w:p w14:paraId="6EBE245C"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 </w:t>
            </w:r>
          </w:p>
        </w:tc>
      </w:tr>
    </w:tbl>
    <w:p w14:paraId="1CF612FD" w14:textId="77777777" w:rsidR="00EE3346" w:rsidRPr="00516038" w:rsidRDefault="00EE3346" w:rsidP="00516038">
      <w:pPr>
        <w:pStyle w:val="PargrafodaLista"/>
        <w:tabs>
          <w:tab w:val="clear" w:pos="1615"/>
          <w:tab w:val="left" w:pos="426"/>
        </w:tabs>
        <w:ind w:left="0"/>
        <w:rPr>
          <w:rFonts w:asciiTheme="majorHAnsi" w:hAnsiTheme="majorHAnsi" w:cstheme="majorHAnsi"/>
          <w:sz w:val="16"/>
        </w:rPr>
      </w:pPr>
      <w:r w:rsidRPr="00516038">
        <w:rPr>
          <w:rFonts w:asciiTheme="majorHAnsi" w:hAnsiTheme="majorHAnsi" w:cstheme="majorHAnsi"/>
          <w:sz w:val="16"/>
        </w:rPr>
        <w:t>1. Nos ingressos consta o total de alunos ingressantes inclusive por meio de vagas remanescentes dos cursos; 2. Número resultante da soma de cursos que seguem as DCN da computação ou da engenharia. Fonte: Elaborada pelo autor a partir de dados do INEP (2020).</w:t>
      </w:r>
    </w:p>
    <w:p w14:paraId="274347AF" w14:textId="77777777" w:rsidR="00EE3346" w:rsidRPr="00516038" w:rsidRDefault="00EE3346" w:rsidP="00516038">
      <w:pPr>
        <w:pStyle w:val="PargrafodaLista"/>
        <w:tabs>
          <w:tab w:val="clear" w:pos="1615"/>
          <w:tab w:val="left" w:pos="426"/>
        </w:tabs>
        <w:ind w:left="0"/>
        <w:rPr>
          <w:rFonts w:asciiTheme="majorHAnsi" w:hAnsiTheme="majorHAnsi" w:cstheme="majorHAnsi"/>
          <w:sz w:val="16"/>
        </w:rPr>
      </w:pPr>
    </w:p>
    <w:p w14:paraId="5B21BAE5" w14:textId="25316052" w:rsidR="00EE3346" w:rsidRPr="00C749C7" w:rsidRDefault="00EE3346" w:rsidP="00C749C7">
      <w:pPr>
        <w:tabs>
          <w:tab w:val="clear" w:pos="1615"/>
        </w:tabs>
        <w:spacing w:line="360" w:lineRule="auto"/>
        <w:ind w:firstLine="709"/>
        <w:jc w:val="both"/>
        <w:rPr>
          <w:rFonts w:asciiTheme="majorHAnsi" w:hAnsiTheme="majorHAnsi" w:cstheme="majorHAnsi"/>
          <w:sz w:val="24"/>
          <w:szCs w:val="24"/>
        </w:rPr>
      </w:pPr>
      <w:r w:rsidRPr="00C749C7">
        <w:rPr>
          <w:rFonts w:asciiTheme="majorHAnsi" w:hAnsiTheme="majorHAnsi" w:cstheme="majorHAnsi"/>
          <w:sz w:val="24"/>
          <w:szCs w:val="24"/>
        </w:rPr>
        <w:t xml:space="preserve">Finalmente, chama a atenção que os valores de inscritos é sempre superior ao das vagas ofertadas e, a despeito disso decorrer de uma quantidade não conhecida de alunos que realizam mais de um processo seletivo (esse refinamento pode ser obtido, mas não está no objetivo deste trabalho), e também de termos indícios da oferta de uma quantidade superestimada de vagas em IES privadas, foi calculada a ociosidade inicial e o excedente de interessados para ingresso nas escolas públicas e privadas do DF nos cursos analisados na Tabela 1.2. </w:t>
      </w:r>
    </w:p>
    <w:p w14:paraId="380BD77B" w14:textId="72490234" w:rsidR="00EE3346" w:rsidRPr="00C749C7" w:rsidRDefault="00EE3346" w:rsidP="00C749C7">
      <w:pPr>
        <w:tabs>
          <w:tab w:val="clear" w:pos="1615"/>
        </w:tabs>
        <w:spacing w:line="360" w:lineRule="auto"/>
        <w:ind w:firstLine="709"/>
        <w:jc w:val="both"/>
        <w:rPr>
          <w:rFonts w:asciiTheme="majorHAnsi" w:hAnsiTheme="majorHAnsi" w:cstheme="majorHAnsi"/>
          <w:sz w:val="24"/>
          <w:szCs w:val="24"/>
        </w:rPr>
      </w:pPr>
      <w:r w:rsidRPr="00C749C7">
        <w:rPr>
          <w:rFonts w:asciiTheme="majorHAnsi" w:hAnsiTheme="majorHAnsi" w:cstheme="majorHAnsi"/>
          <w:sz w:val="24"/>
          <w:szCs w:val="24"/>
        </w:rPr>
        <w:t xml:space="preserve">Assim, a Tabela 1.3 revela que há uma efetiva ociosidade inicial no preenchimento de vagas em IES privadas, apesar de se ter, aparentemente, candidatos em número suficiente para o preenchimento da oferta (sem levar em conta as múltiplas participações em processos seletivos). </w:t>
      </w:r>
    </w:p>
    <w:p w14:paraId="39565FED" w14:textId="77777777" w:rsidR="00EE3346" w:rsidRPr="00C749C7" w:rsidRDefault="00EE3346" w:rsidP="008A364C">
      <w:pPr>
        <w:pStyle w:val="Legenda"/>
      </w:pPr>
      <w:r w:rsidRPr="00C749C7">
        <w:t>Tabela 1.</w:t>
      </w:r>
      <w:r w:rsidRPr="00C749C7">
        <w:rPr>
          <w:noProof/>
        </w:rPr>
        <w:t>3</w:t>
      </w:r>
      <w:r w:rsidRPr="00C749C7">
        <w:t xml:space="preserve"> – Ociosidade e excedentes com relação às vagas ofertadas, inscritos e vagas preenchidos, utilizando-se os dados para IES públicas ou privadas em oferta no DF para o ano de 2019, a partir dos dados do Censo de Educação Superior de 2019. (INEP, 2020).</w:t>
      </w:r>
    </w:p>
    <w:tbl>
      <w:tblPr>
        <w:tblStyle w:val="TabeladeGrade41"/>
        <w:tblW w:w="8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0"/>
        <w:gridCol w:w="673"/>
        <w:gridCol w:w="504"/>
        <w:gridCol w:w="573"/>
        <w:gridCol w:w="661"/>
        <w:gridCol w:w="573"/>
        <w:gridCol w:w="652"/>
        <w:gridCol w:w="216"/>
        <w:gridCol w:w="412"/>
        <w:gridCol w:w="504"/>
        <w:gridCol w:w="360"/>
        <w:gridCol w:w="217"/>
        <w:gridCol w:w="504"/>
        <w:gridCol w:w="573"/>
        <w:gridCol w:w="573"/>
        <w:gridCol w:w="573"/>
      </w:tblGrid>
      <w:tr w:rsidR="00C749C7" w:rsidRPr="00C749C7" w14:paraId="5CCC452A" w14:textId="77777777" w:rsidTr="00C749C7">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auto"/>
              <w:right w:val="single" w:sz="4" w:space="0" w:color="auto"/>
            </w:tcBorders>
            <w:noWrap/>
            <w:hideMark/>
          </w:tcPr>
          <w:p w14:paraId="41AAE38F" w14:textId="77777777" w:rsidR="00EE3346" w:rsidRPr="00C749C7" w:rsidRDefault="00EE3346" w:rsidP="00516038">
            <w:pPr>
              <w:tabs>
                <w:tab w:val="clear" w:pos="1615"/>
              </w:tabs>
              <w:rPr>
                <w:rFonts w:asciiTheme="majorHAnsi" w:eastAsia="Times New Roman" w:hAnsiTheme="majorHAnsi" w:cstheme="majorHAnsi"/>
                <w:b w:val="0"/>
                <w:bCs w:val="0"/>
                <w:sz w:val="16"/>
                <w:szCs w:val="16"/>
                <w:lang w:eastAsia="pt-BR"/>
              </w:rPr>
            </w:pPr>
            <w:r w:rsidRPr="00C749C7">
              <w:rPr>
                <w:rFonts w:asciiTheme="majorHAnsi" w:eastAsia="Times New Roman" w:hAnsiTheme="majorHAnsi" w:cstheme="majorHAnsi"/>
                <w:sz w:val="16"/>
                <w:szCs w:val="16"/>
                <w:lang w:eastAsia="pt-BR"/>
              </w:rPr>
              <w:t>Curso</w:t>
            </w:r>
          </w:p>
        </w:tc>
        <w:tc>
          <w:tcPr>
            <w:tcW w:w="1760" w:type="dxa"/>
            <w:gridSpan w:val="3"/>
            <w:tcBorders>
              <w:top w:val="single" w:sz="4" w:space="0" w:color="auto"/>
              <w:left w:val="single" w:sz="4" w:space="0" w:color="auto"/>
              <w:bottom w:val="single" w:sz="4" w:space="0" w:color="auto"/>
              <w:right w:val="single" w:sz="4" w:space="0" w:color="auto"/>
            </w:tcBorders>
            <w:noWrap/>
            <w:hideMark/>
          </w:tcPr>
          <w:p w14:paraId="53E8C455" w14:textId="77777777" w:rsidR="00EE3346" w:rsidRPr="00C749C7" w:rsidRDefault="00EE3346" w:rsidP="00516038">
            <w:pPr>
              <w:tabs>
                <w:tab w:val="clear" w:pos="1615"/>
              </w:tabs>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sz w:val="16"/>
                <w:szCs w:val="16"/>
                <w:lang w:eastAsia="pt-BR"/>
              </w:rPr>
            </w:pPr>
            <w:r w:rsidRPr="00C749C7">
              <w:rPr>
                <w:rFonts w:asciiTheme="majorHAnsi" w:eastAsia="Times New Roman" w:hAnsiTheme="majorHAnsi" w:cstheme="majorHAnsi"/>
                <w:sz w:val="16"/>
                <w:szCs w:val="16"/>
                <w:lang w:eastAsia="pt-BR"/>
              </w:rPr>
              <w:t>Vagas</w:t>
            </w:r>
            <w:r w:rsidRPr="00C749C7">
              <w:rPr>
                <w:rFonts w:asciiTheme="majorHAnsi" w:eastAsia="Times New Roman" w:hAnsiTheme="majorHAnsi" w:cstheme="majorHAnsi"/>
                <w:sz w:val="16"/>
                <w:szCs w:val="16"/>
                <w:vertAlign w:val="superscript"/>
                <w:lang w:eastAsia="pt-BR"/>
              </w:rPr>
              <w:t>1</w:t>
            </w:r>
          </w:p>
        </w:tc>
        <w:tc>
          <w:tcPr>
            <w:tcW w:w="2075" w:type="dxa"/>
            <w:gridSpan w:val="4"/>
            <w:tcBorders>
              <w:top w:val="single" w:sz="4" w:space="0" w:color="auto"/>
              <w:left w:val="single" w:sz="4" w:space="0" w:color="auto"/>
              <w:bottom w:val="single" w:sz="4" w:space="0" w:color="auto"/>
              <w:right w:val="single" w:sz="4" w:space="0" w:color="auto"/>
            </w:tcBorders>
            <w:noWrap/>
            <w:hideMark/>
          </w:tcPr>
          <w:p w14:paraId="23C0D37D" w14:textId="77777777" w:rsidR="00EE3346" w:rsidRPr="00C749C7" w:rsidRDefault="00EE3346" w:rsidP="00516038">
            <w:pPr>
              <w:tabs>
                <w:tab w:val="clear" w:pos="1615"/>
              </w:tabs>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sz w:val="16"/>
                <w:szCs w:val="16"/>
                <w:lang w:eastAsia="pt-BR"/>
              </w:rPr>
            </w:pPr>
            <w:r w:rsidRPr="00C749C7">
              <w:rPr>
                <w:rFonts w:asciiTheme="majorHAnsi" w:eastAsia="Times New Roman" w:hAnsiTheme="majorHAnsi" w:cstheme="majorHAnsi"/>
                <w:sz w:val="16"/>
                <w:szCs w:val="16"/>
                <w:lang w:eastAsia="pt-BR"/>
              </w:rPr>
              <w:t>Inscritos</w:t>
            </w:r>
            <w:r w:rsidRPr="00C749C7">
              <w:rPr>
                <w:rFonts w:asciiTheme="majorHAnsi" w:eastAsia="Times New Roman" w:hAnsiTheme="majorHAnsi" w:cstheme="majorHAnsi"/>
                <w:sz w:val="16"/>
                <w:szCs w:val="16"/>
                <w:vertAlign w:val="superscript"/>
                <w:lang w:eastAsia="pt-BR"/>
              </w:rPr>
              <w:t>1</w:t>
            </w:r>
          </w:p>
        </w:tc>
        <w:tc>
          <w:tcPr>
            <w:tcW w:w="1316" w:type="dxa"/>
            <w:gridSpan w:val="3"/>
            <w:tcBorders>
              <w:top w:val="single" w:sz="4" w:space="0" w:color="auto"/>
              <w:left w:val="single" w:sz="4" w:space="0" w:color="auto"/>
              <w:bottom w:val="single" w:sz="4" w:space="0" w:color="auto"/>
              <w:right w:val="single" w:sz="4" w:space="0" w:color="auto"/>
            </w:tcBorders>
            <w:noWrap/>
            <w:hideMark/>
          </w:tcPr>
          <w:p w14:paraId="377E1763" w14:textId="77777777" w:rsidR="00EE3346" w:rsidRPr="00C749C7" w:rsidRDefault="00EE3346" w:rsidP="00516038">
            <w:pPr>
              <w:tabs>
                <w:tab w:val="clear" w:pos="1615"/>
              </w:tabs>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sz w:val="16"/>
                <w:szCs w:val="16"/>
                <w:lang w:eastAsia="pt-BR"/>
              </w:rPr>
            </w:pPr>
            <w:r w:rsidRPr="00C749C7">
              <w:rPr>
                <w:rFonts w:asciiTheme="majorHAnsi" w:eastAsia="Times New Roman" w:hAnsiTheme="majorHAnsi" w:cstheme="majorHAnsi"/>
                <w:sz w:val="16"/>
                <w:szCs w:val="16"/>
                <w:lang w:eastAsia="pt-BR"/>
              </w:rPr>
              <w:t>Ingressos</w:t>
            </w:r>
            <w:r w:rsidRPr="00C749C7">
              <w:rPr>
                <w:rFonts w:asciiTheme="majorHAnsi" w:eastAsia="Times New Roman" w:hAnsiTheme="majorHAnsi" w:cstheme="majorHAnsi"/>
                <w:sz w:val="16"/>
                <w:szCs w:val="16"/>
                <w:vertAlign w:val="superscript"/>
                <w:lang w:eastAsia="pt-BR"/>
              </w:rPr>
              <w:t>1</w:t>
            </w:r>
          </w:p>
        </w:tc>
        <w:tc>
          <w:tcPr>
            <w:tcW w:w="1288" w:type="dxa"/>
            <w:gridSpan w:val="3"/>
            <w:tcBorders>
              <w:top w:val="single" w:sz="4" w:space="0" w:color="auto"/>
              <w:left w:val="single" w:sz="4" w:space="0" w:color="auto"/>
              <w:bottom w:val="single" w:sz="4" w:space="0" w:color="auto"/>
              <w:right w:val="single" w:sz="4" w:space="0" w:color="auto"/>
            </w:tcBorders>
            <w:noWrap/>
            <w:hideMark/>
          </w:tcPr>
          <w:p w14:paraId="7B53F48C" w14:textId="77777777" w:rsidR="00EE3346" w:rsidRPr="00C749C7" w:rsidRDefault="00EE3346" w:rsidP="00516038">
            <w:pPr>
              <w:tabs>
                <w:tab w:val="clear" w:pos="1615"/>
              </w:tabs>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sz w:val="16"/>
                <w:szCs w:val="16"/>
                <w:lang w:eastAsia="pt-BR"/>
              </w:rPr>
            </w:pPr>
            <w:r w:rsidRPr="00C749C7">
              <w:rPr>
                <w:rFonts w:asciiTheme="majorHAnsi" w:eastAsia="Times New Roman" w:hAnsiTheme="majorHAnsi" w:cstheme="majorHAnsi"/>
                <w:sz w:val="16"/>
                <w:szCs w:val="16"/>
                <w:lang w:eastAsia="pt-BR"/>
              </w:rPr>
              <w:t>Ociosidade</w:t>
            </w:r>
            <w:r w:rsidRPr="00C749C7">
              <w:rPr>
                <w:rFonts w:asciiTheme="majorHAnsi" w:eastAsia="Times New Roman" w:hAnsiTheme="majorHAnsi" w:cstheme="majorHAnsi"/>
                <w:sz w:val="16"/>
                <w:szCs w:val="16"/>
                <w:vertAlign w:val="superscript"/>
                <w:lang w:eastAsia="pt-BR"/>
              </w:rPr>
              <w:t>2</w:t>
            </w:r>
          </w:p>
        </w:tc>
        <w:tc>
          <w:tcPr>
            <w:tcW w:w="1142" w:type="dxa"/>
            <w:gridSpan w:val="2"/>
            <w:tcBorders>
              <w:top w:val="single" w:sz="4" w:space="0" w:color="auto"/>
              <w:left w:val="single" w:sz="4" w:space="0" w:color="auto"/>
              <w:bottom w:val="single" w:sz="4" w:space="0" w:color="auto"/>
              <w:right w:val="single" w:sz="4" w:space="0" w:color="auto"/>
            </w:tcBorders>
            <w:noWrap/>
            <w:hideMark/>
          </w:tcPr>
          <w:p w14:paraId="5ED998EA" w14:textId="77777777" w:rsidR="00EE3346" w:rsidRPr="00C749C7" w:rsidRDefault="00EE3346" w:rsidP="00516038">
            <w:pPr>
              <w:tabs>
                <w:tab w:val="clear" w:pos="1615"/>
              </w:tabs>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sz w:val="16"/>
                <w:szCs w:val="16"/>
                <w:lang w:eastAsia="pt-BR"/>
              </w:rPr>
            </w:pPr>
            <w:r w:rsidRPr="00C749C7">
              <w:rPr>
                <w:rFonts w:asciiTheme="majorHAnsi" w:eastAsia="Times New Roman" w:hAnsiTheme="majorHAnsi" w:cstheme="majorHAnsi"/>
                <w:sz w:val="16"/>
                <w:szCs w:val="16"/>
                <w:lang w:eastAsia="pt-BR"/>
              </w:rPr>
              <w:t>Excedentes</w:t>
            </w:r>
            <w:r w:rsidRPr="00C749C7">
              <w:rPr>
                <w:rFonts w:asciiTheme="majorHAnsi" w:eastAsia="Times New Roman" w:hAnsiTheme="majorHAnsi" w:cstheme="majorHAnsi"/>
                <w:sz w:val="16"/>
                <w:szCs w:val="16"/>
                <w:vertAlign w:val="superscript"/>
                <w:lang w:eastAsia="pt-BR"/>
              </w:rPr>
              <w:t>3</w:t>
            </w:r>
          </w:p>
        </w:tc>
      </w:tr>
      <w:tr w:rsidR="00C749C7" w:rsidRPr="00516038" w14:paraId="58B25C84" w14:textId="77777777" w:rsidTr="00C749C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tcBorders>
            <w:hideMark/>
          </w:tcPr>
          <w:p w14:paraId="23863546" w14:textId="77777777" w:rsidR="00EE3346" w:rsidRPr="00516038" w:rsidRDefault="00EE3346" w:rsidP="00516038">
            <w:pPr>
              <w:tabs>
                <w:tab w:val="clear" w:pos="1615"/>
              </w:tabs>
              <w:rPr>
                <w:rFonts w:asciiTheme="majorHAnsi" w:eastAsia="Times New Roman" w:hAnsiTheme="majorHAnsi" w:cstheme="majorHAnsi"/>
                <w:b w:val="0"/>
                <w:bCs w:val="0"/>
                <w:color w:val="000000"/>
                <w:sz w:val="16"/>
                <w:szCs w:val="16"/>
                <w:lang w:eastAsia="pt-BR"/>
              </w:rPr>
            </w:pPr>
          </w:p>
        </w:tc>
        <w:tc>
          <w:tcPr>
            <w:tcW w:w="687" w:type="dxa"/>
            <w:tcBorders>
              <w:top w:val="single" w:sz="4" w:space="0" w:color="auto"/>
            </w:tcBorders>
            <w:noWrap/>
            <w:hideMark/>
          </w:tcPr>
          <w:p w14:paraId="6EB6902D"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Tot</w:t>
            </w:r>
          </w:p>
        </w:tc>
        <w:tc>
          <w:tcPr>
            <w:tcW w:w="502" w:type="dxa"/>
            <w:tcBorders>
              <w:top w:val="single" w:sz="4" w:space="0" w:color="auto"/>
            </w:tcBorders>
            <w:noWrap/>
            <w:hideMark/>
          </w:tcPr>
          <w:p w14:paraId="6CC5EEB4"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Publ</w:t>
            </w:r>
          </w:p>
        </w:tc>
        <w:tc>
          <w:tcPr>
            <w:tcW w:w="571" w:type="dxa"/>
            <w:tcBorders>
              <w:top w:val="single" w:sz="4" w:space="0" w:color="auto"/>
            </w:tcBorders>
            <w:noWrap/>
            <w:hideMark/>
          </w:tcPr>
          <w:p w14:paraId="00636003"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Priv</w:t>
            </w:r>
          </w:p>
        </w:tc>
        <w:tc>
          <w:tcPr>
            <w:tcW w:w="674" w:type="dxa"/>
            <w:tcBorders>
              <w:top w:val="single" w:sz="4" w:space="0" w:color="auto"/>
            </w:tcBorders>
            <w:noWrap/>
            <w:hideMark/>
          </w:tcPr>
          <w:p w14:paraId="7F6706DD"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Tot</w:t>
            </w:r>
          </w:p>
        </w:tc>
        <w:tc>
          <w:tcPr>
            <w:tcW w:w="571" w:type="dxa"/>
            <w:tcBorders>
              <w:top w:val="single" w:sz="4" w:space="0" w:color="auto"/>
            </w:tcBorders>
            <w:noWrap/>
            <w:hideMark/>
          </w:tcPr>
          <w:p w14:paraId="2E7F39D5"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Publ</w:t>
            </w:r>
          </w:p>
        </w:tc>
        <w:tc>
          <w:tcPr>
            <w:tcW w:w="649" w:type="dxa"/>
            <w:tcBorders>
              <w:top w:val="single" w:sz="4" w:space="0" w:color="auto"/>
            </w:tcBorders>
            <w:noWrap/>
            <w:hideMark/>
          </w:tcPr>
          <w:p w14:paraId="61DA77AB"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Priv</w:t>
            </w:r>
          </w:p>
        </w:tc>
        <w:tc>
          <w:tcPr>
            <w:tcW w:w="634" w:type="dxa"/>
            <w:gridSpan w:val="2"/>
            <w:tcBorders>
              <w:top w:val="single" w:sz="4" w:space="0" w:color="auto"/>
            </w:tcBorders>
            <w:noWrap/>
            <w:hideMark/>
          </w:tcPr>
          <w:p w14:paraId="152DCC6A"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Tot</w:t>
            </w:r>
          </w:p>
        </w:tc>
        <w:tc>
          <w:tcPr>
            <w:tcW w:w="502" w:type="dxa"/>
            <w:tcBorders>
              <w:top w:val="single" w:sz="4" w:space="0" w:color="auto"/>
            </w:tcBorders>
            <w:noWrap/>
            <w:hideMark/>
          </w:tcPr>
          <w:p w14:paraId="1907CA90"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Publ</w:t>
            </w:r>
          </w:p>
        </w:tc>
        <w:tc>
          <w:tcPr>
            <w:tcW w:w="576" w:type="dxa"/>
            <w:gridSpan w:val="2"/>
            <w:tcBorders>
              <w:top w:val="single" w:sz="4" w:space="0" w:color="auto"/>
            </w:tcBorders>
            <w:noWrap/>
            <w:hideMark/>
          </w:tcPr>
          <w:p w14:paraId="5AF2B7CC"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Priv</w:t>
            </w:r>
          </w:p>
        </w:tc>
        <w:tc>
          <w:tcPr>
            <w:tcW w:w="502" w:type="dxa"/>
            <w:tcBorders>
              <w:top w:val="single" w:sz="4" w:space="0" w:color="auto"/>
            </w:tcBorders>
            <w:noWrap/>
            <w:hideMark/>
          </w:tcPr>
          <w:p w14:paraId="2C8203DF"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Publ</w:t>
            </w:r>
          </w:p>
        </w:tc>
        <w:tc>
          <w:tcPr>
            <w:tcW w:w="571" w:type="dxa"/>
            <w:tcBorders>
              <w:top w:val="single" w:sz="4" w:space="0" w:color="auto"/>
            </w:tcBorders>
            <w:noWrap/>
            <w:hideMark/>
          </w:tcPr>
          <w:p w14:paraId="12DB5808"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Priv</w:t>
            </w:r>
          </w:p>
        </w:tc>
        <w:tc>
          <w:tcPr>
            <w:tcW w:w="571" w:type="dxa"/>
            <w:tcBorders>
              <w:top w:val="single" w:sz="4" w:space="0" w:color="auto"/>
            </w:tcBorders>
            <w:noWrap/>
            <w:hideMark/>
          </w:tcPr>
          <w:p w14:paraId="03CCF277"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Publ</w:t>
            </w:r>
          </w:p>
        </w:tc>
        <w:tc>
          <w:tcPr>
            <w:tcW w:w="571" w:type="dxa"/>
            <w:tcBorders>
              <w:top w:val="single" w:sz="4" w:space="0" w:color="auto"/>
            </w:tcBorders>
            <w:noWrap/>
            <w:hideMark/>
          </w:tcPr>
          <w:p w14:paraId="687E849D"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Priv</w:t>
            </w:r>
          </w:p>
        </w:tc>
      </w:tr>
      <w:tr w:rsidR="00C749C7" w:rsidRPr="00516038" w14:paraId="3E2B1C5D" w14:textId="77777777" w:rsidTr="00C749C7">
        <w:trPr>
          <w:trHeight w:val="288"/>
        </w:trPr>
        <w:tc>
          <w:tcPr>
            <w:cnfStyle w:val="001000000000" w:firstRow="0" w:lastRow="0" w:firstColumn="1" w:lastColumn="0" w:oddVBand="0" w:evenVBand="0" w:oddHBand="0" w:evenHBand="0" w:firstRowFirstColumn="0" w:firstRowLastColumn="0" w:lastRowFirstColumn="0" w:lastRowLastColumn="0"/>
            <w:tcW w:w="1417" w:type="dxa"/>
            <w:noWrap/>
            <w:hideMark/>
          </w:tcPr>
          <w:p w14:paraId="4D9419DB" w14:textId="77777777" w:rsidR="00EE3346" w:rsidRPr="00516038" w:rsidRDefault="00EE3346" w:rsidP="00516038">
            <w:pPr>
              <w:tabs>
                <w:tab w:val="clear" w:pos="1615"/>
              </w:tabs>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 xml:space="preserve">Ciência da computação </w:t>
            </w:r>
          </w:p>
        </w:tc>
        <w:tc>
          <w:tcPr>
            <w:tcW w:w="687" w:type="dxa"/>
            <w:noWrap/>
            <w:hideMark/>
          </w:tcPr>
          <w:p w14:paraId="45B0C199"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2.400</w:t>
            </w:r>
          </w:p>
        </w:tc>
        <w:tc>
          <w:tcPr>
            <w:tcW w:w="502" w:type="dxa"/>
            <w:noWrap/>
            <w:hideMark/>
          </w:tcPr>
          <w:p w14:paraId="28FFD8A9"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102</w:t>
            </w:r>
          </w:p>
        </w:tc>
        <w:tc>
          <w:tcPr>
            <w:tcW w:w="571" w:type="dxa"/>
            <w:noWrap/>
            <w:hideMark/>
          </w:tcPr>
          <w:p w14:paraId="7A278935"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2.298</w:t>
            </w:r>
          </w:p>
        </w:tc>
        <w:tc>
          <w:tcPr>
            <w:tcW w:w="674" w:type="dxa"/>
            <w:noWrap/>
            <w:hideMark/>
          </w:tcPr>
          <w:p w14:paraId="59C7B0D6"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4.239</w:t>
            </w:r>
          </w:p>
        </w:tc>
        <w:tc>
          <w:tcPr>
            <w:tcW w:w="571" w:type="dxa"/>
            <w:noWrap/>
            <w:hideMark/>
          </w:tcPr>
          <w:p w14:paraId="5CD7E1E0"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863</w:t>
            </w:r>
          </w:p>
        </w:tc>
        <w:tc>
          <w:tcPr>
            <w:tcW w:w="649" w:type="dxa"/>
            <w:noWrap/>
            <w:hideMark/>
          </w:tcPr>
          <w:p w14:paraId="610129F0"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3.376</w:t>
            </w:r>
          </w:p>
        </w:tc>
        <w:tc>
          <w:tcPr>
            <w:tcW w:w="634" w:type="dxa"/>
            <w:gridSpan w:val="2"/>
            <w:noWrap/>
            <w:hideMark/>
          </w:tcPr>
          <w:p w14:paraId="04B2B4AF"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774</w:t>
            </w:r>
          </w:p>
        </w:tc>
        <w:tc>
          <w:tcPr>
            <w:tcW w:w="502" w:type="dxa"/>
            <w:noWrap/>
            <w:hideMark/>
          </w:tcPr>
          <w:p w14:paraId="56CA3E8B"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104</w:t>
            </w:r>
          </w:p>
        </w:tc>
        <w:tc>
          <w:tcPr>
            <w:tcW w:w="576" w:type="dxa"/>
            <w:gridSpan w:val="2"/>
            <w:noWrap/>
            <w:hideMark/>
          </w:tcPr>
          <w:p w14:paraId="27CE3157"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670</w:t>
            </w:r>
          </w:p>
        </w:tc>
        <w:tc>
          <w:tcPr>
            <w:tcW w:w="502" w:type="dxa"/>
            <w:noWrap/>
            <w:hideMark/>
          </w:tcPr>
          <w:p w14:paraId="2C479E17"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-2</w:t>
            </w:r>
          </w:p>
        </w:tc>
        <w:tc>
          <w:tcPr>
            <w:tcW w:w="571" w:type="dxa"/>
            <w:noWrap/>
            <w:hideMark/>
          </w:tcPr>
          <w:p w14:paraId="528896C5"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1.628</w:t>
            </w:r>
          </w:p>
        </w:tc>
        <w:tc>
          <w:tcPr>
            <w:tcW w:w="571" w:type="dxa"/>
            <w:noWrap/>
            <w:hideMark/>
          </w:tcPr>
          <w:p w14:paraId="5D0CE92B"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761</w:t>
            </w:r>
          </w:p>
        </w:tc>
        <w:tc>
          <w:tcPr>
            <w:tcW w:w="571" w:type="dxa"/>
            <w:noWrap/>
            <w:hideMark/>
          </w:tcPr>
          <w:p w14:paraId="5359FC26"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1.078</w:t>
            </w:r>
          </w:p>
        </w:tc>
      </w:tr>
      <w:tr w:rsidR="00C749C7" w:rsidRPr="00516038" w14:paraId="79F87C00" w14:textId="77777777" w:rsidTr="00C749C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7" w:type="dxa"/>
            <w:noWrap/>
            <w:hideMark/>
          </w:tcPr>
          <w:p w14:paraId="16EBFE78" w14:textId="77777777" w:rsidR="00EE3346" w:rsidRPr="00516038" w:rsidRDefault="00EE3346" w:rsidP="00516038">
            <w:pPr>
              <w:tabs>
                <w:tab w:val="clear" w:pos="1615"/>
              </w:tabs>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Engenharia de computação</w:t>
            </w:r>
          </w:p>
        </w:tc>
        <w:tc>
          <w:tcPr>
            <w:tcW w:w="687" w:type="dxa"/>
            <w:noWrap/>
            <w:hideMark/>
          </w:tcPr>
          <w:p w14:paraId="768DFD89"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368</w:t>
            </w:r>
          </w:p>
        </w:tc>
        <w:tc>
          <w:tcPr>
            <w:tcW w:w="502" w:type="dxa"/>
            <w:noWrap/>
            <w:hideMark/>
          </w:tcPr>
          <w:p w14:paraId="40445699"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99</w:t>
            </w:r>
          </w:p>
        </w:tc>
        <w:tc>
          <w:tcPr>
            <w:tcW w:w="571" w:type="dxa"/>
            <w:noWrap/>
            <w:hideMark/>
          </w:tcPr>
          <w:p w14:paraId="18BAFFBB"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269</w:t>
            </w:r>
          </w:p>
        </w:tc>
        <w:tc>
          <w:tcPr>
            <w:tcW w:w="674" w:type="dxa"/>
            <w:noWrap/>
            <w:hideMark/>
          </w:tcPr>
          <w:p w14:paraId="58F15BBC"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1.562</w:t>
            </w:r>
          </w:p>
        </w:tc>
        <w:tc>
          <w:tcPr>
            <w:tcW w:w="571" w:type="dxa"/>
            <w:noWrap/>
            <w:hideMark/>
          </w:tcPr>
          <w:p w14:paraId="3E591AFB"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602</w:t>
            </w:r>
          </w:p>
        </w:tc>
        <w:tc>
          <w:tcPr>
            <w:tcW w:w="649" w:type="dxa"/>
            <w:noWrap/>
            <w:hideMark/>
          </w:tcPr>
          <w:p w14:paraId="7B6CE74C"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960</w:t>
            </w:r>
          </w:p>
        </w:tc>
        <w:tc>
          <w:tcPr>
            <w:tcW w:w="634" w:type="dxa"/>
            <w:gridSpan w:val="2"/>
            <w:noWrap/>
            <w:hideMark/>
          </w:tcPr>
          <w:p w14:paraId="1BF23FD4"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223</w:t>
            </w:r>
          </w:p>
        </w:tc>
        <w:tc>
          <w:tcPr>
            <w:tcW w:w="502" w:type="dxa"/>
            <w:noWrap/>
            <w:hideMark/>
          </w:tcPr>
          <w:p w14:paraId="37876D2D"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88</w:t>
            </w:r>
          </w:p>
        </w:tc>
        <w:tc>
          <w:tcPr>
            <w:tcW w:w="576" w:type="dxa"/>
            <w:gridSpan w:val="2"/>
            <w:noWrap/>
            <w:hideMark/>
          </w:tcPr>
          <w:p w14:paraId="617423EC"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135</w:t>
            </w:r>
          </w:p>
        </w:tc>
        <w:tc>
          <w:tcPr>
            <w:tcW w:w="502" w:type="dxa"/>
            <w:noWrap/>
            <w:hideMark/>
          </w:tcPr>
          <w:p w14:paraId="3F930700"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11</w:t>
            </w:r>
          </w:p>
        </w:tc>
        <w:tc>
          <w:tcPr>
            <w:tcW w:w="571" w:type="dxa"/>
            <w:noWrap/>
            <w:hideMark/>
          </w:tcPr>
          <w:p w14:paraId="068064EB"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134</w:t>
            </w:r>
          </w:p>
        </w:tc>
        <w:tc>
          <w:tcPr>
            <w:tcW w:w="571" w:type="dxa"/>
            <w:noWrap/>
            <w:hideMark/>
          </w:tcPr>
          <w:p w14:paraId="06AC3DA7"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503</w:t>
            </w:r>
          </w:p>
        </w:tc>
        <w:tc>
          <w:tcPr>
            <w:tcW w:w="571" w:type="dxa"/>
            <w:noWrap/>
            <w:hideMark/>
          </w:tcPr>
          <w:p w14:paraId="18C5DE93"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691</w:t>
            </w:r>
          </w:p>
        </w:tc>
      </w:tr>
      <w:tr w:rsidR="00C749C7" w:rsidRPr="00516038" w14:paraId="6CB83BD8" w14:textId="77777777" w:rsidTr="00C749C7">
        <w:trPr>
          <w:trHeight w:val="288"/>
        </w:trPr>
        <w:tc>
          <w:tcPr>
            <w:cnfStyle w:val="001000000000" w:firstRow="0" w:lastRow="0" w:firstColumn="1" w:lastColumn="0" w:oddVBand="0" w:evenVBand="0" w:oddHBand="0" w:evenHBand="0" w:firstRowFirstColumn="0" w:firstRowLastColumn="0" w:lastRowFirstColumn="0" w:lastRowLastColumn="0"/>
            <w:tcW w:w="1417" w:type="dxa"/>
            <w:noWrap/>
            <w:hideMark/>
          </w:tcPr>
          <w:p w14:paraId="4CB9FA98" w14:textId="77777777" w:rsidR="00EE3346" w:rsidRPr="00516038" w:rsidRDefault="00EE3346" w:rsidP="00516038">
            <w:pPr>
              <w:tabs>
                <w:tab w:val="clear" w:pos="1615"/>
              </w:tabs>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 xml:space="preserve">Engenharia de software </w:t>
            </w:r>
          </w:p>
        </w:tc>
        <w:tc>
          <w:tcPr>
            <w:tcW w:w="687" w:type="dxa"/>
            <w:noWrap/>
            <w:hideMark/>
          </w:tcPr>
          <w:p w14:paraId="15CF76F5"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282</w:t>
            </w:r>
          </w:p>
        </w:tc>
        <w:tc>
          <w:tcPr>
            <w:tcW w:w="502" w:type="dxa"/>
            <w:noWrap/>
            <w:hideMark/>
          </w:tcPr>
          <w:p w14:paraId="53135165"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14</w:t>
            </w:r>
          </w:p>
        </w:tc>
        <w:tc>
          <w:tcPr>
            <w:tcW w:w="571" w:type="dxa"/>
            <w:noWrap/>
            <w:hideMark/>
          </w:tcPr>
          <w:p w14:paraId="272678F8"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268</w:t>
            </w:r>
          </w:p>
        </w:tc>
        <w:tc>
          <w:tcPr>
            <w:tcW w:w="674" w:type="dxa"/>
            <w:noWrap/>
            <w:hideMark/>
          </w:tcPr>
          <w:p w14:paraId="09FB7D71"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461</w:t>
            </w:r>
          </w:p>
        </w:tc>
        <w:tc>
          <w:tcPr>
            <w:tcW w:w="571" w:type="dxa"/>
            <w:noWrap/>
            <w:hideMark/>
          </w:tcPr>
          <w:p w14:paraId="10080623"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14</w:t>
            </w:r>
          </w:p>
        </w:tc>
        <w:tc>
          <w:tcPr>
            <w:tcW w:w="649" w:type="dxa"/>
            <w:noWrap/>
            <w:hideMark/>
          </w:tcPr>
          <w:p w14:paraId="1EE01507"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447</w:t>
            </w:r>
          </w:p>
        </w:tc>
        <w:tc>
          <w:tcPr>
            <w:tcW w:w="634" w:type="dxa"/>
            <w:gridSpan w:val="2"/>
            <w:noWrap/>
            <w:hideMark/>
          </w:tcPr>
          <w:p w14:paraId="15937CBF"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231</w:t>
            </w:r>
          </w:p>
        </w:tc>
        <w:tc>
          <w:tcPr>
            <w:tcW w:w="502" w:type="dxa"/>
            <w:noWrap/>
            <w:hideMark/>
          </w:tcPr>
          <w:p w14:paraId="56255EA3"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16</w:t>
            </w:r>
          </w:p>
        </w:tc>
        <w:tc>
          <w:tcPr>
            <w:tcW w:w="576" w:type="dxa"/>
            <w:gridSpan w:val="2"/>
            <w:noWrap/>
            <w:hideMark/>
          </w:tcPr>
          <w:p w14:paraId="72AC7658"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215</w:t>
            </w:r>
          </w:p>
        </w:tc>
        <w:tc>
          <w:tcPr>
            <w:tcW w:w="502" w:type="dxa"/>
            <w:noWrap/>
            <w:hideMark/>
          </w:tcPr>
          <w:p w14:paraId="5D44F3B8"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-2</w:t>
            </w:r>
          </w:p>
        </w:tc>
        <w:tc>
          <w:tcPr>
            <w:tcW w:w="571" w:type="dxa"/>
            <w:noWrap/>
            <w:hideMark/>
          </w:tcPr>
          <w:p w14:paraId="3946CD75"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53</w:t>
            </w:r>
          </w:p>
        </w:tc>
        <w:tc>
          <w:tcPr>
            <w:tcW w:w="571" w:type="dxa"/>
            <w:noWrap/>
            <w:hideMark/>
          </w:tcPr>
          <w:p w14:paraId="6C44E5C1"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0</w:t>
            </w:r>
          </w:p>
        </w:tc>
        <w:tc>
          <w:tcPr>
            <w:tcW w:w="571" w:type="dxa"/>
            <w:noWrap/>
            <w:hideMark/>
          </w:tcPr>
          <w:p w14:paraId="2A2F1EAA"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179</w:t>
            </w:r>
          </w:p>
        </w:tc>
      </w:tr>
      <w:tr w:rsidR="00C749C7" w:rsidRPr="00516038" w14:paraId="0FDECD91" w14:textId="77777777" w:rsidTr="00C749C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7" w:type="dxa"/>
            <w:noWrap/>
            <w:hideMark/>
          </w:tcPr>
          <w:p w14:paraId="72DCB05F" w14:textId="77777777" w:rsidR="00EE3346" w:rsidRPr="00516038" w:rsidRDefault="00EE3346" w:rsidP="00516038">
            <w:pPr>
              <w:tabs>
                <w:tab w:val="clear" w:pos="1615"/>
              </w:tabs>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 xml:space="preserve">Sistemas de informação </w:t>
            </w:r>
          </w:p>
        </w:tc>
        <w:tc>
          <w:tcPr>
            <w:tcW w:w="687" w:type="dxa"/>
            <w:noWrap/>
            <w:hideMark/>
          </w:tcPr>
          <w:p w14:paraId="176723BA"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5.328</w:t>
            </w:r>
          </w:p>
        </w:tc>
        <w:tc>
          <w:tcPr>
            <w:tcW w:w="502" w:type="dxa"/>
            <w:noWrap/>
            <w:hideMark/>
          </w:tcPr>
          <w:p w14:paraId="6AD249BE"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0</w:t>
            </w:r>
          </w:p>
        </w:tc>
        <w:tc>
          <w:tcPr>
            <w:tcW w:w="571" w:type="dxa"/>
            <w:noWrap/>
            <w:hideMark/>
          </w:tcPr>
          <w:p w14:paraId="2064008D"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5.328</w:t>
            </w:r>
          </w:p>
        </w:tc>
        <w:tc>
          <w:tcPr>
            <w:tcW w:w="674" w:type="dxa"/>
            <w:noWrap/>
            <w:hideMark/>
          </w:tcPr>
          <w:p w14:paraId="3775E4E2"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7.285</w:t>
            </w:r>
          </w:p>
        </w:tc>
        <w:tc>
          <w:tcPr>
            <w:tcW w:w="571" w:type="dxa"/>
            <w:noWrap/>
            <w:hideMark/>
          </w:tcPr>
          <w:p w14:paraId="40DA8CC4"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0</w:t>
            </w:r>
          </w:p>
        </w:tc>
        <w:tc>
          <w:tcPr>
            <w:tcW w:w="649" w:type="dxa"/>
            <w:noWrap/>
            <w:hideMark/>
          </w:tcPr>
          <w:p w14:paraId="1B570CCD"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7.285</w:t>
            </w:r>
          </w:p>
        </w:tc>
        <w:tc>
          <w:tcPr>
            <w:tcW w:w="634" w:type="dxa"/>
            <w:gridSpan w:val="2"/>
            <w:noWrap/>
            <w:hideMark/>
          </w:tcPr>
          <w:p w14:paraId="7592E6E4"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4.366</w:t>
            </w:r>
          </w:p>
        </w:tc>
        <w:tc>
          <w:tcPr>
            <w:tcW w:w="502" w:type="dxa"/>
            <w:noWrap/>
            <w:hideMark/>
          </w:tcPr>
          <w:p w14:paraId="1FB0B18A"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0</w:t>
            </w:r>
          </w:p>
        </w:tc>
        <w:tc>
          <w:tcPr>
            <w:tcW w:w="576" w:type="dxa"/>
            <w:gridSpan w:val="2"/>
            <w:noWrap/>
            <w:hideMark/>
          </w:tcPr>
          <w:p w14:paraId="5897C696"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4.366</w:t>
            </w:r>
          </w:p>
        </w:tc>
        <w:tc>
          <w:tcPr>
            <w:tcW w:w="502" w:type="dxa"/>
            <w:noWrap/>
            <w:hideMark/>
          </w:tcPr>
          <w:p w14:paraId="51AA3EF5"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0</w:t>
            </w:r>
          </w:p>
        </w:tc>
        <w:tc>
          <w:tcPr>
            <w:tcW w:w="571" w:type="dxa"/>
            <w:noWrap/>
            <w:hideMark/>
          </w:tcPr>
          <w:p w14:paraId="0B3E2E60"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962</w:t>
            </w:r>
          </w:p>
        </w:tc>
        <w:tc>
          <w:tcPr>
            <w:tcW w:w="571" w:type="dxa"/>
            <w:noWrap/>
            <w:hideMark/>
          </w:tcPr>
          <w:p w14:paraId="6B85C588"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0</w:t>
            </w:r>
          </w:p>
        </w:tc>
        <w:tc>
          <w:tcPr>
            <w:tcW w:w="571" w:type="dxa"/>
            <w:noWrap/>
            <w:hideMark/>
          </w:tcPr>
          <w:p w14:paraId="05F7D624"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1.957</w:t>
            </w:r>
          </w:p>
        </w:tc>
      </w:tr>
      <w:tr w:rsidR="00C749C7" w:rsidRPr="00516038" w14:paraId="69CB67C0" w14:textId="77777777" w:rsidTr="00C749C7">
        <w:trPr>
          <w:trHeight w:val="288"/>
        </w:trPr>
        <w:tc>
          <w:tcPr>
            <w:cnfStyle w:val="001000000000" w:firstRow="0" w:lastRow="0" w:firstColumn="1" w:lastColumn="0" w:oddVBand="0" w:evenVBand="0" w:oddHBand="0" w:evenHBand="0" w:firstRowFirstColumn="0" w:firstRowLastColumn="0" w:lastRowFirstColumn="0" w:lastRowLastColumn="0"/>
            <w:tcW w:w="1417" w:type="dxa"/>
            <w:noWrap/>
            <w:hideMark/>
          </w:tcPr>
          <w:p w14:paraId="7180E6C6" w14:textId="77777777" w:rsidR="00EE3346" w:rsidRPr="00516038" w:rsidRDefault="00EE3346" w:rsidP="00516038">
            <w:pPr>
              <w:tabs>
                <w:tab w:val="clear" w:pos="1615"/>
              </w:tabs>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 xml:space="preserve">Interdiscipl.Computação/TIC </w:t>
            </w:r>
          </w:p>
        </w:tc>
        <w:tc>
          <w:tcPr>
            <w:tcW w:w="687" w:type="dxa"/>
            <w:noWrap/>
            <w:hideMark/>
          </w:tcPr>
          <w:p w14:paraId="7922357C"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334</w:t>
            </w:r>
          </w:p>
        </w:tc>
        <w:tc>
          <w:tcPr>
            <w:tcW w:w="502" w:type="dxa"/>
            <w:noWrap/>
            <w:hideMark/>
          </w:tcPr>
          <w:p w14:paraId="306AC41E"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0</w:t>
            </w:r>
          </w:p>
        </w:tc>
        <w:tc>
          <w:tcPr>
            <w:tcW w:w="571" w:type="dxa"/>
            <w:noWrap/>
            <w:hideMark/>
          </w:tcPr>
          <w:p w14:paraId="0AF2864C"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334</w:t>
            </w:r>
          </w:p>
        </w:tc>
        <w:tc>
          <w:tcPr>
            <w:tcW w:w="674" w:type="dxa"/>
            <w:noWrap/>
            <w:hideMark/>
          </w:tcPr>
          <w:p w14:paraId="1516CB75"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661</w:t>
            </w:r>
          </w:p>
        </w:tc>
        <w:tc>
          <w:tcPr>
            <w:tcW w:w="571" w:type="dxa"/>
            <w:noWrap/>
            <w:hideMark/>
          </w:tcPr>
          <w:p w14:paraId="268803AC"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0</w:t>
            </w:r>
          </w:p>
        </w:tc>
        <w:tc>
          <w:tcPr>
            <w:tcW w:w="649" w:type="dxa"/>
            <w:noWrap/>
            <w:hideMark/>
          </w:tcPr>
          <w:p w14:paraId="4B01B1DA"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661</w:t>
            </w:r>
          </w:p>
        </w:tc>
        <w:tc>
          <w:tcPr>
            <w:tcW w:w="634" w:type="dxa"/>
            <w:gridSpan w:val="2"/>
            <w:noWrap/>
            <w:hideMark/>
          </w:tcPr>
          <w:p w14:paraId="1B10E644"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154</w:t>
            </w:r>
          </w:p>
        </w:tc>
        <w:tc>
          <w:tcPr>
            <w:tcW w:w="502" w:type="dxa"/>
            <w:noWrap/>
            <w:hideMark/>
          </w:tcPr>
          <w:p w14:paraId="725E9205"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0</w:t>
            </w:r>
          </w:p>
        </w:tc>
        <w:tc>
          <w:tcPr>
            <w:tcW w:w="576" w:type="dxa"/>
            <w:gridSpan w:val="2"/>
            <w:noWrap/>
            <w:hideMark/>
          </w:tcPr>
          <w:p w14:paraId="3114C96C" w14:textId="77777777" w:rsidR="00EE3346" w:rsidRPr="00516038" w:rsidRDefault="00EE3346" w:rsidP="00516038">
            <w:pPr>
              <w:tabs>
                <w:tab w:val="clear" w:pos="1615"/>
              </w:tabs>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154</w:t>
            </w:r>
          </w:p>
        </w:tc>
        <w:tc>
          <w:tcPr>
            <w:tcW w:w="502" w:type="dxa"/>
            <w:noWrap/>
            <w:hideMark/>
          </w:tcPr>
          <w:p w14:paraId="057FF49A"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0</w:t>
            </w:r>
          </w:p>
        </w:tc>
        <w:tc>
          <w:tcPr>
            <w:tcW w:w="571" w:type="dxa"/>
            <w:noWrap/>
            <w:hideMark/>
          </w:tcPr>
          <w:p w14:paraId="18D76C8C"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180</w:t>
            </w:r>
          </w:p>
        </w:tc>
        <w:tc>
          <w:tcPr>
            <w:tcW w:w="571" w:type="dxa"/>
            <w:noWrap/>
            <w:hideMark/>
          </w:tcPr>
          <w:p w14:paraId="1B6BFDF8"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0</w:t>
            </w:r>
          </w:p>
        </w:tc>
        <w:tc>
          <w:tcPr>
            <w:tcW w:w="571" w:type="dxa"/>
            <w:noWrap/>
            <w:hideMark/>
          </w:tcPr>
          <w:p w14:paraId="18FAD509" w14:textId="77777777" w:rsidR="00EE3346" w:rsidRPr="00516038" w:rsidRDefault="00EE3346" w:rsidP="00516038">
            <w:pPr>
              <w:tabs>
                <w:tab w:val="clear" w:pos="1615"/>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327</w:t>
            </w:r>
          </w:p>
        </w:tc>
      </w:tr>
      <w:tr w:rsidR="00C749C7" w:rsidRPr="00516038" w14:paraId="223CA859" w14:textId="77777777" w:rsidTr="00C749C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7" w:type="dxa"/>
            <w:noWrap/>
            <w:hideMark/>
          </w:tcPr>
          <w:p w14:paraId="3B581468" w14:textId="77777777" w:rsidR="00EE3346" w:rsidRPr="00516038" w:rsidRDefault="00EE3346" w:rsidP="00516038">
            <w:pPr>
              <w:tabs>
                <w:tab w:val="clear" w:pos="1615"/>
              </w:tabs>
              <w:rPr>
                <w:rFonts w:asciiTheme="majorHAnsi" w:eastAsia="Times New Roman" w:hAnsiTheme="majorHAnsi" w:cstheme="majorHAnsi"/>
                <w:b w:val="0"/>
                <w:bCs w:val="0"/>
                <w:sz w:val="16"/>
                <w:szCs w:val="16"/>
                <w:lang w:eastAsia="pt-BR"/>
              </w:rPr>
            </w:pPr>
            <w:r w:rsidRPr="00516038">
              <w:rPr>
                <w:rFonts w:asciiTheme="majorHAnsi" w:eastAsia="Times New Roman" w:hAnsiTheme="majorHAnsi" w:cstheme="majorHAnsi"/>
                <w:sz w:val="16"/>
                <w:szCs w:val="16"/>
                <w:lang w:eastAsia="pt-BR"/>
              </w:rPr>
              <w:t>TOTAIS</w:t>
            </w:r>
          </w:p>
        </w:tc>
        <w:tc>
          <w:tcPr>
            <w:tcW w:w="687" w:type="dxa"/>
            <w:noWrap/>
            <w:hideMark/>
          </w:tcPr>
          <w:p w14:paraId="3D13A396"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8.712</w:t>
            </w:r>
          </w:p>
        </w:tc>
        <w:tc>
          <w:tcPr>
            <w:tcW w:w="502" w:type="dxa"/>
            <w:noWrap/>
            <w:hideMark/>
          </w:tcPr>
          <w:p w14:paraId="3577881C"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215</w:t>
            </w:r>
          </w:p>
        </w:tc>
        <w:tc>
          <w:tcPr>
            <w:tcW w:w="571" w:type="dxa"/>
            <w:noWrap/>
            <w:hideMark/>
          </w:tcPr>
          <w:p w14:paraId="45AD731D"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8.497</w:t>
            </w:r>
          </w:p>
        </w:tc>
        <w:tc>
          <w:tcPr>
            <w:tcW w:w="674" w:type="dxa"/>
            <w:noWrap/>
            <w:hideMark/>
          </w:tcPr>
          <w:p w14:paraId="2A25EA51"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14.208</w:t>
            </w:r>
          </w:p>
        </w:tc>
        <w:tc>
          <w:tcPr>
            <w:tcW w:w="571" w:type="dxa"/>
            <w:noWrap/>
            <w:hideMark/>
          </w:tcPr>
          <w:p w14:paraId="0B9AE38B"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1.479</w:t>
            </w:r>
          </w:p>
        </w:tc>
        <w:tc>
          <w:tcPr>
            <w:tcW w:w="649" w:type="dxa"/>
            <w:noWrap/>
            <w:hideMark/>
          </w:tcPr>
          <w:p w14:paraId="5018153A"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12.729</w:t>
            </w:r>
          </w:p>
        </w:tc>
        <w:tc>
          <w:tcPr>
            <w:tcW w:w="634" w:type="dxa"/>
            <w:gridSpan w:val="2"/>
            <w:noWrap/>
            <w:hideMark/>
          </w:tcPr>
          <w:p w14:paraId="46F321B8"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5.748</w:t>
            </w:r>
          </w:p>
        </w:tc>
        <w:tc>
          <w:tcPr>
            <w:tcW w:w="502" w:type="dxa"/>
            <w:noWrap/>
            <w:hideMark/>
          </w:tcPr>
          <w:p w14:paraId="78616CE7"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208</w:t>
            </w:r>
          </w:p>
        </w:tc>
        <w:tc>
          <w:tcPr>
            <w:tcW w:w="576" w:type="dxa"/>
            <w:gridSpan w:val="2"/>
            <w:noWrap/>
            <w:hideMark/>
          </w:tcPr>
          <w:p w14:paraId="4C9BCAAF" w14:textId="77777777" w:rsidR="00EE3346" w:rsidRPr="00516038" w:rsidRDefault="00EE3346" w:rsidP="00516038">
            <w:pPr>
              <w:tabs>
                <w:tab w:val="clear" w:pos="1615"/>
              </w:tabs>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5.540</w:t>
            </w:r>
          </w:p>
        </w:tc>
        <w:tc>
          <w:tcPr>
            <w:tcW w:w="502" w:type="dxa"/>
            <w:noWrap/>
            <w:hideMark/>
          </w:tcPr>
          <w:p w14:paraId="0FBB83A7"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7</w:t>
            </w:r>
          </w:p>
        </w:tc>
        <w:tc>
          <w:tcPr>
            <w:tcW w:w="571" w:type="dxa"/>
            <w:noWrap/>
            <w:hideMark/>
          </w:tcPr>
          <w:p w14:paraId="27B65C9C"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2.957</w:t>
            </w:r>
          </w:p>
        </w:tc>
        <w:tc>
          <w:tcPr>
            <w:tcW w:w="571" w:type="dxa"/>
            <w:noWrap/>
            <w:hideMark/>
          </w:tcPr>
          <w:p w14:paraId="1A0B9654"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1.264</w:t>
            </w:r>
          </w:p>
        </w:tc>
        <w:tc>
          <w:tcPr>
            <w:tcW w:w="571" w:type="dxa"/>
            <w:noWrap/>
            <w:hideMark/>
          </w:tcPr>
          <w:p w14:paraId="4992DD32" w14:textId="77777777" w:rsidR="00EE3346" w:rsidRPr="00516038" w:rsidRDefault="00EE3346" w:rsidP="00516038">
            <w:pPr>
              <w:tabs>
                <w:tab w:val="clear" w:pos="1615"/>
              </w:tabs>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4.232</w:t>
            </w:r>
          </w:p>
        </w:tc>
      </w:tr>
    </w:tbl>
    <w:p w14:paraId="0C13285D" w14:textId="77777777" w:rsidR="00EE3346" w:rsidRPr="00516038" w:rsidRDefault="00EE3346" w:rsidP="00516038">
      <w:pPr>
        <w:tabs>
          <w:tab w:val="clear" w:pos="1615"/>
        </w:tabs>
        <w:spacing w:after="0"/>
        <w:ind w:right="142"/>
        <w:rPr>
          <w:rFonts w:asciiTheme="majorHAnsi" w:hAnsiTheme="majorHAnsi" w:cstheme="majorHAnsi"/>
          <w:sz w:val="16"/>
        </w:rPr>
      </w:pPr>
      <w:r w:rsidRPr="00516038">
        <w:rPr>
          <w:rFonts w:asciiTheme="majorHAnsi" w:hAnsiTheme="majorHAnsi" w:cstheme="majorHAnsi"/>
          <w:sz w:val="16"/>
        </w:rPr>
        <w:t>1.Inclui as vagas remanescentes e outras formas de oferta e ingresso; 2. Ociosidade: Diferença entre o total de ingressantes e o total de vagas;</w:t>
      </w:r>
    </w:p>
    <w:p w14:paraId="56003CF1" w14:textId="77777777" w:rsidR="00EE3346" w:rsidRPr="00516038" w:rsidRDefault="00EE3346" w:rsidP="00516038">
      <w:pPr>
        <w:tabs>
          <w:tab w:val="clear" w:pos="1615"/>
        </w:tabs>
        <w:ind w:right="140"/>
        <w:rPr>
          <w:rFonts w:asciiTheme="majorHAnsi" w:hAnsiTheme="majorHAnsi" w:cstheme="majorHAnsi"/>
          <w:sz w:val="16"/>
        </w:rPr>
      </w:pPr>
      <w:r w:rsidRPr="00516038">
        <w:rPr>
          <w:rFonts w:asciiTheme="majorHAnsi" w:hAnsiTheme="majorHAnsi" w:cstheme="majorHAnsi"/>
          <w:sz w:val="16"/>
        </w:rPr>
        <w:t>3. Excedentes: Diferença entre o total de inscritos e o total de vagas. Fonte: Elaborado pelo autor a partir dos dados do Censup 2019 (INEP, 2020).</w:t>
      </w:r>
    </w:p>
    <w:p w14:paraId="622EDC7D" w14:textId="77777777" w:rsidR="00EE3346" w:rsidRPr="00516038" w:rsidRDefault="00EE3346" w:rsidP="00516038">
      <w:pPr>
        <w:tabs>
          <w:tab w:val="clear" w:pos="1615"/>
        </w:tabs>
        <w:spacing w:after="0"/>
        <w:jc w:val="both"/>
        <w:rPr>
          <w:rFonts w:asciiTheme="majorHAnsi" w:hAnsiTheme="majorHAnsi" w:cstheme="majorHAnsi"/>
          <w:sz w:val="16"/>
        </w:rPr>
      </w:pPr>
    </w:p>
    <w:p w14:paraId="3ACD99AD" w14:textId="75E66B9D" w:rsidR="00EE3346" w:rsidRPr="00C749C7" w:rsidRDefault="00EE3346" w:rsidP="00C749C7">
      <w:pPr>
        <w:tabs>
          <w:tab w:val="clear" w:pos="1615"/>
        </w:tabs>
        <w:spacing w:line="360" w:lineRule="auto"/>
        <w:ind w:firstLine="709"/>
        <w:jc w:val="both"/>
        <w:rPr>
          <w:rFonts w:asciiTheme="majorHAnsi" w:hAnsiTheme="majorHAnsi" w:cstheme="majorHAnsi"/>
          <w:sz w:val="24"/>
          <w:szCs w:val="24"/>
        </w:rPr>
      </w:pPr>
      <w:r w:rsidRPr="00C749C7">
        <w:rPr>
          <w:rFonts w:asciiTheme="majorHAnsi" w:hAnsiTheme="majorHAnsi" w:cstheme="majorHAnsi"/>
          <w:sz w:val="24"/>
          <w:szCs w:val="24"/>
        </w:rPr>
        <w:t>Ainda assim, os dados apresentados anteriormente nos estudos realizados pelo Cebraspe já revelaram que há um impedimento socioeconômico para melhor preenchimento da oferta, dado que os custos da formação universitária, especialmente quando se tem o pagamento de anuidades, requerem auxílio por meio de bolsas como o Programa Universidade para Todos (Prouni) ou por meio de um financiamento, como o Fundo de Financiamento Estudantil do MEC (FIES) ou outros, das próprias IES.</w:t>
      </w:r>
    </w:p>
    <w:p w14:paraId="7C8D5BC2" w14:textId="23BB6770" w:rsidR="00EE3346" w:rsidRPr="00C749C7" w:rsidRDefault="00EE3346" w:rsidP="00C749C7">
      <w:pPr>
        <w:tabs>
          <w:tab w:val="clear" w:pos="1615"/>
        </w:tabs>
        <w:spacing w:line="360" w:lineRule="auto"/>
        <w:ind w:firstLine="709"/>
        <w:jc w:val="both"/>
        <w:rPr>
          <w:rFonts w:asciiTheme="majorHAnsi" w:hAnsiTheme="majorHAnsi" w:cstheme="majorHAnsi"/>
          <w:sz w:val="24"/>
          <w:szCs w:val="24"/>
        </w:rPr>
      </w:pPr>
      <w:r w:rsidRPr="00C749C7">
        <w:rPr>
          <w:rFonts w:asciiTheme="majorHAnsi" w:hAnsiTheme="majorHAnsi" w:cstheme="majorHAnsi"/>
          <w:sz w:val="24"/>
          <w:szCs w:val="24"/>
        </w:rPr>
        <w:t>Chama a atenção que, dos cinco cursos listados, apenas dois (40%) são efetivamente atendidos por IES públicas (Tabela 1.3, destaque em verde) e, por isso, a ociosidade fica muito diminuída em função da pouca oferta e da alta demanda (Tabela 1.3, destaque em amarelo). Dados do INEP mostram que a média de preenchimento de vagas nas IES gratuitas está próxima aos 90%, seja pela qualidade da oferta, seja pela burocracia na forma de preenchimento (CORTELAZZO, 2018). O Censo de 2019 revela que as IES federais e estaduais ofereceram 540.992 vagas novas no país e tiveram 480.364 ingressos, ou 89% (INEP, 2020), o que denota que ainda há trabalho a ser realizado para garantir o preenchimento total da oferta de vagas públicas, já que elas representam menos de 25% do total geral.</w:t>
      </w:r>
    </w:p>
    <w:p w14:paraId="5606207B" w14:textId="677C01D6" w:rsidR="00EE3346" w:rsidRPr="00C749C7" w:rsidRDefault="00EE3346" w:rsidP="00C749C7">
      <w:pPr>
        <w:tabs>
          <w:tab w:val="clear" w:pos="1615"/>
        </w:tabs>
        <w:spacing w:line="360" w:lineRule="auto"/>
        <w:ind w:firstLine="709"/>
        <w:jc w:val="both"/>
        <w:rPr>
          <w:rFonts w:asciiTheme="majorHAnsi" w:hAnsiTheme="majorHAnsi" w:cstheme="majorHAnsi"/>
          <w:sz w:val="24"/>
          <w:szCs w:val="24"/>
        </w:rPr>
      </w:pPr>
      <w:r w:rsidRPr="00C749C7">
        <w:rPr>
          <w:rFonts w:asciiTheme="majorHAnsi" w:hAnsiTheme="majorHAnsi" w:cstheme="majorHAnsi"/>
          <w:sz w:val="24"/>
          <w:szCs w:val="24"/>
        </w:rPr>
        <w:t>Especulando os dados destacados em verde, ainda que em tese haja a possibilidade de termos duas opões de um mesmo aluno, teríamos mais de 500 alunos potencialmente interessados nos cursos de computação ofertados pelas escolas públicas e não atendidos. Além disso, à exceção do Curso de Ciência da Computação, a quantidade de excedentes é sempre maior do que a de ociosidade nas IES privadas. Isso confirma os dados apresentados por Robl (2021) de que boa parte desse contingente não consegue arcar com o ônus do próprio financiamento, o que potencialmente triplica o valor de 500 alunos excedentes encontrados no exercício com as vagas públicas. Enfim, os dados das Tabelas 1.2 e 1.3 revelam que há demanda para a área e há pouca diversidade na oferta das vagas públicas para a mesma, que podem ser pelo menos 5 a 6 vezes maiores do que as 215 vagas oferecidas em 2019.</w:t>
      </w:r>
    </w:p>
    <w:p w14:paraId="4418E407" w14:textId="1B5F59E4" w:rsidR="00EE3346" w:rsidRPr="00C749C7" w:rsidRDefault="00EE3346" w:rsidP="00C749C7">
      <w:pPr>
        <w:tabs>
          <w:tab w:val="clear" w:pos="1615"/>
        </w:tabs>
        <w:spacing w:line="360" w:lineRule="auto"/>
        <w:ind w:firstLine="709"/>
        <w:jc w:val="both"/>
        <w:rPr>
          <w:rFonts w:asciiTheme="majorHAnsi" w:hAnsiTheme="majorHAnsi" w:cstheme="majorHAnsi"/>
          <w:sz w:val="24"/>
          <w:szCs w:val="24"/>
        </w:rPr>
      </w:pPr>
      <w:r w:rsidRPr="00C749C7">
        <w:rPr>
          <w:rFonts w:asciiTheme="majorHAnsi" w:hAnsiTheme="majorHAnsi" w:cstheme="majorHAnsi"/>
          <w:sz w:val="24"/>
          <w:szCs w:val="24"/>
        </w:rPr>
        <w:t>Especificamente na área da computação, estudos de Hoed (2016) e Saccaro, França e Jacinto (2019) apontam uma evasão de 50% para os cursos, o que significa que, em média, para cada 100 vagas abertas, as instituições conseguem formar 50 profissionais. Além disso, a computação não é uma profissão definida em lei, apesar da engenharia ser profissão regulamentada há muitos anos. Mesmo assim, algumas empresas que atuam na área ministram cursos e conferem certificações que são bastante aceitas no mercado de trabalho e relativizam a importância do diploma de graduação. Essas certificações técnicas, como aquelas conferidas pela Microsoft, IBM, Cisco, Lotus etc. (PIERSON, FLORICK e CHEN, 2001), de certa forma podem incentivar a saída precoce de estudantes antes do término de seus cursos. Estudos recentes mostram que um maior envolvimento dos estudantes com o uso de metodologias ativas de aprendizagem tende a diminuir as taxas de evasão da área (SILVA et al., 2020). Além disso, certificações intermediárias poderiam incentivar os estudantes a obter pelo menos a comprovação do período de tempo dispendido em atividades de ensino superior formal e seria interessante que a instituição tivesse, desde seu início, convênios e acordos com as empresas certificadoras, atuando como um centro de realização dessas ações, lhe dando maior visibilidade e contato com os principais empregadores que, dessa forma, seriam colaboradores da formação oferecida e não potenciais predadores ou competidores pelos alunos ainda não graduados.</w:t>
      </w:r>
    </w:p>
    <w:p w14:paraId="09F0B61D" w14:textId="34084FED" w:rsidR="00EE3346" w:rsidRPr="00C749C7" w:rsidRDefault="00EE3346" w:rsidP="00C749C7">
      <w:pPr>
        <w:tabs>
          <w:tab w:val="clear" w:pos="1615"/>
        </w:tabs>
        <w:spacing w:line="360" w:lineRule="auto"/>
        <w:ind w:firstLine="709"/>
        <w:jc w:val="both"/>
        <w:rPr>
          <w:rFonts w:asciiTheme="majorHAnsi" w:hAnsiTheme="majorHAnsi" w:cstheme="majorHAnsi"/>
          <w:sz w:val="24"/>
          <w:szCs w:val="24"/>
        </w:rPr>
      </w:pPr>
      <w:r w:rsidRPr="00C749C7">
        <w:rPr>
          <w:rFonts w:asciiTheme="majorHAnsi" w:hAnsiTheme="majorHAnsi" w:cstheme="majorHAnsi"/>
          <w:sz w:val="24"/>
          <w:szCs w:val="24"/>
        </w:rPr>
        <w:t>Assim, pode-se concluir que seria interessante caracterizar um ingresso unificado para a área e, no futuro, agregar os demais cursos de Engenharia e de Tecnologia que seriam ofertados. Uma perspectiva ainda mais interessante seria agregar, pouco a pouco, o ingresso em todos os cursos da instituição, de modo a permitir que os estudantes pudessem ter de um a dois períodos de amadurecimento e de realização de atividades inerentes a qualquer formação de nível superior e, com isso, garantir maior equidade para as escolhas das carreiras específicas, utilizando, por exemplo, os bacharelados interdisciplinares que já são uma realidade em dezenas de universidades públicas brasileiras.</w:t>
      </w:r>
    </w:p>
    <w:p w14:paraId="72873AA4" w14:textId="3DEF179B" w:rsidR="00EE3346" w:rsidRPr="00C749C7" w:rsidRDefault="00EE3346" w:rsidP="00C749C7">
      <w:pPr>
        <w:tabs>
          <w:tab w:val="clear" w:pos="1615"/>
        </w:tabs>
        <w:spacing w:line="360" w:lineRule="auto"/>
        <w:ind w:firstLine="709"/>
        <w:jc w:val="both"/>
        <w:rPr>
          <w:rFonts w:asciiTheme="majorHAnsi" w:hAnsiTheme="majorHAnsi" w:cstheme="majorHAnsi"/>
          <w:sz w:val="24"/>
          <w:szCs w:val="24"/>
        </w:rPr>
      </w:pPr>
      <w:r w:rsidRPr="00C749C7">
        <w:rPr>
          <w:rFonts w:asciiTheme="majorHAnsi" w:hAnsiTheme="majorHAnsi" w:cstheme="majorHAnsi"/>
          <w:sz w:val="24"/>
          <w:szCs w:val="24"/>
        </w:rPr>
        <w:t>Parece irrelevante, mas poderia ser estabelecida uma quantidade de vagas que fosse divisível por 6, 7 ou 8 alunos, para o caso da estrutura se dar com a formação de grupos desde o início dos cursos, especialmente para os de EaD. Com isso, o número de vagas poderia ser um múltiplo de 168 que atenderia a qualquer dessas situações e uma oferta de 504 ou de 1008 vagas no primeiro processo seletivo poderia possibilitar o início da atuação da Universidade na área, com expectativa da oferta ou não de outras formações de interesse. Essa quantidade poderia ser determinante para a designação de professores para as turmas de ingressantes.</w:t>
      </w:r>
    </w:p>
    <w:p w14:paraId="48E1AA0D" w14:textId="1E75F4B1" w:rsidR="00EE3346" w:rsidRDefault="00EE3346" w:rsidP="00C749C7">
      <w:pPr>
        <w:tabs>
          <w:tab w:val="clear" w:pos="1615"/>
        </w:tabs>
        <w:spacing w:line="360" w:lineRule="auto"/>
        <w:ind w:firstLine="709"/>
        <w:jc w:val="both"/>
        <w:rPr>
          <w:rFonts w:asciiTheme="majorHAnsi" w:hAnsiTheme="majorHAnsi" w:cstheme="majorHAnsi"/>
          <w:sz w:val="24"/>
          <w:szCs w:val="24"/>
        </w:rPr>
      </w:pPr>
      <w:r w:rsidRPr="00C749C7">
        <w:rPr>
          <w:rFonts w:asciiTheme="majorHAnsi" w:hAnsiTheme="majorHAnsi" w:cstheme="majorHAnsi"/>
          <w:sz w:val="24"/>
          <w:szCs w:val="24"/>
        </w:rPr>
        <w:t xml:space="preserve">Finalmente, cumpre salientar que a área da computação tem mercado de trabalho bastante aquecido, inclusive em períodos de crise econômica, por ser uma importante fonte de projetos de inovação ou de enfrentamento às crises, o que pode incentivar certificações intermediárias que contribuam para uma inserção mais adequada dos estudantes que não venham a lograr o término do curso de graduação em que se matricularem. </w:t>
      </w:r>
    </w:p>
    <w:p w14:paraId="2E38FD9F" w14:textId="77777777" w:rsidR="00C749C7" w:rsidRPr="00C749C7" w:rsidRDefault="00C749C7" w:rsidP="00C749C7">
      <w:pPr>
        <w:tabs>
          <w:tab w:val="clear" w:pos="1615"/>
        </w:tabs>
        <w:spacing w:line="360" w:lineRule="auto"/>
        <w:ind w:firstLine="709"/>
        <w:jc w:val="both"/>
        <w:rPr>
          <w:rFonts w:asciiTheme="majorHAnsi" w:hAnsiTheme="majorHAnsi" w:cstheme="majorHAnsi"/>
          <w:sz w:val="24"/>
          <w:szCs w:val="24"/>
        </w:rPr>
      </w:pPr>
    </w:p>
    <w:p w14:paraId="144593F6" w14:textId="12C155F3" w:rsidR="00EE3346" w:rsidRPr="00516038" w:rsidRDefault="00EE3346" w:rsidP="00C749C7">
      <w:pPr>
        <w:pStyle w:val="Ttulo2"/>
        <w:numPr>
          <w:ilvl w:val="1"/>
          <w:numId w:val="1"/>
        </w:numPr>
        <w:tabs>
          <w:tab w:val="clear" w:pos="1615"/>
        </w:tabs>
        <w:spacing w:before="0" w:after="0" w:line="360" w:lineRule="auto"/>
        <w:ind w:left="993"/>
        <w:rPr>
          <w:rFonts w:asciiTheme="majorHAnsi" w:hAnsiTheme="majorHAnsi" w:cstheme="majorHAnsi"/>
        </w:rPr>
      </w:pPr>
      <w:bookmarkStart w:id="25" w:name="_Toc89878038"/>
      <w:bookmarkStart w:id="26" w:name="_Toc102134973"/>
      <w:r w:rsidRPr="00516038">
        <w:rPr>
          <w:rFonts w:asciiTheme="majorHAnsi" w:hAnsiTheme="majorHAnsi" w:cstheme="majorHAnsi"/>
        </w:rPr>
        <w:t>TURNOS DE FUNCIONAMENTO E DURAÇÃO DOS CURSOS</w:t>
      </w:r>
      <w:bookmarkEnd w:id="25"/>
      <w:bookmarkEnd w:id="26"/>
    </w:p>
    <w:p w14:paraId="4C49F2AC" w14:textId="21829822" w:rsidR="00EE3346" w:rsidRPr="00516038" w:rsidRDefault="00C749C7" w:rsidP="00C749C7">
      <w:pPr>
        <w:pStyle w:val="Ttulo3"/>
        <w:numPr>
          <w:ilvl w:val="2"/>
          <w:numId w:val="1"/>
        </w:numPr>
        <w:ind w:left="709" w:hanging="709"/>
        <w:rPr>
          <w:rFonts w:asciiTheme="majorHAnsi" w:hAnsiTheme="majorHAnsi" w:cstheme="majorHAnsi"/>
        </w:rPr>
      </w:pPr>
      <w:bookmarkStart w:id="27" w:name="_Toc89878039"/>
      <w:bookmarkStart w:id="28" w:name="_Toc102134974"/>
      <w:r w:rsidRPr="00516038">
        <w:rPr>
          <w:rFonts w:asciiTheme="majorHAnsi" w:hAnsiTheme="majorHAnsi" w:cstheme="majorHAnsi"/>
        </w:rPr>
        <w:t>TURNOS DE FUNCIONAMENTO</w:t>
      </w:r>
      <w:bookmarkEnd w:id="27"/>
      <w:bookmarkEnd w:id="28"/>
    </w:p>
    <w:p w14:paraId="4BEF9410" w14:textId="1F94D995" w:rsidR="00EE3346" w:rsidRPr="00534671" w:rsidRDefault="00EE3346" w:rsidP="00534671">
      <w:pPr>
        <w:tabs>
          <w:tab w:val="clear" w:pos="1615"/>
        </w:tabs>
        <w:spacing w:line="360" w:lineRule="auto"/>
        <w:ind w:firstLine="709"/>
        <w:jc w:val="both"/>
        <w:rPr>
          <w:rFonts w:asciiTheme="majorHAnsi" w:hAnsiTheme="majorHAnsi" w:cstheme="majorHAnsi"/>
          <w:sz w:val="24"/>
          <w:szCs w:val="24"/>
        </w:rPr>
      </w:pPr>
      <w:r w:rsidRPr="00534671">
        <w:rPr>
          <w:rFonts w:asciiTheme="majorHAnsi" w:hAnsiTheme="majorHAnsi" w:cstheme="majorHAnsi"/>
          <w:sz w:val="24"/>
          <w:szCs w:val="24"/>
        </w:rPr>
        <w:t>Como mostram os dados existentes, o Brasil tem uma taxa de escolarização superior muito baixa e inferior a boa parte dos países sul americanos. Além disso, muitos dos estudantes que realizam cursos de graduação contribuem de forma parcial ou total com a renda familiar, o que exige a oferta de cursos noturnos, que representam quase 60% das matrículas de cursos presenciais segundo dados do Censo de 2019 (INEP, 2020). Essa situação é distorcida em função da natureza jurídica das Instituições: enquanto IES públicas tinham 36% das matrículas à noite, nas IES privadas esse valor era superior a 67%. No Distrito Federal, a diferença é ainda maior, com 26,1% do total das matrículas públicas à noite (ROBL, 2021). Outra diferença significativa ocorre dentro do próprio setor público, onde IES federais têm 30,6% dos matriculados em cursos noturnos, as estaduais, 43,1% e as municipais, em sua maioria com mensalidades aos estudantes, o mesmo percentual das IES privadas (INEP, 2020). Se considerado o ensino ministrado apenas em Universidades, que em geral oferecem majoritariamente bacharelados, esses percentuais baixam para 27,4% e 41,3% em federais e estaduais, respectivamente. Mesmo as políticas de auxílio à permanência e bolsas de estudos não têm se mostrado suficientes, já que boa parte dos interessados é responsável pela totalidade ou a maior parte da renda mensal de suas famílias.</w:t>
      </w:r>
    </w:p>
    <w:p w14:paraId="41101303" w14:textId="2C6BF256" w:rsidR="00EE3346" w:rsidRPr="00534671" w:rsidRDefault="00EE3346" w:rsidP="00534671">
      <w:pPr>
        <w:tabs>
          <w:tab w:val="clear" w:pos="1615"/>
        </w:tabs>
        <w:spacing w:line="360" w:lineRule="auto"/>
        <w:ind w:firstLine="709"/>
        <w:jc w:val="both"/>
        <w:rPr>
          <w:rFonts w:asciiTheme="majorHAnsi" w:hAnsiTheme="majorHAnsi" w:cstheme="majorHAnsi"/>
          <w:sz w:val="24"/>
          <w:szCs w:val="24"/>
        </w:rPr>
      </w:pPr>
      <w:r w:rsidRPr="00534671">
        <w:rPr>
          <w:rFonts w:asciiTheme="majorHAnsi" w:hAnsiTheme="majorHAnsi" w:cstheme="majorHAnsi"/>
          <w:sz w:val="24"/>
          <w:szCs w:val="24"/>
        </w:rPr>
        <w:t>Efetivamente, seria ideal que todos pudessem realizar sua formação superior em período integral, mas fechar os olhos para essa realidade implica permitir que as IES privadas sejam a única opção para esse contingente e, a despeito de se poder questionar a forma como os gastos ocorrem para uma política pública voltada para a resolução do problema, a realidade tem mostrado que essa situação ainda está distante de ser resolvida. Enquanto isso, inegavelmente, a opção de cursos noturnos não deixa de ser algo importante e necessário.</w:t>
      </w:r>
    </w:p>
    <w:p w14:paraId="20B634D5" w14:textId="443C927A" w:rsidR="00EE3346" w:rsidRPr="00534671" w:rsidRDefault="00EE3346" w:rsidP="00534671">
      <w:pPr>
        <w:tabs>
          <w:tab w:val="clear" w:pos="1615"/>
        </w:tabs>
        <w:spacing w:line="360" w:lineRule="auto"/>
        <w:ind w:firstLine="709"/>
        <w:jc w:val="both"/>
        <w:rPr>
          <w:rFonts w:asciiTheme="majorHAnsi" w:hAnsiTheme="majorHAnsi" w:cstheme="majorHAnsi"/>
          <w:sz w:val="24"/>
          <w:szCs w:val="24"/>
        </w:rPr>
      </w:pPr>
      <w:r w:rsidRPr="00534671">
        <w:rPr>
          <w:rFonts w:asciiTheme="majorHAnsi" w:hAnsiTheme="majorHAnsi" w:cstheme="majorHAnsi"/>
          <w:sz w:val="24"/>
          <w:szCs w:val="24"/>
        </w:rPr>
        <w:t xml:space="preserve">A Lei Orgânica do Distrito Federal promulgada em 1993 prevê, em ser Art. 240, a oferta de educação superior pelo DF, mas não aborda a questão dos turnos de oferta (DISTRITO FEDERAL, 2021b). Entretanto, no contexto apresentado acima, espera-se que a UnDF não deixe de ofertar vagas nesse período, ainda que não haja obrigatoriedade para essa oferta na sua lei de criação. </w:t>
      </w:r>
    </w:p>
    <w:p w14:paraId="09158196" w14:textId="62CC25DD" w:rsidR="00EE3346" w:rsidRPr="00534671" w:rsidRDefault="00EE3346" w:rsidP="00534671">
      <w:pPr>
        <w:tabs>
          <w:tab w:val="clear" w:pos="1615"/>
        </w:tabs>
        <w:spacing w:line="360" w:lineRule="auto"/>
        <w:ind w:firstLine="709"/>
        <w:jc w:val="both"/>
        <w:rPr>
          <w:rFonts w:asciiTheme="majorHAnsi" w:hAnsiTheme="majorHAnsi" w:cstheme="majorHAnsi"/>
          <w:sz w:val="24"/>
          <w:szCs w:val="24"/>
        </w:rPr>
      </w:pPr>
      <w:r w:rsidRPr="00534671">
        <w:rPr>
          <w:rFonts w:asciiTheme="majorHAnsi" w:hAnsiTheme="majorHAnsi" w:cstheme="majorHAnsi"/>
          <w:sz w:val="24"/>
          <w:szCs w:val="24"/>
        </w:rPr>
        <w:t>Com isso, as vagas abertas em cada processo seletivo poderiam ser o dobro daquelas oferecidas apenas no período diurno, em função da infraestrutura física disponível. Esse fato, apesar de ser apenas burocrático, acaba aumentando a abrangência da atuação inicial da instituição e, acima de tudo, contribui para a inclusão daqueles estudantes que só podem realizar seus estudos no período noturno em função de suas atividades profissionais.</w:t>
      </w:r>
    </w:p>
    <w:p w14:paraId="1918FF6F" w14:textId="4AAEDEE4" w:rsidR="00EE3346" w:rsidRPr="00516038" w:rsidRDefault="00C749C7" w:rsidP="00C749C7">
      <w:pPr>
        <w:pStyle w:val="Ttulo3"/>
        <w:numPr>
          <w:ilvl w:val="2"/>
          <w:numId w:val="1"/>
        </w:numPr>
        <w:ind w:left="709" w:hanging="709"/>
        <w:rPr>
          <w:rFonts w:asciiTheme="majorHAnsi" w:hAnsiTheme="majorHAnsi" w:cstheme="majorHAnsi"/>
        </w:rPr>
      </w:pPr>
      <w:bookmarkStart w:id="29" w:name="_Toc89878040"/>
      <w:bookmarkStart w:id="30" w:name="_Toc102134975"/>
      <w:r w:rsidRPr="00516038">
        <w:rPr>
          <w:rFonts w:asciiTheme="majorHAnsi" w:hAnsiTheme="majorHAnsi" w:cstheme="majorHAnsi"/>
        </w:rPr>
        <w:t>DURAÇÃO DE CADA PERÍODO LETIVO</w:t>
      </w:r>
      <w:bookmarkEnd w:id="29"/>
      <w:bookmarkEnd w:id="30"/>
    </w:p>
    <w:p w14:paraId="6F0BF1AE" w14:textId="4CD57D6E" w:rsidR="00EE3346" w:rsidRPr="00534671" w:rsidRDefault="00EE3346" w:rsidP="00534671">
      <w:pPr>
        <w:tabs>
          <w:tab w:val="clear" w:pos="1615"/>
        </w:tabs>
        <w:spacing w:line="360" w:lineRule="auto"/>
        <w:ind w:firstLine="709"/>
        <w:jc w:val="both"/>
        <w:rPr>
          <w:rFonts w:asciiTheme="majorHAnsi" w:hAnsiTheme="majorHAnsi" w:cstheme="majorHAnsi"/>
          <w:sz w:val="24"/>
          <w:szCs w:val="24"/>
        </w:rPr>
      </w:pPr>
      <w:bookmarkStart w:id="31" w:name="_Toc23175862"/>
      <w:r w:rsidRPr="00534671">
        <w:rPr>
          <w:rFonts w:asciiTheme="majorHAnsi" w:hAnsiTheme="majorHAnsi" w:cstheme="majorHAnsi"/>
          <w:sz w:val="24"/>
          <w:szCs w:val="24"/>
        </w:rPr>
        <w:t>Desde a edição das Diretrizes Curriculares no início dos anos 2000 e, posteriormente, o estabelecimento das cargas horárias de bacharelados, licenciaturas e cursos superiores de tecnologia, foi privilegiada a carga horária total da formação em detrimento de valores por matéria ou disciplina presentes nos “currículos mínimos” existentes até 1996, quando foi sancionada a nova LDB (BRASIL, 1996).</w:t>
      </w:r>
    </w:p>
    <w:p w14:paraId="38438E6E" w14:textId="3539BF40" w:rsidR="00EE3346" w:rsidRPr="00534671" w:rsidRDefault="00EE3346" w:rsidP="00534671">
      <w:pPr>
        <w:tabs>
          <w:tab w:val="clear" w:pos="1615"/>
        </w:tabs>
        <w:spacing w:line="360" w:lineRule="auto"/>
        <w:ind w:firstLine="709"/>
        <w:jc w:val="both"/>
        <w:rPr>
          <w:rFonts w:asciiTheme="majorHAnsi" w:hAnsiTheme="majorHAnsi" w:cstheme="majorHAnsi"/>
          <w:sz w:val="24"/>
          <w:szCs w:val="24"/>
        </w:rPr>
      </w:pPr>
      <w:r w:rsidRPr="00534671">
        <w:rPr>
          <w:rFonts w:asciiTheme="majorHAnsi" w:hAnsiTheme="majorHAnsi" w:cstheme="majorHAnsi"/>
          <w:sz w:val="24"/>
          <w:szCs w:val="24"/>
        </w:rPr>
        <w:t xml:space="preserve">No caso específico da computação, ocorre uma situação relativamente bizarra: a Sociedade Brasileira de Computação (SBC) que tem intensa atividade nas discussões para as DCN e para a pós-graduação da área (SBC, 2021) contribuiu para que as DCN de Ciência da Computação abrangessem os cursos de bacharelado em Ciência da Computação, </w:t>
      </w:r>
      <w:r w:rsidRPr="00534671">
        <w:rPr>
          <w:rFonts w:asciiTheme="majorHAnsi" w:hAnsiTheme="majorHAnsi" w:cstheme="majorHAnsi"/>
          <w:color w:val="000000"/>
          <w:sz w:val="24"/>
          <w:szCs w:val="24"/>
          <w:shd w:val="clear" w:color="auto" w:fill="FFFFFF"/>
        </w:rPr>
        <w:t xml:space="preserve">em Sistemas de Informação, em Engenharia de Computação, em Engenharia de Software e de licenciatura em Computação (CNE, 2016). Além disso, para os cursos de engenharia, há DCN específica, revista em 2019 que também envolve o Curso de Engenharia de Computação (CNE, 2019), o que </w:t>
      </w:r>
      <w:r w:rsidRPr="00534671">
        <w:rPr>
          <w:rFonts w:asciiTheme="majorHAnsi" w:hAnsiTheme="majorHAnsi" w:cstheme="majorHAnsi"/>
          <w:sz w:val="24"/>
          <w:szCs w:val="24"/>
        </w:rPr>
        <w:t>cria uma situação relativamente bizarra de existirem duas concepções de Diretrizes Curriculares Nacionais para essa graduação, que têm, inclusive, cargas horárias diferentes para sua integralização.</w:t>
      </w:r>
    </w:p>
    <w:p w14:paraId="12BBF34C" w14:textId="036ACF5F" w:rsidR="00EE3346" w:rsidRPr="00534671" w:rsidRDefault="00EE3346" w:rsidP="00534671">
      <w:pPr>
        <w:tabs>
          <w:tab w:val="clear" w:pos="1615"/>
        </w:tabs>
        <w:spacing w:line="360" w:lineRule="auto"/>
        <w:ind w:firstLine="709"/>
        <w:jc w:val="both"/>
        <w:rPr>
          <w:rFonts w:asciiTheme="majorHAnsi" w:hAnsiTheme="majorHAnsi" w:cstheme="majorHAnsi"/>
          <w:sz w:val="24"/>
          <w:szCs w:val="24"/>
        </w:rPr>
      </w:pPr>
      <w:r w:rsidRPr="00534671">
        <w:rPr>
          <w:rFonts w:asciiTheme="majorHAnsi" w:hAnsiTheme="majorHAnsi" w:cstheme="majorHAnsi"/>
          <w:sz w:val="24"/>
          <w:szCs w:val="24"/>
        </w:rPr>
        <w:t>A formação superior no Brasil, talvez como herança do currículo mínimo previsto até 1996, tende a ter um período formal de atividades maior do que em outros países. Essa constatação reforça a ideia de que ainda pensamos a formação universitária com a presença de professores e de alunos em sala de aula, em detrimento de atividades mais autônomas que eles realizem. Isso vem lentamente melhorando e já existem cursos que preveem estudos individuais, autônomos ou projetos extraclasse, mas normalmente essas atividades não são computadas para a sua integralização. Pode-se questionar se essa característica garante uma melhor formação, já que, no processo de Bolonha, três anos de atividades de período integral, considerando atividades em sala e fora dela, são suficientes para a maior parte das formações de graduação, inclusive de engenharia. Além disso, muitas universidades renomadas em nível mundial mostram períodos formais de atividades em sala nitidamente menores.</w:t>
      </w:r>
    </w:p>
    <w:p w14:paraId="4F715C36" w14:textId="33A2302D" w:rsidR="00EE3346" w:rsidRPr="00534671" w:rsidRDefault="00EE3346" w:rsidP="00534671">
      <w:pPr>
        <w:tabs>
          <w:tab w:val="clear" w:pos="1615"/>
        </w:tabs>
        <w:spacing w:line="360" w:lineRule="auto"/>
        <w:ind w:firstLine="709"/>
        <w:jc w:val="both"/>
        <w:rPr>
          <w:rFonts w:asciiTheme="majorHAnsi" w:hAnsiTheme="majorHAnsi" w:cstheme="majorHAnsi"/>
          <w:sz w:val="24"/>
          <w:szCs w:val="24"/>
        </w:rPr>
      </w:pPr>
      <w:r w:rsidRPr="00534671">
        <w:rPr>
          <w:rFonts w:asciiTheme="majorHAnsi" w:hAnsiTheme="majorHAnsi" w:cstheme="majorHAnsi"/>
          <w:sz w:val="24"/>
          <w:szCs w:val="24"/>
        </w:rPr>
        <w:t xml:space="preserve">A periodicidade das atividades da maior parte dos cursos superiores no Brasil era anual e o ano letivo aqui coincide com o ano civil. Aos poucos, essa estrutura anual foi cedendo espaço para uma organização semestral de desenvolvimento das atividades curriculares, o que foi acelerado pela implantação de sistema de créditos em substituição às séries, agilizando a forma como os conteúdos eram ministrados e diminuindo a quantidade de disciplinas por período. Mais recentemente, a inadimplência dos estudantes em IES privadas também acelerou o processo de semestralização dos cursos, ainda que de regime seriado. Entretanto, sistemas em que a organização curricular é modular, diminuindo a disciplinarização da matriz curricular, isso se torna irrelevante ou, pelo menos, pouco importante. Aparentemente, o reinado da estrutura semestral é prevalente ainda hoje, mas tem cedido espaço para organizações de períodos letivos quadrimestrais, como ocorre com algumas universidades federais, por exemplo. </w:t>
      </w:r>
    </w:p>
    <w:p w14:paraId="4AEB66E6" w14:textId="701EFED1" w:rsidR="00EE3346" w:rsidRPr="00534671" w:rsidRDefault="00EE3346" w:rsidP="00534671">
      <w:pPr>
        <w:tabs>
          <w:tab w:val="clear" w:pos="1615"/>
        </w:tabs>
        <w:spacing w:line="360" w:lineRule="auto"/>
        <w:ind w:firstLine="709"/>
        <w:jc w:val="both"/>
        <w:rPr>
          <w:rFonts w:asciiTheme="majorHAnsi" w:hAnsiTheme="majorHAnsi" w:cstheme="majorHAnsi"/>
          <w:sz w:val="24"/>
          <w:szCs w:val="24"/>
        </w:rPr>
      </w:pPr>
      <w:r w:rsidRPr="00534671">
        <w:rPr>
          <w:rFonts w:asciiTheme="majorHAnsi" w:hAnsiTheme="majorHAnsi" w:cstheme="majorHAnsi"/>
          <w:sz w:val="24"/>
          <w:szCs w:val="24"/>
        </w:rPr>
        <w:t xml:space="preserve">A única exigência legal sobre o assunto é aquela expressa no Art. 47 da LDB que determina um mínimo de 200 dias letivos por ano, excetuado o período destinado a exames (BRASIL, 1996). Nos estudos de </w:t>
      </w:r>
      <w:r w:rsidRPr="00534671">
        <w:rPr>
          <w:rFonts w:asciiTheme="majorHAnsi" w:hAnsiTheme="majorHAnsi" w:cstheme="majorHAnsi"/>
          <w:i/>
          <w:iCs/>
          <w:sz w:val="24"/>
          <w:szCs w:val="24"/>
        </w:rPr>
        <w:t>benchmarking</w:t>
      </w:r>
      <w:r w:rsidRPr="00534671">
        <w:rPr>
          <w:rFonts w:asciiTheme="majorHAnsi" w:hAnsiTheme="majorHAnsi" w:cstheme="majorHAnsi"/>
          <w:sz w:val="24"/>
          <w:szCs w:val="24"/>
        </w:rPr>
        <w:t xml:space="preserve"> realizados pelo Cebraspe (Griboski, 2021), prevaleceu a estruturação em semestres, apesar de ela conter diferentes variações. Além disso, há experiências quadrimestrais como a da Universidade Federal do ABC já citada, e anuais, como da Escola Superior de Ciências da Saúde (ESCS), agora integrante da UnDF.</w:t>
      </w:r>
    </w:p>
    <w:p w14:paraId="43D752E1" w14:textId="70229B46" w:rsidR="00EE3346" w:rsidRPr="00534671" w:rsidRDefault="00EE3346" w:rsidP="00534671">
      <w:pPr>
        <w:tabs>
          <w:tab w:val="clear" w:pos="1615"/>
        </w:tabs>
        <w:spacing w:line="360" w:lineRule="auto"/>
        <w:ind w:firstLine="709"/>
        <w:jc w:val="both"/>
        <w:rPr>
          <w:rFonts w:asciiTheme="majorHAnsi" w:hAnsiTheme="majorHAnsi" w:cstheme="majorHAnsi"/>
          <w:sz w:val="24"/>
          <w:szCs w:val="24"/>
        </w:rPr>
      </w:pPr>
      <w:r w:rsidRPr="00534671">
        <w:rPr>
          <w:rFonts w:asciiTheme="majorHAnsi" w:hAnsiTheme="majorHAnsi" w:cstheme="majorHAnsi"/>
          <w:sz w:val="24"/>
          <w:szCs w:val="24"/>
        </w:rPr>
        <w:t>Via de regra, o regime quadrimestral brasileiro envolve 12 semanas de atividades e não prevê exames finais. O regime semestral, consagrado inicialmente com 15 semanas para a garantia dos então 180 dias letivos (90 por semestre com semanas de 6 dias), foram acrescidos de, pelo menos, duas semanas após a determinação dos 200 dias letivos pela LDB (BRASIL, 1996), mas, em geral, o acréscimo foi de três a cinco semanas e os semestres variam de 17 a 20 semanas de atividades. O regime anual, ainda presente em diferentes IES, têm entre 34 e 40 semanas de atividades, já que, em geral (para qualquer periodicidade), os feriados são repostos em dias suplementares do calendário e o ano letivo tem dois semestres.</w:t>
      </w:r>
    </w:p>
    <w:p w14:paraId="36936CF6" w14:textId="7AABB64D" w:rsidR="00EE3346" w:rsidRPr="00534671" w:rsidRDefault="00EE3346" w:rsidP="00534671">
      <w:pPr>
        <w:tabs>
          <w:tab w:val="clear" w:pos="1615"/>
        </w:tabs>
        <w:spacing w:line="360" w:lineRule="auto"/>
        <w:ind w:firstLine="709"/>
        <w:jc w:val="both"/>
        <w:rPr>
          <w:rFonts w:asciiTheme="majorHAnsi" w:hAnsiTheme="majorHAnsi" w:cstheme="majorHAnsi"/>
          <w:sz w:val="24"/>
          <w:szCs w:val="24"/>
        </w:rPr>
      </w:pPr>
      <w:r w:rsidRPr="00534671">
        <w:rPr>
          <w:rFonts w:asciiTheme="majorHAnsi" w:hAnsiTheme="majorHAnsi" w:cstheme="majorHAnsi"/>
          <w:sz w:val="24"/>
          <w:szCs w:val="24"/>
        </w:rPr>
        <w:t xml:space="preserve">Assim, a periodicidade dos cursos das Instituições que foram utilizadas nos estudos de </w:t>
      </w:r>
      <w:r w:rsidRPr="00534671">
        <w:rPr>
          <w:rFonts w:asciiTheme="majorHAnsi" w:hAnsiTheme="majorHAnsi" w:cstheme="majorHAnsi"/>
          <w:i/>
          <w:iCs/>
          <w:sz w:val="24"/>
          <w:szCs w:val="24"/>
        </w:rPr>
        <w:t>benchmarking</w:t>
      </w:r>
      <w:r w:rsidRPr="00534671">
        <w:rPr>
          <w:rFonts w:asciiTheme="majorHAnsi" w:hAnsiTheme="majorHAnsi" w:cstheme="majorHAnsi"/>
          <w:sz w:val="24"/>
          <w:szCs w:val="24"/>
        </w:rPr>
        <w:t xml:space="preserve"> (Griboski, 2021) da UFABC e da ESCS é apresentada na Tabela 1.4. Pode-se notar que a periodicidade semestral ocorre em nove das 13 instituições listadas, com duas trimestrais, uma quadrimestral e uma anual. O desenvolvimento dos semestres, entretanto, é bastante diverso: das sete IES públicas brasileiras com regime semestral, as aulas se distribuem em 17 a 20 semanas com seis dias letivos cada; uma das IES privadas, também tem semestre com 20 semanas corridas, mas com semanas de cinco dias e a outra, 600 horas semestrais divididas em dois bimestres de 300 horas cada, sem explicitar os dias letivos que, entretanto, para cumprimento da LDB devem conter pelo menos 100 dias letivos. Nas duas IES estrangeiras, a NTU tem semestres com 13 semanas de aula + 3 de exames e a UNAM, 16 semanas de cinco dias e duas de exames. Oxford (UK) tem trimestres de oito semanas que em alguns cursos se estende para 10-11, tempo que duram os trimestres em Stanford (EUA), mas eles ofertam três trimestres/ano. UFABC tem três quadrimestres de 12 semanas cada, com compensações de feriados, e a ESCS, 39 a 45 semanas de aulas. Isso mostra que, em termos de duração formal dos estudos, o Brasil apresenta disparado os maiores resultados (Tabela 1.4).</w:t>
      </w:r>
    </w:p>
    <w:p w14:paraId="50C7F06F" w14:textId="77777777" w:rsidR="00EE3346" w:rsidRPr="00516038" w:rsidRDefault="00EE3346" w:rsidP="00516038">
      <w:pPr>
        <w:tabs>
          <w:tab w:val="clear" w:pos="1615"/>
        </w:tabs>
        <w:jc w:val="both"/>
        <w:rPr>
          <w:rFonts w:asciiTheme="majorHAnsi" w:hAnsiTheme="majorHAnsi" w:cstheme="majorHAnsi"/>
        </w:rPr>
      </w:pPr>
    </w:p>
    <w:p w14:paraId="215FAEB7" w14:textId="77777777" w:rsidR="00EE3346" w:rsidRPr="00516038" w:rsidRDefault="00EE3346" w:rsidP="008A364C">
      <w:pPr>
        <w:pStyle w:val="Legenda"/>
      </w:pPr>
      <w:r w:rsidRPr="00516038">
        <w:t>Tabela 1.</w:t>
      </w:r>
      <w:r w:rsidRPr="00516038">
        <w:rPr>
          <w:noProof/>
        </w:rPr>
        <w:t>4</w:t>
      </w:r>
      <w:r w:rsidRPr="00516038">
        <w:t xml:space="preserve"> – Periodicidade dos cursos de graduação nas Instituições que foram utilizadas nos estudos de Benchmarking do Cebraspe (Griboski, 2021), UFABC e ESCS</w:t>
      </w:r>
    </w:p>
    <w:tbl>
      <w:tblPr>
        <w:tblStyle w:val="TabeladeGrade41"/>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80" w:firstRow="0" w:lastRow="0" w:firstColumn="1" w:lastColumn="0" w:noHBand="0" w:noVBand="1"/>
      </w:tblPr>
      <w:tblGrid>
        <w:gridCol w:w="1985"/>
        <w:gridCol w:w="1276"/>
        <w:gridCol w:w="6378"/>
      </w:tblGrid>
      <w:tr w:rsidR="00EE3346" w:rsidRPr="00534671" w14:paraId="49543D67" w14:textId="77777777" w:rsidTr="005346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6EBE5488" w14:textId="77777777" w:rsidR="00EE3346" w:rsidRPr="00534671" w:rsidRDefault="00EE3346" w:rsidP="00516038">
            <w:pPr>
              <w:tabs>
                <w:tab w:val="clear" w:pos="1615"/>
              </w:tabs>
              <w:rPr>
                <w:rFonts w:asciiTheme="majorHAnsi" w:hAnsiTheme="majorHAnsi" w:cstheme="majorHAnsi"/>
                <w:b w:val="0"/>
                <w:sz w:val="20"/>
                <w:szCs w:val="28"/>
              </w:rPr>
            </w:pPr>
            <w:r w:rsidRPr="00534671">
              <w:rPr>
                <w:rFonts w:asciiTheme="majorHAnsi" w:hAnsiTheme="majorHAnsi" w:cstheme="majorHAnsi"/>
                <w:sz w:val="20"/>
                <w:szCs w:val="28"/>
              </w:rPr>
              <w:t>Instituição</w:t>
            </w:r>
          </w:p>
        </w:tc>
        <w:tc>
          <w:tcPr>
            <w:tcW w:w="1276" w:type="dxa"/>
          </w:tcPr>
          <w:p w14:paraId="16BDCC23" w14:textId="77777777" w:rsidR="00EE3346" w:rsidRPr="00534671" w:rsidRDefault="00EE3346" w:rsidP="00516038">
            <w:pPr>
              <w:tabs>
                <w:tab w:val="clear" w:pos="1615"/>
              </w:tab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0"/>
                <w:szCs w:val="28"/>
              </w:rPr>
            </w:pPr>
            <w:r w:rsidRPr="00534671">
              <w:rPr>
                <w:rFonts w:asciiTheme="majorHAnsi" w:hAnsiTheme="majorHAnsi" w:cstheme="majorHAnsi"/>
                <w:b/>
                <w:sz w:val="20"/>
                <w:szCs w:val="28"/>
              </w:rPr>
              <w:t>Periodicidade por ano letivo</w:t>
            </w:r>
          </w:p>
        </w:tc>
        <w:tc>
          <w:tcPr>
            <w:tcW w:w="6378" w:type="dxa"/>
          </w:tcPr>
          <w:p w14:paraId="0A4D0F65" w14:textId="77777777" w:rsidR="00EE3346" w:rsidRPr="00534671" w:rsidRDefault="00EE3346" w:rsidP="00516038">
            <w:pPr>
              <w:tabs>
                <w:tab w:val="clear" w:pos="1615"/>
              </w:tabs>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0"/>
                <w:szCs w:val="28"/>
              </w:rPr>
            </w:pPr>
            <w:r w:rsidRPr="00534671">
              <w:rPr>
                <w:rFonts w:asciiTheme="majorHAnsi" w:hAnsiTheme="majorHAnsi" w:cstheme="majorHAnsi"/>
                <w:b/>
                <w:sz w:val="20"/>
                <w:szCs w:val="28"/>
              </w:rPr>
              <w:t>Observações</w:t>
            </w:r>
            <w:r w:rsidRPr="00534671">
              <w:rPr>
                <w:rFonts w:asciiTheme="majorHAnsi" w:hAnsiTheme="majorHAnsi" w:cstheme="majorHAnsi"/>
                <w:b/>
                <w:sz w:val="20"/>
                <w:szCs w:val="28"/>
                <w:vertAlign w:val="superscript"/>
              </w:rPr>
              <w:t>1</w:t>
            </w:r>
          </w:p>
        </w:tc>
      </w:tr>
      <w:tr w:rsidR="00EE3346" w:rsidRPr="00534671" w14:paraId="19D042F3" w14:textId="77777777" w:rsidTr="00534671">
        <w:tc>
          <w:tcPr>
            <w:cnfStyle w:val="001000000000" w:firstRow="0" w:lastRow="0" w:firstColumn="1" w:lastColumn="0" w:oddVBand="0" w:evenVBand="0" w:oddHBand="0" w:evenHBand="0" w:firstRowFirstColumn="0" w:firstRowLastColumn="0" w:lastRowFirstColumn="0" w:lastRowLastColumn="0"/>
            <w:tcW w:w="1985" w:type="dxa"/>
          </w:tcPr>
          <w:p w14:paraId="3FC47C99" w14:textId="77777777" w:rsidR="00EE3346" w:rsidRPr="00534671" w:rsidRDefault="00EE3346" w:rsidP="00516038">
            <w:pPr>
              <w:tabs>
                <w:tab w:val="clear" w:pos="1615"/>
              </w:tabs>
              <w:spacing w:before="60"/>
              <w:rPr>
                <w:rFonts w:asciiTheme="majorHAnsi" w:hAnsiTheme="majorHAnsi" w:cstheme="majorHAnsi"/>
                <w:b w:val="0"/>
                <w:sz w:val="20"/>
                <w:szCs w:val="28"/>
              </w:rPr>
            </w:pPr>
            <w:r w:rsidRPr="00534671">
              <w:rPr>
                <w:rFonts w:asciiTheme="majorHAnsi" w:hAnsiTheme="majorHAnsi" w:cstheme="majorHAnsi"/>
                <w:sz w:val="20"/>
                <w:szCs w:val="28"/>
              </w:rPr>
              <w:t>Centro Universitário das Américas Descomplica (UniAmérica)</w:t>
            </w:r>
          </w:p>
        </w:tc>
        <w:tc>
          <w:tcPr>
            <w:tcW w:w="1276" w:type="dxa"/>
          </w:tcPr>
          <w:p w14:paraId="6FECCDCD" w14:textId="77777777" w:rsidR="00EE3346" w:rsidRPr="00534671" w:rsidRDefault="00EE3346" w:rsidP="00516038">
            <w:pPr>
              <w:tabs>
                <w:tab w:val="clear" w:pos="1615"/>
              </w:tabs>
              <w:spacing w:before="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8"/>
              </w:rPr>
            </w:pPr>
            <w:r w:rsidRPr="00534671">
              <w:rPr>
                <w:rFonts w:asciiTheme="majorHAnsi" w:hAnsiTheme="majorHAnsi" w:cstheme="majorHAnsi"/>
                <w:sz w:val="20"/>
                <w:szCs w:val="28"/>
              </w:rPr>
              <w:t>2 Semestres</w:t>
            </w:r>
          </w:p>
        </w:tc>
        <w:tc>
          <w:tcPr>
            <w:tcW w:w="6378" w:type="dxa"/>
          </w:tcPr>
          <w:p w14:paraId="6AA0119A" w14:textId="77777777" w:rsidR="00EE3346" w:rsidRPr="00534671" w:rsidRDefault="00EE3346" w:rsidP="00516038">
            <w:pPr>
              <w:tabs>
                <w:tab w:val="clear" w:pos="1615"/>
              </w:tabs>
              <w:spacing w:before="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8"/>
              </w:rPr>
            </w:pPr>
            <w:r w:rsidRPr="00534671">
              <w:rPr>
                <w:rFonts w:asciiTheme="majorHAnsi" w:hAnsiTheme="majorHAnsi" w:cstheme="majorHAnsi"/>
                <w:sz w:val="20"/>
                <w:szCs w:val="28"/>
              </w:rPr>
              <w:t>20 semanas corridas, com cinco dias cada. Sextas-feiras reservadas para atividades complementares. Não há período para exames explicitado no calendário.</w:t>
            </w:r>
          </w:p>
        </w:tc>
      </w:tr>
      <w:tr w:rsidR="00EE3346" w:rsidRPr="00534671" w14:paraId="6463F993" w14:textId="77777777" w:rsidTr="005346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65A51D5F" w14:textId="77777777" w:rsidR="00EE3346" w:rsidRPr="00534671" w:rsidRDefault="00EE3346" w:rsidP="00516038">
            <w:pPr>
              <w:tabs>
                <w:tab w:val="clear" w:pos="1615"/>
              </w:tabs>
              <w:spacing w:before="60"/>
              <w:rPr>
                <w:rFonts w:asciiTheme="majorHAnsi" w:hAnsiTheme="majorHAnsi" w:cstheme="majorHAnsi"/>
                <w:b w:val="0"/>
                <w:sz w:val="20"/>
                <w:szCs w:val="28"/>
              </w:rPr>
            </w:pPr>
            <w:r w:rsidRPr="00534671">
              <w:rPr>
                <w:rFonts w:asciiTheme="majorHAnsi" w:hAnsiTheme="majorHAnsi" w:cstheme="majorHAnsi"/>
                <w:sz w:val="20"/>
                <w:szCs w:val="28"/>
              </w:rPr>
              <w:t>Instituto de Tecnologia e Liderança (INTELI)</w:t>
            </w:r>
          </w:p>
        </w:tc>
        <w:tc>
          <w:tcPr>
            <w:tcW w:w="1276" w:type="dxa"/>
          </w:tcPr>
          <w:p w14:paraId="0A64AF17" w14:textId="77777777" w:rsidR="00EE3346" w:rsidRPr="00534671" w:rsidRDefault="00EE3346" w:rsidP="00516038">
            <w:pPr>
              <w:tabs>
                <w:tab w:val="clear" w:pos="1615"/>
              </w:tabs>
              <w:spacing w:before="6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8"/>
              </w:rPr>
            </w:pPr>
            <w:r w:rsidRPr="00534671">
              <w:rPr>
                <w:rFonts w:asciiTheme="majorHAnsi" w:hAnsiTheme="majorHAnsi" w:cstheme="majorHAnsi"/>
                <w:sz w:val="20"/>
                <w:szCs w:val="28"/>
              </w:rPr>
              <w:t>2 Semestres (4 bimestres?)</w:t>
            </w:r>
          </w:p>
        </w:tc>
        <w:tc>
          <w:tcPr>
            <w:tcW w:w="6378" w:type="dxa"/>
          </w:tcPr>
          <w:p w14:paraId="539DB635" w14:textId="77777777" w:rsidR="00EE3346" w:rsidRPr="00534671" w:rsidRDefault="00EE3346" w:rsidP="00516038">
            <w:pPr>
              <w:tabs>
                <w:tab w:val="clear" w:pos="1615"/>
              </w:tabs>
              <w:spacing w:before="6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8"/>
              </w:rPr>
            </w:pPr>
            <w:r w:rsidRPr="00534671">
              <w:rPr>
                <w:rFonts w:asciiTheme="majorHAnsi" w:hAnsiTheme="majorHAnsi" w:cstheme="majorHAnsi"/>
                <w:sz w:val="20"/>
                <w:szCs w:val="28"/>
              </w:rPr>
              <w:t>Dois semestres de 600 horas cada em geral, divididos em dois módulos de 300 horas cada, sempre em período integral.</w:t>
            </w:r>
          </w:p>
        </w:tc>
      </w:tr>
      <w:tr w:rsidR="00EE3346" w:rsidRPr="00534671" w14:paraId="69E75878" w14:textId="77777777" w:rsidTr="00534671">
        <w:tc>
          <w:tcPr>
            <w:cnfStyle w:val="001000000000" w:firstRow="0" w:lastRow="0" w:firstColumn="1" w:lastColumn="0" w:oddVBand="0" w:evenVBand="0" w:oddHBand="0" w:evenHBand="0" w:firstRowFirstColumn="0" w:firstRowLastColumn="0" w:lastRowFirstColumn="0" w:lastRowLastColumn="0"/>
            <w:tcW w:w="1985" w:type="dxa"/>
          </w:tcPr>
          <w:p w14:paraId="6A6A72F0" w14:textId="77777777" w:rsidR="00EE3346" w:rsidRPr="00534671" w:rsidRDefault="00EE3346" w:rsidP="00516038">
            <w:pPr>
              <w:tabs>
                <w:tab w:val="clear" w:pos="1615"/>
              </w:tabs>
              <w:spacing w:before="60"/>
              <w:rPr>
                <w:rFonts w:asciiTheme="majorHAnsi" w:hAnsiTheme="majorHAnsi" w:cstheme="majorHAnsi"/>
                <w:b w:val="0"/>
                <w:sz w:val="20"/>
                <w:szCs w:val="28"/>
              </w:rPr>
            </w:pPr>
            <w:r w:rsidRPr="00534671">
              <w:rPr>
                <w:rFonts w:asciiTheme="majorHAnsi" w:hAnsiTheme="majorHAnsi" w:cstheme="majorHAnsi"/>
                <w:sz w:val="20"/>
                <w:szCs w:val="28"/>
              </w:rPr>
              <w:t>Universidade de Brasília (UnB)</w:t>
            </w:r>
          </w:p>
        </w:tc>
        <w:tc>
          <w:tcPr>
            <w:tcW w:w="1276" w:type="dxa"/>
          </w:tcPr>
          <w:p w14:paraId="10C848AB" w14:textId="77777777" w:rsidR="00EE3346" w:rsidRPr="00534671" w:rsidRDefault="00EE3346" w:rsidP="00516038">
            <w:pPr>
              <w:tabs>
                <w:tab w:val="clear" w:pos="1615"/>
              </w:tabs>
              <w:spacing w:before="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8"/>
              </w:rPr>
            </w:pPr>
            <w:r w:rsidRPr="00534671">
              <w:rPr>
                <w:rFonts w:asciiTheme="majorHAnsi" w:hAnsiTheme="majorHAnsi" w:cstheme="majorHAnsi"/>
                <w:sz w:val="20"/>
                <w:szCs w:val="28"/>
              </w:rPr>
              <w:t>2 Semestres</w:t>
            </w:r>
          </w:p>
        </w:tc>
        <w:tc>
          <w:tcPr>
            <w:tcW w:w="6378" w:type="dxa"/>
          </w:tcPr>
          <w:p w14:paraId="6E9875AD" w14:textId="77777777" w:rsidR="00EE3346" w:rsidRPr="00534671" w:rsidRDefault="00EE3346" w:rsidP="00516038">
            <w:pPr>
              <w:tabs>
                <w:tab w:val="clear" w:pos="1615"/>
              </w:tabs>
              <w:spacing w:before="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8"/>
              </w:rPr>
            </w:pPr>
            <w:r w:rsidRPr="00534671">
              <w:rPr>
                <w:rFonts w:asciiTheme="majorHAnsi" w:hAnsiTheme="majorHAnsi" w:cstheme="majorHAnsi"/>
                <w:sz w:val="20"/>
                <w:szCs w:val="28"/>
              </w:rPr>
              <w:t>17 a 18 semanas corridas, com seis dias cada, sem previsão de exames no calendário.</w:t>
            </w:r>
          </w:p>
        </w:tc>
      </w:tr>
      <w:tr w:rsidR="00EE3346" w:rsidRPr="00534671" w14:paraId="420C27FC" w14:textId="77777777" w:rsidTr="005346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6B39DFB7" w14:textId="77777777" w:rsidR="00EE3346" w:rsidRPr="00534671" w:rsidRDefault="00EE3346" w:rsidP="00516038">
            <w:pPr>
              <w:tabs>
                <w:tab w:val="clear" w:pos="1615"/>
              </w:tabs>
              <w:spacing w:before="60"/>
              <w:rPr>
                <w:rFonts w:asciiTheme="majorHAnsi" w:hAnsiTheme="majorHAnsi" w:cstheme="majorHAnsi"/>
                <w:b w:val="0"/>
                <w:sz w:val="20"/>
                <w:szCs w:val="28"/>
              </w:rPr>
            </w:pPr>
            <w:r w:rsidRPr="00534671">
              <w:rPr>
                <w:rFonts w:asciiTheme="majorHAnsi" w:hAnsiTheme="majorHAnsi" w:cstheme="majorHAnsi"/>
                <w:sz w:val="20"/>
                <w:szCs w:val="28"/>
              </w:rPr>
              <w:t>Universidade Estadual de Campinas (Unicamp)</w:t>
            </w:r>
          </w:p>
        </w:tc>
        <w:tc>
          <w:tcPr>
            <w:tcW w:w="1276" w:type="dxa"/>
          </w:tcPr>
          <w:p w14:paraId="26484D71" w14:textId="77777777" w:rsidR="00EE3346" w:rsidRPr="00534671" w:rsidRDefault="00EE3346" w:rsidP="00516038">
            <w:pPr>
              <w:tabs>
                <w:tab w:val="clear" w:pos="1615"/>
              </w:tabs>
              <w:spacing w:before="6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8"/>
              </w:rPr>
            </w:pPr>
            <w:r w:rsidRPr="00534671">
              <w:rPr>
                <w:rFonts w:asciiTheme="majorHAnsi" w:hAnsiTheme="majorHAnsi" w:cstheme="majorHAnsi"/>
                <w:sz w:val="20"/>
                <w:szCs w:val="28"/>
              </w:rPr>
              <w:t>2 Semestres</w:t>
            </w:r>
          </w:p>
        </w:tc>
        <w:tc>
          <w:tcPr>
            <w:tcW w:w="6378" w:type="dxa"/>
          </w:tcPr>
          <w:p w14:paraId="3ECFB980" w14:textId="77777777" w:rsidR="00EE3346" w:rsidRPr="00534671" w:rsidRDefault="00EE3346" w:rsidP="00516038">
            <w:pPr>
              <w:tabs>
                <w:tab w:val="clear" w:pos="1615"/>
              </w:tabs>
              <w:spacing w:before="6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8"/>
              </w:rPr>
            </w:pPr>
            <w:r w:rsidRPr="00534671">
              <w:rPr>
                <w:rFonts w:asciiTheme="majorHAnsi" w:hAnsiTheme="majorHAnsi" w:cstheme="majorHAnsi"/>
                <w:sz w:val="20"/>
                <w:szCs w:val="28"/>
              </w:rPr>
              <w:t>18 a 19 semanas corridas, com seis dias cada, com previsão de uma semana de exames depois.</w:t>
            </w:r>
          </w:p>
        </w:tc>
      </w:tr>
      <w:tr w:rsidR="00EE3346" w:rsidRPr="00534671" w14:paraId="16509FA4" w14:textId="77777777" w:rsidTr="00534671">
        <w:tc>
          <w:tcPr>
            <w:cnfStyle w:val="001000000000" w:firstRow="0" w:lastRow="0" w:firstColumn="1" w:lastColumn="0" w:oddVBand="0" w:evenVBand="0" w:oddHBand="0" w:evenHBand="0" w:firstRowFirstColumn="0" w:firstRowLastColumn="0" w:lastRowFirstColumn="0" w:lastRowLastColumn="0"/>
            <w:tcW w:w="1985" w:type="dxa"/>
          </w:tcPr>
          <w:p w14:paraId="6766C922" w14:textId="77777777" w:rsidR="00EE3346" w:rsidRPr="00534671" w:rsidRDefault="00EE3346" w:rsidP="00516038">
            <w:pPr>
              <w:tabs>
                <w:tab w:val="clear" w:pos="1615"/>
              </w:tabs>
              <w:spacing w:before="60"/>
              <w:rPr>
                <w:rFonts w:asciiTheme="majorHAnsi" w:hAnsiTheme="majorHAnsi" w:cstheme="majorHAnsi"/>
                <w:b w:val="0"/>
                <w:sz w:val="20"/>
                <w:szCs w:val="28"/>
              </w:rPr>
            </w:pPr>
            <w:r w:rsidRPr="00534671">
              <w:rPr>
                <w:rFonts w:asciiTheme="majorHAnsi" w:hAnsiTheme="majorHAnsi" w:cstheme="majorHAnsi"/>
                <w:sz w:val="20"/>
                <w:szCs w:val="28"/>
              </w:rPr>
              <w:t>Universidade Estadual do Maranhão (UEMA)</w:t>
            </w:r>
          </w:p>
        </w:tc>
        <w:tc>
          <w:tcPr>
            <w:tcW w:w="1276" w:type="dxa"/>
          </w:tcPr>
          <w:p w14:paraId="6D3F0E57" w14:textId="77777777" w:rsidR="00EE3346" w:rsidRPr="00534671" w:rsidRDefault="00EE3346" w:rsidP="00516038">
            <w:pPr>
              <w:tabs>
                <w:tab w:val="clear" w:pos="1615"/>
              </w:tabs>
              <w:spacing w:before="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8"/>
              </w:rPr>
            </w:pPr>
            <w:r w:rsidRPr="00534671">
              <w:rPr>
                <w:rFonts w:asciiTheme="majorHAnsi" w:hAnsiTheme="majorHAnsi" w:cstheme="majorHAnsi"/>
                <w:sz w:val="20"/>
                <w:szCs w:val="28"/>
              </w:rPr>
              <w:t>2 Semestres</w:t>
            </w:r>
          </w:p>
        </w:tc>
        <w:tc>
          <w:tcPr>
            <w:tcW w:w="6378" w:type="dxa"/>
          </w:tcPr>
          <w:p w14:paraId="27161C83" w14:textId="77777777" w:rsidR="00EE3346" w:rsidRPr="00534671" w:rsidRDefault="00EE3346" w:rsidP="00516038">
            <w:pPr>
              <w:tabs>
                <w:tab w:val="clear" w:pos="1615"/>
              </w:tabs>
              <w:spacing w:before="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8"/>
              </w:rPr>
            </w:pPr>
            <w:r w:rsidRPr="00534671">
              <w:rPr>
                <w:rFonts w:asciiTheme="majorHAnsi" w:hAnsiTheme="majorHAnsi" w:cstheme="majorHAnsi"/>
                <w:sz w:val="20"/>
                <w:szCs w:val="28"/>
              </w:rPr>
              <w:t>19 a 20 semanas corridas, com seis dias cada. Há avaliação de 2.</w:t>
            </w:r>
            <w:r w:rsidRPr="00534671">
              <w:rPr>
                <w:rFonts w:asciiTheme="majorHAnsi" w:hAnsiTheme="majorHAnsi" w:cstheme="majorHAnsi"/>
                <w:sz w:val="20"/>
                <w:szCs w:val="28"/>
                <w:vertAlign w:val="superscript"/>
              </w:rPr>
              <w:t>a</w:t>
            </w:r>
            <w:r w:rsidRPr="00534671">
              <w:rPr>
                <w:rFonts w:asciiTheme="majorHAnsi" w:hAnsiTheme="majorHAnsi" w:cstheme="majorHAnsi"/>
                <w:sz w:val="20"/>
                <w:szCs w:val="28"/>
              </w:rPr>
              <w:t xml:space="preserve"> chamada depois de cada período (dois dias).</w:t>
            </w:r>
          </w:p>
        </w:tc>
      </w:tr>
      <w:tr w:rsidR="00EE3346" w:rsidRPr="00534671" w14:paraId="0EF2C321" w14:textId="77777777" w:rsidTr="005346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2E090616" w14:textId="77777777" w:rsidR="00EE3346" w:rsidRPr="00534671" w:rsidRDefault="00EE3346" w:rsidP="00516038">
            <w:pPr>
              <w:tabs>
                <w:tab w:val="clear" w:pos="1615"/>
              </w:tabs>
              <w:spacing w:before="60"/>
              <w:rPr>
                <w:rFonts w:asciiTheme="majorHAnsi" w:hAnsiTheme="majorHAnsi" w:cstheme="majorHAnsi"/>
                <w:b w:val="0"/>
                <w:sz w:val="20"/>
                <w:szCs w:val="28"/>
              </w:rPr>
            </w:pPr>
            <w:r w:rsidRPr="00534671">
              <w:rPr>
                <w:rFonts w:asciiTheme="majorHAnsi" w:hAnsiTheme="majorHAnsi" w:cstheme="majorHAnsi"/>
                <w:sz w:val="20"/>
                <w:szCs w:val="28"/>
              </w:rPr>
              <w:t>Universidade Federal do Oeste da Bahia (UFOB)</w:t>
            </w:r>
          </w:p>
        </w:tc>
        <w:tc>
          <w:tcPr>
            <w:tcW w:w="1276" w:type="dxa"/>
          </w:tcPr>
          <w:p w14:paraId="2B3B339D" w14:textId="77777777" w:rsidR="00EE3346" w:rsidRPr="00534671" w:rsidRDefault="00EE3346" w:rsidP="00516038">
            <w:pPr>
              <w:tabs>
                <w:tab w:val="clear" w:pos="1615"/>
              </w:tabs>
              <w:spacing w:before="6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8"/>
              </w:rPr>
            </w:pPr>
            <w:r w:rsidRPr="00534671">
              <w:rPr>
                <w:rFonts w:asciiTheme="majorHAnsi" w:hAnsiTheme="majorHAnsi" w:cstheme="majorHAnsi"/>
                <w:sz w:val="20"/>
                <w:szCs w:val="28"/>
              </w:rPr>
              <w:t>2 Semestres</w:t>
            </w:r>
          </w:p>
        </w:tc>
        <w:tc>
          <w:tcPr>
            <w:tcW w:w="6378" w:type="dxa"/>
          </w:tcPr>
          <w:p w14:paraId="1937DBAA" w14:textId="77777777" w:rsidR="00EE3346" w:rsidRPr="00534671" w:rsidRDefault="00EE3346" w:rsidP="00516038">
            <w:pPr>
              <w:tabs>
                <w:tab w:val="clear" w:pos="1615"/>
              </w:tabs>
              <w:spacing w:before="6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8"/>
              </w:rPr>
            </w:pPr>
            <w:r w:rsidRPr="00534671">
              <w:rPr>
                <w:rFonts w:asciiTheme="majorHAnsi" w:hAnsiTheme="majorHAnsi" w:cstheme="majorHAnsi"/>
                <w:sz w:val="20"/>
                <w:szCs w:val="28"/>
              </w:rPr>
              <w:t>17 a 19 semanas corridas, com seis dias cada. Não há previsão de exames no calendário.</w:t>
            </w:r>
          </w:p>
        </w:tc>
      </w:tr>
      <w:tr w:rsidR="00EE3346" w:rsidRPr="00534671" w14:paraId="258985A2" w14:textId="77777777" w:rsidTr="00534671">
        <w:tc>
          <w:tcPr>
            <w:cnfStyle w:val="001000000000" w:firstRow="0" w:lastRow="0" w:firstColumn="1" w:lastColumn="0" w:oddVBand="0" w:evenVBand="0" w:oddHBand="0" w:evenHBand="0" w:firstRowFirstColumn="0" w:firstRowLastColumn="0" w:lastRowFirstColumn="0" w:lastRowLastColumn="0"/>
            <w:tcW w:w="1985" w:type="dxa"/>
          </w:tcPr>
          <w:p w14:paraId="12348F93" w14:textId="77777777" w:rsidR="00EE3346" w:rsidRPr="00534671" w:rsidRDefault="00EE3346" w:rsidP="00516038">
            <w:pPr>
              <w:tabs>
                <w:tab w:val="clear" w:pos="1615"/>
              </w:tabs>
              <w:spacing w:before="60"/>
              <w:rPr>
                <w:rFonts w:asciiTheme="majorHAnsi" w:hAnsiTheme="majorHAnsi" w:cstheme="majorHAnsi"/>
                <w:b w:val="0"/>
                <w:sz w:val="20"/>
                <w:szCs w:val="28"/>
              </w:rPr>
            </w:pPr>
            <w:r w:rsidRPr="00534671">
              <w:rPr>
                <w:rFonts w:asciiTheme="majorHAnsi" w:hAnsiTheme="majorHAnsi" w:cstheme="majorHAnsi"/>
                <w:sz w:val="20"/>
                <w:szCs w:val="28"/>
              </w:rPr>
              <w:t>Universidade Federal do Rio Grande do Sul (UFRGS)</w:t>
            </w:r>
          </w:p>
        </w:tc>
        <w:tc>
          <w:tcPr>
            <w:tcW w:w="1276" w:type="dxa"/>
          </w:tcPr>
          <w:p w14:paraId="0574B1EE" w14:textId="77777777" w:rsidR="00EE3346" w:rsidRPr="00534671" w:rsidRDefault="00EE3346" w:rsidP="00516038">
            <w:pPr>
              <w:tabs>
                <w:tab w:val="clear" w:pos="1615"/>
              </w:tabs>
              <w:spacing w:before="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8"/>
              </w:rPr>
            </w:pPr>
            <w:r w:rsidRPr="00534671">
              <w:rPr>
                <w:rFonts w:asciiTheme="majorHAnsi" w:hAnsiTheme="majorHAnsi" w:cstheme="majorHAnsi"/>
                <w:sz w:val="20"/>
                <w:szCs w:val="28"/>
              </w:rPr>
              <w:t>2 Semestres</w:t>
            </w:r>
          </w:p>
        </w:tc>
        <w:tc>
          <w:tcPr>
            <w:tcW w:w="6378" w:type="dxa"/>
          </w:tcPr>
          <w:p w14:paraId="68DA9B6D" w14:textId="77777777" w:rsidR="00EE3346" w:rsidRPr="00534671" w:rsidRDefault="00EE3346" w:rsidP="00516038">
            <w:pPr>
              <w:tabs>
                <w:tab w:val="clear" w:pos="1615"/>
              </w:tabs>
              <w:spacing w:before="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8"/>
              </w:rPr>
            </w:pPr>
            <w:r w:rsidRPr="00534671">
              <w:rPr>
                <w:rFonts w:asciiTheme="majorHAnsi" w:hAnsiTheme="majorHAnsi" w:cstheme="majorHAnsi"/>
                <w:sz w:val="20"/>
                <w:szCs w:val="28"/>
              </w:rPr>
              <w:t>19 a 20 semanas corridas, com seis dias cada.</w:t>
            </w:r>
          </w:p>
        </w:tc>
      </w:tr>
      <w:tr w:rsidR="00EE3346" w:rsidRPr="00534671" w14:paraId="19C45B90" w14:textId="77777777" w:rsidTr="005346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27D853F2" w14:textId="77777777" w:rsidR="00EE3346" w:rsidRPr="00534671" w:rsidRDefault="00EE3346" w:rsidP="00516038">
            <w:pPr>
              <w:tabs>
                <w:tab w:val="clear" w:pos="1615"/>
              </w:tabs>
              <w:spacing w:before="60"/>
              <w:rPr>
                <w:rFonts w:asciiTheme="majorHAnsi" w:hAnsiTheme="majorHAnsi" w:cstheme="majorHAnsi"/>
                <w:b w:val="0"/>
                <w:sz w:val="20"/>
                <w:szCs w:val="28"/>
              </w:rPr>
            </w:pPr>
            <w:r w:rsidRPr="00534671">
              <w:rPr>
                <w:rFonts w:asciiTheme="majorHAnsi" w:hAnsiTheme="majorHAnsi" w:cstheme="majorHAnsi"/>
                <w:sz w:val="20"/>
                <w:szCs w:val="28"/>
              </w:rPr>
              <w:t xml:space="preserve">Universidade Federal do ABC (UFABC) </w:t>
            </w:r>
          </w:p>
        </w:tc>
        <w:tc>
          <w:tcPr>
            <w:tcW w:w="1276" w:type="dxa"/>
          </w:tcPr>
          <w:p w14:paraId="31193851" w14:textId="77777777" w:rsidR="00EE3346" w:rsidRPr="00534671" w:rsidRDefault="00EE3346" w:rsidP="00516038">
            <w:pPr>
              <w:tabs>
                <w:tab w:val="clear" w:pos="1615"/>
              </w:tabs>
              <w:spacing w:before="6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8"/>
              </w:rPr>
            </w:pPr>
            <w:r w:rsidRPr="00534671">
              <w:rPr>
                <w:rFonts w:asciiTheme="majorHAnsi" w:hAnsiTheme="majorHAnsi" w:cstheme="majorHAnsi"/>
                <w:sz w:val="20"/>
                <w:szCs w:val="28"/>
              </w:rPr>
              <w:t>3 Quadrimestres</w:t>
            </w:r>
          </w:p>
        </w:tc>
        <w:tc>
          <w:tcPr>
            <w:tcW w:w="6378" w:type="dxa"/>
          </w:tcPr>
          <w:p w14:paraId="2F924741" w14:textId="77777777" w:rsidR="00EE3346" w:rsidRPr="00534671" w:rsidRDefault="00EE3346" w:rsidP="00516038">
            <w:pPr>
              <w:tabs>
                <w:tab w:val="clear" w:pos="1615"/>
              </w:tabs>
              <w:spacing w:before="6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8"/>
              </w:rPr>
            </w:pPr>
            <w:r w:rsidRPr="00534671">
              <w:rPr>
                <w:rFonts w:asciiTheme="majorHAnsi" w:hAnsiTheme="majorHAnsi" w:cstheme="majorHAnsi"/>
                <w:sz w:val="20"/>
                <w:szCs w:val="28"/>
              </w:rPr>
              <w:t>12 semanas cada, com reposição dos feriados. (72 dias de atividades curriculares), o que acaba originando 13 semanas corridas e, às vezes, 14.</w:t>
            </w:r>
          </w:p>
        </w:tc>
      </w:tr>
      <w:tr w:rsidR="00EE3346" w:rsidRPr="00534671" w14:paraId="33F7F574" w14:textId="77777777" w:rsidTr="00534671">
        <w:tc>
          <w:tcPr>
            <w:cnfStyle w:val="001000000000" w:firstRow="0" w:lastRow="0" w:firstColumn="1" w:lastColumn="0" w:oddVBand="0" w:evenVBand="0" w:oddHBand="0" w:evenHBand="0" w:firstRowFirstColumn="0" w:firstRowLastColumn="0" w:lastRowFirstColumn="0" w:lastRowLastColumn="0"/>
            <w:tcW w:w="1985" w:type="dxa"/>
          </w:tcPr>
          <w:p w14:paraId="1CF959B7" w14:textId="77777777" w:rsidR="00EE3346" w:rsidRPr="00534671" w:rsidRDefault="00EE3346" w:rsidP="00516038">
            <w:pPr>
              <w:tabs>
                <w:tab w:val="clear" w:pos="1615"/>
              </w:tabs>
              <w:spacing w:before="60"/>
              <w:rPr>
                <w:rFonts w:asciiTheme="majorHAnsi" w:hAnsiTheme="majorHAnsi" w:cstheme="majorHAnsi"/>
                <w:b w:val="0"/>
                <w:sz w:val="20"/>
                <w:szCs w:val="28"/>
              </w:rPr>
            </w:pPr>
            <w:r w:rsidRPr="00534671">
              <w:rPr>
                <w:rFonts w:asciiTheme="majorHAnsi" w:hAnsiTheme="majorHAnsi" w:cstheme="majorHAnsi"/>
                <w:sz w:val="20"/>
                <w:szCs w:val="28"/>
              </w:rPr>
              <w:t>Escola Superior de Ciências da Saúde - ESCS</w:t>
            </w:r>
          </w:p>
        </w:tc>
        <w:tc>
          <w:tcPr>
            <w:tcW w:w="1276" w:type="dxa"/>
          </w:tcPr>
          <w:p w14:paraId="24F37003" w14:textId="77777777" w:rsidR="00EE3346" w:rsidRPr="00534671" w:rsidRDefault="00EE3346" w:rsidP="00516038">
            <w:pPr>
              <w:tabs>
                <w:tab w:val="clear" w:pos="1615"/>
              </w:tabs>
              <w:spacing w:before="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8"/>
              </w:rPr>
            </w:pPr>
            <w:r w:rsidRPr="00534671">
              <w:rPr>
                <w:rFonts w:asciiTheme="majorHAnsi" w:hAnsiTheme="majorHAnsi" w:cstheme="majorHAnsi"/>
                <w:sz w:val="20"/>
                <w:szCs w:val="28"/>
              </w:rPr>
              <w:t>Anual</w:t>
            </w:r>
          </w:p>
        </w:tc>
        <w:tc>
          <w:tcPr>
            <w:tcW w:w="6378" w:type="dxa"/>
          </w:tcPr>
          <w:p w14:paraId="2A1CF537" w14:textId="77777777" w:rsidR="00EE3346" w:rsidRPr="00534671" w:rsidRDefault="00EE3346" w:rsidP="00516038">
            <w:pPr>
              <w:tabs>
                <w:tab w:val="clear" w:pos="1615"/>
              </w:tabs>
              <w:spacing w:before="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8"/>
              </w:rPr>
            </w:pPr>
            <w:r w:rsidRPr="00534671">
              <w:rPr>
                <w:rFonts w:asciiTheme="majorHAnsi" w:hAnsiTheme="majorHAnsi" w:cstheme="majorHAnsi"/>
                <w:sz w:val="20"/>
                <w:szCs w:val="28"/>
              </w:rPr>
              <w:t>Cursos modulares com até 30 horas de atividades/semana/módulo e atividades não modulares ao longo do ano, perfazendo 200 dias letivos e em período integral, com cerca de 39-40 semanas.</w:t>
            </w:r>
          </w:p>
        </w:tc>
      </w:tr>
      <w:tr w:rsidR="00EE3346" w:rsidRPr="00534671" w14:paraId="5A8FF9FA" w14:textId="77777777" w:rsidTr="005346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4A903F01" w14:textId="77777777" w:rsidR="00EE3346" w:rsidRPr="00534671" w:rsidRDefault="00EE3346" w:rsidP="00516038">
            <w:pPr>
              <w:tabs>
                <w:tab w:val="clear" w:pos="1615"/>
              </w:tabs>
              <w:spacing w:before="60"/>
              <w:rPr>
                <w:rFonts w:asciiTheme="majorHAnsi" w:hAnsiTheme="majorHAnsi" w:cstheme="majorHAnsi"/>
                <w:b w:val="0"/>
                <w:sz w:val="20"/>
                <w:szCs w:val="28"/>
              </w:rPr>
            </w:pPr>
            <w:r w:rsidRPr="00534671">
              <w:rPr>
                <w:rFonts w:asciiTheme="majorHAnsi" w:hAnsiTheme="majorHAnsi" w:cstheme="majorHAnsi"/>
                <w:sz w:val="20"/>
                <w:szCs w:val="28"/>
              </w:rPr>
              <w:t>Oxford University (Inglaterra)</w:t>
            </w:r>
          </w:p>
        </w:tc>
        <w:tc>
          <w:tcPr>
            <w:tcW w:w="1276" w:type="dxa"/>
          </w:tcPr>
          <w:p w14:paraId="1ACDD75E" w14:textId="77777777" w:rsidR="00EE3346" w:rsidRPr="00534671" w:rsidRDefault="00EE3346" w:rsidP="00516038">
            <w:pPr>
              <w:tabs>
                <w:tab w:val="clear" w:pos="1615"/>
              </w:tabs>
              <w:spacing w:before="6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8"/>
              </w:rPr>
            </w:pPr>
            <w:r w:rsidRPr="00534671">
              <w:rPr>
                <w:rFonts w:asciiTheme="majorHAnsi" w:hAnsiTheme="majorHAnsi" w:cstheme="majorHAnsi"/>
                <w:sz w:val="20"/>
                <w:szCs w:val="28"/>
              </w:rPr>
              <w:t>3 trimestres</w:t>
            </w:r>
          </w:p>
        </w:tc>
        <w:tc>
          <w:tcPr>
            <w:tcW w:w="6378" w:type="dxa"/>
          </w:tcPr>
          <w:p w14:paraId="65CBE7FE" w14:textId="77777777" w:rsidR="00EE3346" w:rsidRPr="00534671" w:rsidRDefault="00EE3346" w:rsidP="00516038">
            <w:pPr>
              <w:tabs>
                <w:tab w:val="clear" w:pos="1615"/>
              </w:tabs>
              <w:spacing w:before="6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8"/>
              </w:rPr>
            </w:pPr>
            <w:r w:rsidRPr="00534671">
              <w:rPr>
                <w:rFonts w:asciiTheme="majorHAnsi" w:hAnsiTheme="majorHAnsi" w:cstheme="majorHAnsi"/>
                <w:sz w:val="20"/>
                <w:szCs w:val="28"/>
              </w:rPr>
              <w:t>Três períodos de 8 semanas de seis dias cada, podendo atingir 10-11 semanas em alguns casos e cursos.</w:t>
            </w:r>
          </w:p>
        </w:tc>
      </w:tr>
      <w:tr w:rsidR="00EE3346" w:rsidRPr="00534671" w14:paraId="15BDDFEC" w14:textId="77777777" w:rsidTr="00534671">
        <w:tc>
          <w:tcPr>
            <w:cnfStyle w:val="001000000000" w:firstRow="0" w:lastRow="0" w:firstColumn="1" w:lastColumn="0" w:oddVBand="0" w:evenVBand="0" w:oddHBand="0" w:evenHBand="0" w:firstRowFirstColumn="0" w:firstRowLastColumn="0" w:lastRowFirstColumn="0" w:lastRowLastColumn="0"/>
            <w:tcW w:w="1985" w:type="dxa"/>
          </w:tcPr>
          <w:p w14:paraId="6075CB94" w14:textId="77777777" w:rsidR="00EE3346" w:rsidRPr="00534671" w:rsidRDefault="00EE3346" w:rsidP="00516038">
            <w:pPr>
              <w:tabs>
                <w:tab w:val="clear" w:pos="1615"/>
              </w:tabs>
              <w:spacing w:before="60"/>
              <w:rPr>
                <w:rFonts w:asciiTheme="majorHAnsi" w:hAnsiTheme="majorHAnsi" w:cstheme="majorHAnsi"/>
                <w:b w:val="0"/>
                <w:sz w:val="20"/>
                <w:szCs w:val="28"/>
              </w:rPr>
            </w:pPr>
            <w:r w:rsidRPr="00534671">
              <w:rPr>
                <w:rFonts w:asciiTheme="majorHAnsi" w:hAnsiTheme="majorHAnsi" w:cstheme="majorHAnsi"/>
                <w:sz w:val="20"/>
                <w:szCs w:val="28"/>
              </w:rPr>
              <w:t>Nanyang Technological University (Singapura)</w:t>
            </w:r>
          </w:p>
        </w:tc>
        <w:tc>
          <w:tcPr>
            <w:tcW w:w="1276" w:type="dxa"/>
          </w:tcPr>
          <w:p w14:paraId="220FCBDA" w14:textId="77777777" w:rsidR="00EE3346" w:rsidRPr="00534671" w:rsidRDefault="00EE3346" w:rsidP="00516038">
            <w:pPr>
              <w:tabs>
                <w:tab w:val="clear" w:pos="1615"/>
              </w:tabs>
              <w:spacing w:before="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8"/>
              </w:rPr>
            </w:pPr>
            <w:r w:rsidRPr="00534671">
              <w:rPr>
                <w:rFonts w:asciiTheme="majorHAnsi" w:hAnsiTheme="majorHAnsi" w:cstheme="majorHAnsi"/>
                <w:sz w:val="20"/>
                <w:szCs w:val="28"/>
              </w:rPr>
              <w:t>2 Semestres e 2 períodos especiais</w:t>
            </w:r>
          </w:p>
        </w:tc>
        <w:tc>
          <w:tcPr>
            <w:tcW w:w="6378" w:type="dxa"/>
          </w:tcPr>
          <w:p w14:paraId="530C30ED" w14:textId="77777777" w:rsidR="00EE3346" w:rsidRPr="00534671" w:rsidRDefault="00EE3346" w:rsidP="00516038">
            <w:pPr>
              <w:tabs>
                <w:tab w:val="clear" w:pos="1615"/>
              </w:tabs>
              <w:spacing w:before="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8"/>
              </w:rPr>
            </w:pPr>
            <w:r w:rsidRPr="00534671">
              <w:rPr>
                <w:rFonts w:asciiTheme="majorHAnsi" w:hAnsiTheme="majorHAnsi" w:cstheme="majorHAnsi"/>
                <w:sz w:val="20"/>
                <w:szCs w:val="28"/>
              </w:rPr>
              <w:t>Dois períodos semestrais com 13 semanas corridas cada com uma semana de intervalo depois da 7.</w:t>
            </w:r>
            <w:r w:rsidRPr="00534671">
              <w:rPr>
                <w:rFonts w:asciiTheme="majorHAnsi" w:hAnsiTheme="majorHAnsi" w:cstheme="majorHAnsi"/>
                <w:sz w:val="20"/>
                <w:szCs w:val="28"/>
                <w:vertAlign w:val="superscript"/>
              </w:rPr>
              <w:t>a</w:t>
            </w:r>
            <w:r w:rsidRPr="00534671">
              <w:rPr>
                <w:rFonts w:asciiTheme="majorHAnsi" w:hAnsiTheme="majorHAnsi" w:cstheme="majorHAnsi"/>
                <w:sz w:val="20"/>
                <w:szCs w:val="28"/>
              </w:rPr>
              <w:t xml:space="preserve"> semana, mais três semanas de exames; há dois períodos especiais com cinco semanas de aula + um de exame.</w:t>
            </w:r>
          </w:p>
        </w:tc>
      </w:tr>
      <w:tr w:rsidR="00EE3346" w:rsidRPr="00534671" w14:paraId="2AEEE832" w14:textId="77777777" w:rsidTr="005346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304422D3" w14:textId="77777777" w:rsidR="00EE3346" w:rsidRPr="00534671" w:rsidRDefault="00EE3346" w:rsidP="00516038">
            <w:pPr>
              <w:tabs>
                <w:tab w:val="clear" w:pos="1615"/>
              </w:tabs>
              <w:spacing w:before="60"/>
              <w:rPr>
                <w:rFonts w:asciiTheme="majorHAnsi" w:hAnsiTheme="majorHAnsi" w:cstheme="majorHAnsi"/>
                <w:b w:val="0"/>
                <w:sz w:val="20"/>
                <w:szCs w:val="28"/>
              </w:rPr>
            </w:pPr>
            <w:r w:rsidRPr="00534671">
              <w:rPr>
                <w:rFonts w:asciiTheme="majorHAnsi" w:hAnsiTheme="majorHAnsi" w:cstheme="majorHAnsi"/>
                <w:sz w:val="20"/>
                <w:szCs w:val="28"/>
              </w:rPr>
              <w:t>Stanford University (EUA)</w:t>
            </w:r>
          </w:p>
        </w:tc>
        <w:tc>
          <w:tcPr>
            <w:tcW w:w="1276" w:type="dxa"/>
          </w:tcPr>
          <w:p w14:paraId="40F8B412" w14:textId="77777777" w:rsidR="00EE3346" w:rsidRPr="00534671" w:rsidRDefault="00EE3346" w:rsidP="00516038">
            <w:pPr>
              <w:tabs>
                <w:tab w:val="clear" w:pos="1615"/>
              </w:tabs>
              <w:spacing w:before="6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8"/>
              </w:rPr>
            </w:pPr>
            <w:r w:rsidRPr="00534671">
              <w:rPr>
                <w:rFonts w:asciiTheme="majorHAnsi" w:hAnsiTheme="majorHAnsi" w:cstheme="majorHAnsi"/>
                <w:sz w:val="20"/>
                <w:szCs w:val="28"/>
              </w:rPr>
              <w:t>Três trimestres</w:t>
            </w:r>
          </w:p>
        </w:tc>
        <w:tc>
          <w:tcPr>
            <w:tcW w:w="6378" w:type="dxa"/>
          </w:tcPr>
          <w:p w14:paraId="2020F1F4" w14:textId="77777777" w:rsidR="00EE3346" w:rsidRPr="00534671" w:rsidRDefault="00EE3346" w:rsidP="00516038">
            <w:pPr>
              <w:tabs>
                <w:tab w:val="clear" w:pos="1615"/>
              </w:tabs>
              <w:spacing w:before="6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8"/>
              </w:rPr>
            </w:pPr>
            <w:r w:rsidRPr="00534671">
              <w:rPr>
                <w:rFonts w:asciiTheme="majorHAnsi" w:hAnsiTheme="majorHAnsi" w:cstheme="majorHAnsi"/>
                <w:sz w:val="20"/>
                <w:szCs w:val="28"/>
              </w:rPr>
              <w:t>Três períodos de dez semanas cada, com uma semana posterior com exames finais.</w:t>
            </w:r>
          </w:p>
        </w:tc>
      </w:tr>
      <w:tr w:rsidR="00EE3346" w:rsidRPr="00534671" w14:paraId="3FB337D7" w14:textId="77777777" w:rsidTr="00534671">
        <w:tc>
          <w:tcPr>
            <w:cnfStyle w:val="001000000000" w:firstRow="0" w:lastRow="0" w:firstColumn="1" w:lastColumn="0" w:oddVBand="0" w:evenVBand="0" w:oddHBand="0" w:evenHBand="0" w:firstRowFirstColumn="0" w:firstRowLastColumn="0" w:lastRowFirstColumn="0" w:lastRowLastColumn="0"/>
            <w:tcW w:w="1985" w:type="dxa"/>
          </w:tcPr>
          <w:p w14:paraId="2A4E95BD" w14:textId="77777777" w:rsidR="00EE3346" w:rsidRPr="00534671" w:rsidRDefault="00EE3346" w:rsidP="00516038">
            <w:pPr>
              <w:tabs>
                <w:tab w:val="clear" w:pos="1615"/>
              </w:tabs>
              <w:spacing w:before="60"/>
              <w:rPr>
                <w:rFonts w:asciiTheme="majorHAnsi" w:hAnsiTheme="majorHAnsi" w:cstheme="majorHAnsi"/>
                <w:b w:val="0"/>
                <w:sz w:val="20"/>
                <w:szCs w:val="28"/>
                <w:lang w:val="es-ES"/>
              </w:rPr>
            </w:pPr>
            <w:r w:rsidRPr="00534671">
              <w:rPr>
                <w:rFonts w:asciiTheme="majorHAnsi" w:hAnsiTheme="majorHAnsi" w:cstheme="majorHAnsi"/>
                <w:sz w:val="20"/>
                <w:szCs w:val="28"/>
                <w:lang w:val="es-ES"/>
              </w:rPr>
              <w:t xml:space="preserve">Universidad Nacional Autónoma de Mexico (México) </w:t>
            </w:r>
          </w:p>
        </w:tc>
        <w:tc>
          <w:tcPr>
            <w:tcW w:w="1276" w:type="dxa"/>
          </w:tcPr>
          <w:p w14:paraId="23D349C1" w14:textId="77777777" w:rsidR="00EE3346" w:rsidRPr="00534671" w:rsidRDefault="00EE3346" w:rsidP="00516038">
            <w:pPr>
              <w:tabs>
                <w:tab w:val="clear" w:pos="1615"/>
              </w:tabs>
              <w:spacing w:before="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8"/>
              </w:rPr>
            </w:pPr>
            <w:r w:rsidRPr="00534671">
              <w:rPr>
                <w:rFonts w:asciiTheme="majorHAnsi" w:hAnsiTheme="majorHAnsi" w:cstheme="majorHAnsi"/>
                <w:sz w:val="20"/>
                <w:szCs w:val="28"/>
              </w:rPr>
              <w:t>Semestral</w:t>
            </w:r>
          </w:p>
        </w:tc>
        <w:tc>
          <w:tcPr>
            <w:tcW w:w="6378" w:type="dxa"/>
          </w:tcPr>
          <w:p w14:paraId="7BC13FA3" w14:textId="77777777" w:rsidR="00EE3346" w:rsidRPr="00534671" w:rsidRDefault="00EE3346" w:rsidP="00516038">
            <w:pPr>
              <w:tabs>
                <w:tab w:val="clear" w:pos="1615"/>
              </w:tabs>
              <w:spacing w:before="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8"/>
              </w:rPr>
            </w:pPr>
            <w:r w:rsidRPr="00534671">
              <w:rPr>
                <w:rFonts w:asciiTheme="majorHAnsi" w:hAnsiTheme="majorHAnsi" w:cstheme="majorHAnsi"/>
                <w:sz w:val="20"/>
                <w:szCs w:val="28"/>
              </w:rPr>
              <w:t>16 semanas de cinco dias + duas semanas para exame.</w:t>
            </w:r>
          </w:p>
        </w:tc>
      </w:tr>
    </w:tbl>
    <w:p w14:paraId="59721509" w14:textId="77777777" w:rsidR="00EE3346" w:rsidRPr="00516038" w:rsidRDefault="00EE3346" w:rsidP="00516038">
      <w:pPr>
        <w:tabs>
          <w:tab w:val="clear" w:pos="1615"/>
        </w:tabs>
        <w:spacing w:before="60" w:after="0"/>
        <w:rPr>
          <w:rFonts w:asciiTheme="majorHAnsi" w:hAnsiTheme="majorHAnsi" w:cstheme="majorHAnsi"/>
          <w:sz w:val="16"/>
        </w:rPr>
      </w:pPr>
      <w:r w:rsidRPr="00516038">
        <w:rPr>
          <w:rFonts w:asciiTheme="majorHAnsi" w:hAnsiTheme="majorHAnsi" w:cstheme="majorHAnsi"/>
          <w:sz w:val="16"/>
        </w:rPr>
        <w:t>1. Normalmente foi consultado o calendário de 2019 ou 2022 em função da pandemia. Cursos do hemisfério norte com início em agosto ou setembro e término no ano seguinte. Os resultados foram resumidos apenas para dar ideia ilustrativa do calendário.</w:t>
      </w:r>
    </w:p>
    <w:p w14:paraId="089DE39F" w14:textId="77777777" w:rsidR="00EE3346" w:rsidRPr="00516038" w:rsidRDefault="00EE3346" w:rsidP="00516038">
      <w:pPr>
        <w:tabs>
          <w:tab w:val="clear" w:pos="1615"/>
        </w:tabs>
        <w:spacing w:after="0"/>
        <w:rPr>
          <w:rFonts w:asciiTheme="majorHAnsi" w:hAnsiTheme="majorHAnsi" w:cstheme="majorHAnsi"/>
          <w:sz w:val="16"/>
        </w:rPr>
      </w:pPr>
      <w:r w:rsidRPr="00516038">
        <w:rPr>
          <w:rFonts w:asciiTheme="majorHAnsi" w:hAnsiTheme="majorHAnsi" w:cstheme="majorHAnsi"/>
          <w:sz w:val="16"/>
        </w:rPr>
        <w:t>2.Nos casos de periodicidade semestral, comumente estão previstos cursos de férias de verão, a exemplo do que ocorre nas IES estrangeiras.</w:t>
      </w:r>
    </w:p>
    <w:p w14:paraId="2C320D13" w14:textId="77777777" w:rsidR="00EE3346" w:rsidRPr="00516038" w:rsidRDefault="00EE3346" w:rsidP="00516038">
      <w:pPr>
        <w:tabs>
          <w:tab w:val="clear" w:pos="1615"/>
        </w:tabs>
        <w:spacing w:before="60" w:after="0"/>
        <w:rPr>
          <w:rFonts w:asciiTheme="majorHAnsi" w:hAnsiTheme="majorHAnsi" w:cstheme="majorHAnsi"/>
          <w:sz w:val="16"/>
        </w:rPr>
      </w:pPr>
    </w:p>
    <w:p w14:paraId="172C623A" w14:textId="287D9B24" w:rsidR="00EE3346" w:rsidRPr="00516038" w:rsidRDefault="00EE3346" w:rsidP="00534671">
      <w:pPr>
        <w:tabs>
          <w:tab w:val="clear" w:pos="1615"/>
        </w:tabs>
        <w:spacing w:line="360" w:lineRule="auto"/>
        <w:ind w:firstLine="709"/>
        <w:jc w:val="both"/>
        <w:rPr>
          <w:rFonts w:asciiTheme="majorHAnsi" w:hAnsiTheme="majorHAnsi" w:cstheme="majorHAnsi"/>
        </w:rPr>
      </w:pPr>
      <w:r w:rsidRPr="00516038">
        <w:rPr>
          <w:rFonts w:asciiTheme="majorHAnsi" w:hAnsiTheme="majorHAnsi" w:cstheme="majorHAnsi"/>
        </w:rPr>
        <w:t>O regime quadrimestral tem a vantagem de permitir uma quantidade de atividades curriculares maior ao longo de um ano, apesar da necessidade de sua integralização em período de tempo menor ou uma carga horária mais elevada para possibilitar a mesma abordagem do que cursos semestrais. Por exemplo, uma disciplina com 80 horas de atividades pode ter de quatro a cinco horas semanais em cursos semestrais estruturados com 17 a 20 semanas de atividades. Num regime quadrimestral para as 12 semanas letivas isso representa pelo menos sete horas semanais, supondo que todas as semanas sejam utilizadas para as atividades de aula, apesar dos exames finais normalmente requererem pelo menos uma a duas semanas suplementares. Essa característica pode representar vantagem da diminuição de avaliações somativas aplicadas normalmente para todas as atividades curriculares, pelo menos ao final delas.</w:t>
      </w:r>
    </w:p>
    <w:p w14:paraId="1CC11A1F" w14:textId="75B56E98" w:rsidR="00EE3346" w:rsidRPr="00516038" w:rsidRDefault="00EE3346" w:rsidP="00534671">
      <w:pPr>
        <w:tabs>
          <w:tab w:val="clear" w:pos="1615"/>
        </w:tabs>
        <w:spacing w:line="360" w:lineRule="auto"/>
        <w:ind w:firstLine="709"/>
        <w:jc w:val="both"/>
        <w:rPr>
          <w:rFonts w:asciiTheme="majorHAnsi" w:hAnsiTheme="majorHAnsi" w:cstheme="majorHAnsi"/>
        </w:rPr>
      </w:pPr>
      <w:r w:rsidRPr="00516038">
        <w:rPr>
          <w:rFonts w:asciiTheme="majorHAnsi" w:hAnsiTheme="majorHAnsi" w:cstheme="majorHAnsi"/>
        </w:rPr>
        <w:t>Deve-se destacar que há regimes em que a estrutura é denominada semestral ou anual, mas apenas para organizar o sistema acadêmico e as atividades se desenvolvem de forma modular, como apresentado aqui com a INTELI e ESCS por exemplo. Há outras instituições, como a Universidade Virtual do Estado de São Paulo (Univesp), onde as matrículas são realizadas semestralmente (20 semanas), mas as atividades curriculares são divididas em dois blocos de dez semanas cada, aí incluídas as atividades de exame, o que torna o número de disciplinas menor e uma concentração dos assuntos maior. Nesse modelo, algumas atividades, como, por exemplo, o projeto integrador, têm periodicidade semestral. Essas ações podem diminuir a burocracia e as atividades não escolares (matrículas, por exemplo) deixando mais tempo para o envolvimento com a aprendizagem.</w:t>
      </w:r>
    </w:p>
    <w:p w14:paraId="3713E2F1" w14:textId="4C60B81A" w:rsidR="00EE3346" w:rsidRPr="00516038" w:rsidRDefault="00EE3346" w:rsidP="00534671">
      <w:pPr>
        <w:tabs>
          <w:tab w:val="clear" w:pos="1615"/>
        </w:tabs>
        <w:spacing w:line="360" w:lineRule="auto"/>
        <w:ind w:firstLine="709"/>
        <w:jc w:val="both"/>
        <w:rPr>
          <w:rFonts w:asciiTheme="majorHAnsi" w:hAnsiTheme="majorHAnsi" w:cstheme="majorHAnsi"/>
        </w:rPr>
      </w:pPr>
      <w:r w:rsidRPr="00516038">
        <w:rPr>
          <w:rFonts w:asciiTheme="majorHAnsi" w:hAnsiTheme="majorHAnsi" w:cstheme="majorHAnsi"/>
        </w:rPr>
        <w:t>Desse modo, percebe-se que, mais importante que um regime de desenvolvimento onde são atualizadas as informações acadêmicas no sistema informatizado de gestão, é a concepção do tipo de desenvolvimento do curso. Deve-se definir se os cursos se desenvolverão com atividades disciplinares de imersão ou não, com atividades modulares ou temáticas, ou ainda a partir de um sistema híbrido que apresente temas ou projetos e algumas atividades disciplinares “satélites” que completam o elenco de atividades dos alunos. Essas ações, como visto acima, podem ser desenvolvidas a partir de qualquer periodicidade formal estabelecida.</w:t>
      </w:r>
    </w:p>
    <w:p w14:paraId="10F5FC90" w14:textId="51BDC238" w:rsidR="00EE3346" w:rsidRPr="00516038" w:rsidRDefault="00534671" w:rsidP="00534671">
      <w:pPr>
        <w:pStyle w:val="Ttulo3"/>
        <w:numPr>
          <w:ilvl w:val="2"/>
          <w:numId w:val="1"/>
        </w:numPr>
        <w:ind w:left="709" w:hanging="709"/>
        <w:rPr>
          <w:rFonts w:asciiTheme="majorHAnsi" w:hAnsiTheme="majorHAnsi" w:cstheme="majorHAnsi"/>
        </w:rPr>
      </w:pPr>
      <w:bookmarkStart w:id="32" w:name="_Toc89878041"/>
      <w:bookmarkStart w:id="33" w:name="_Toc102134976"/>
      <w:bookmarkEnd w:id="31"/>
      <w:r w:rsidRPr="00516038">
        <w:rPr>
          <w:rFonts w:asciiTheme="majorHAnsi" w:hAnsiTheme="majorHAnsi" w:cstheme="majorHAnsi"/>
        </w:rPr>
        <w:t>DURAÇÃO DOS CURSOS</w:t>
      </w:r>
      <w:bookmarkEnd w:id="32"/>
      <w:bookmarkEnd w:id="33"/>
    </w:p>
    <w:p w14:paraId="47E6DEF4" w14:textId="351213A2" w:rsidR="00EE3346" w:rsidRPr="00534671" w:rsidRDefault="00EE3346" w:rsidP="00534671">
      <w:pPr>
        <w:tabs>
          <w:tab w:val="clear" w:pos="1615"/>
        </w:tabs>
        <w:spacing w:line="360" w:lineRule="auto"/>
        <w:ind w:firstLine="709"/>
        <w:jc w:val="both"/>
        <w:rPr>
          <w:rFonts w:asciiTheme="majorHAnsi" w:hAnsiTheme="majorHAnsi" w:cstheme="majorHAnsi"/>
          <w:sz w:val="24"/>
          <w:szCs w:val="24"/>
        </w:rPr>
      </w:pPr>
      <w:r w:rsidRPr="00534671">
        <w:rPr>
          <w:rFonts w:asciiTheme="majorHAnsi" w:hAnsiTheme="majorHAnsi" w:cstheme="majorHAnsi"/>
          <w:sz w:val="24"/>
          <w:szCs w:val="24"/>
        </w:rPr>
        <w:t>A duração dos cursos vai depender da forma como se dá a concentração diária da carga horária e há interpretações que mostram que as resoluções do CNE estão baseadas em períodos de quatro horas de atividades diárias, como acontece com a educação básica, ao estabelecer a duração mínima dos cursos, em anos. Essa realidade nem sempre pode ser conseguida em cursos oferecidos no período noturno, mas é importante que seja mantida a carga horária total estabelecida, lembrando de que se trata apenas do referencial mínimo a ser cumprido podendo, portanto, ser estendido. Além disso, para as graduações tecnológicas, as horas previstas para estágios e atividades complementares, quando existentes, não estão computadas na carga mínima estabelecida, já que o parecer CNE que permitia esse cômputo nunca foi homologado.</w:t>
      </w:r>
    </w:p>
    <w:p w14:paraId="7F040AC8" w14:textId="1187FCD4" w:rsidR="00EE3346" w:rsidRPr="00534671" w:rsidRDefault="00EE3346" w:rsidP="00534671">
      <w:pPr>
        <w:tabs>
          <w:tab w:val="clear" w:pos="1615"/>
        </w:tabs>
        <w:spacing w:line="360" w:lineRule="auto"/>
        <w:ind w:firstLine="709"/>
        <w:jc w:val="both"/>
        <w:rPr>
          <w:rFonts w:asciiTheme="majorHAnsi" w:hAnsiTheme="majorHAnsi" w:cstheme="majorHAnsi"/>
          <w:sz w:val="24"/>
          <w:szCs w:val="24"/>
        </w:rPr>
      </w:pPr>
      <w:r w:rsidRPr="00534671">
        <w:rPr>
          <w:rFonts w:asciiTheme="majorHAnsi" w:hAnsiTheme="majorHAnsi" w:cstheme="majorHAnsi"/>
          <w:sz w:val="24"/>
          <w:szCs w:val="24"/>
        </w:rPr>
        <w:t>Atualmente, cursos interdisciplinares de bacharelado têm considerado a carga horária de 2.400 horas para sua integralização, o que corresponde, efetivamente, à maioria dos bacharelados das áreas chamadas “puras” (não aplicadas, como Física, Letras, Arte, Matemática etc.) na Resolução n. 2 (CNE, 2007). A partir dessa formação inicial nas Instituições que a ofertam, pode-se dar continuidade a uma formação específica, normalmente com mais um a dois anos de atividades curriculares obrigatórias.</w:t>
      </w:r>
    </w:p>
    <w:p w14:paraId="591E9A2F" w14:textId="28FB15BA" w:rsidR="00EE3346" w:rsidRPr="00534671" w:rsidRDefault="00EE3346" w:rsidP="00534671">
      <w:pPr>
        <w:tabs>
          <w:tab w:val="clear" w:pos="1615"/>
        </w:tabs>
        <w:spacing w:line="360" w:lineRule="auto"/>
        <w:ind w:firstLine="709"/>
        <w:jc w:val="both"/>
        <w:rPr>
          <w:rFonts w:asciiTheme="majorHAnsi" w:hAnsiTheme="majorHAnsi" w:cstheme="majorHAnsi"/>
          <w:sz w:val="24"/>
          <w:szCs w:val="24"/>
        </w:rPr>
      </w:pPr>
      <w:r w:rsidRPr="00534671">
        <w:rPr>
          <w:rFonts w:asciiTheme="majorHAnsi" w:hAnsiTheme="majorHAnsi" w:cstheme="majorHAnsi"/>
          <w:sz w:val="24"/>
          <w:szCs w:val="24"/>
        </w:rPr>
        <w:t>A realização de 800 horas de atividades anuais e que foi utilizada para o estabelecimento das cargas horárias dos bacharelados (CNE, 2007, 2009), conforme comentado acima, é facilmente obtida em cursos diurnos, já que a legislação determina um mínimo de 200 dias letivos, o que origina quatro horas de atividades por dia letivo. Essa conta matematicamente exata acarreta problemas quando se pensa em cursos noturnos que, via de regra, não conseguem o cumprimento de quatro horas de atividades/noite, especialmente em grandes centros onde o deslocamento entre o trabalho e a escola é mais moroso. Entretanto, várias IES mantêm quatro aulas de atividades por noite, com 50 minutos cada, e deixam para o sábado, ao longo do dia, as outras quatro aulas que, desse modo, somam 24 aulas de 50 minutos ou 20 horas de atividades e que, num sistema de 20 semanas, pode atingir 400 horas semestrais (480 aulas) ou 800 horas anuais. Há, ainda, a possibilidade de desenvolvimento de parte das atividades a distância, o que, a partir de 2019 e para o sistema federal, foi estabelecido em até 40% (CNE, 2019) e que deve ser adotado no DF já que a Resolução n. 2/2017 é omissa quanto ao tema (CEDF, 2017).</w:t>
      </w:r>
    </w:p>
    <w:p w14:paraId="060DDCE9" w14:textId="437D49B3" w:rsidR="00EE3346" w:rsidRPr="00534671" w:rsidRDefault="00EE3346" w:rsidP="00534671">
      <w:pPr>
        <w:tabs>
          <w:tab w:val="clear" w:pos="1615"/>
        </w:tabs>
        <w:spacing w:line="360" w:lineRule="auto"/>
        <w:ind w:firstLine="709"/>
        <w:jc w:val="both"/>
        <w:rPr>
          <w:rFonts w:asciiTheme="majorHAnsi" w:hAnsiTheme="majorHAnsi" w:cstheme="majorHAnsi"/>
          <w:sz w:val="24"/>
          <w:szCs w:val="24"/>
        </w:rPr>
      </w:pPr>
      <w:r w:rsidRPr="00534671">
        <w:rPr>
          <w:rFonts w:asciiTheme="majorHAnsi" w:hAnsiTheme="majorHAnsi" w:cstheme="majorHAnsi"/>
          <w:sz w:val="24"/>
          <w:szCs w:val="24"/>
        </w:rPr>
        <w:t>Para cursos quadrimestrais, a lógica é semelhante: 12 semanas de aula por período (inclusive sábados), levam a 72 dias de atividades pedagógicas que, nos três quadrimestres, originam 216 dias letivos. Os feriados são compensados por dias corridos ao final das 12 semanas, o que perfaz um período maior. A carga horária por aula pode ser considerada a mesma, já que depende da disponibilidade de tempo ao longo do dia, o que pode originar 240 horas por período ou 720 horas/ano.</w:t>
      </w:r>
    </w:p>
    <w:p w14:paraId="5CE09655" w14:textId="38813CA8" w:rsidR="00EE3346" w:rsidRPr="00534671" w:rsidRDefault="00EE3346" w:rsidP="00534671">
      <w:pPr>
        <w:tabs>
          <w:tab w:val="clear" w:pos="1615"/>
        </w:tabs>
        <w:spacing w:line="360" w:lineRule="auto"/>
        <w:ind w:firstLine="709"/>
        <w:jc w:val="both"/>
        <w:rPr>
          <w:rFonts w:asciiTheme="majorHAnsi" w:hAnsiTheme="majorHAnsi" w:cstheme="majorHAnsi"/>
          <w:sz w:val="24"/>
          <w:szCs w:val="24"/>
        </w:rPr>
      </w:pPr>
      <w:r w:rsidRPr="00534671">
        <w:rPr>
          <w:rFonts w:asciiTheme="majorHAnsi" w:hAnsiTheme="majorHAnsi" w:cstheme="majorHAnsi"/>
          <w:sz w:val="24"/>
          <w:szCs w:val="24"/>
        </w:rPr>
        <w:t>A forma de integralização semestral, sem lançar mão de qualquer percentual EaD, permite a realização de 400 horas semestrais ou de 800 horas anuais para cursos desenvolvidos em período integral, diurno ou noturno. Isso resulta em um período de integralização de três anos para cursos de 2.400 horas, quatro anos para 3.200 horas e cinco anos para até 4.000 horas de atividades. Esses períodos de integralização podem ser reduzidos em cursos de duração integral, como preveem algumas normatizações estaduais, desde que garantida a carga horária mínima estabelecida.</w:t>
      </w:r>
    </w:p>
    <w:p w14:paraId="2EF423DB" w14:textId="5100D0B2" w:rsidR="00EE3346" w:rsidRPr="00534671" w:rsidRDefault="00EE3346" w:rsidP="00534671">
      <w:pPr>
        <w:tabs>
          <w:tab w:val="clear" w:pos="1615"/>
        </w:tabs>
        <w:spacing w:line="360" w:lineRule="auto"/>
        <w:ind w:firstLine="709"/>
        <w:jc w:val="both"/>
        <w:rPr>
          <w:rFonts w:asciiTheme="majorHAnsi" w:hAnsiTheme="majorHAnsi" w:cstheme="majorHAnsi"/>
          <w:sz w:val="24"/>
          <w:szCs w:val="24"/>
        </w:rPr>
      </w:pPr>
      <w:r w:rsidRPr="00534671">
        <w:rPr>
          <w:rFonts w:asciiTheme="majorHAnsi" w:hAnsiTheme="majorHAnsi" w:cstheme="majorHAnsi"/>
          <w:sz w:val="24"/>
          <w:szCs w:val="24"/>
        </w:rPr>
        <w:t>A forma de integralização quadrimestral que, em princípio, oferece 720 horas/ano, pode ser acrescida de atividades que levem até a 900 horas anuais (20% de atividades EaD, por exemplo) e, com isso, também permitir os mesmos prazos de integralização, mesmo para cursos noturnos.</w:t>
      </w:r>
    </w:p>
    <w:p w14:paraId="67104E64" w14:textId="27532A70" w:rsidR="00EE3346" w:rsidRPr="00534671" w:rsidRDefault="00EE3346" w:rsidP="00534671">
      <w:pPr>
        <w:tabs>
          <w:tab w:val="clear" w:pos="1615"/>
        </w:tabs>
        <w:spacing w:line="360" w:lineRule="auto"/>
        <w:ind w:firstLine="709"/>
        <w:jc w:val="both"/>
        <w:rPr>
          <w:rFonts w:asciiTheme="majorHAnsi" w:hAnsiTheme="majorHAnsi" w:cstheme="majorHAnsi"/>
          <w:sz w:val="24"/>
          <w:szCs w:val="24"/>
        </w:rPr>
      </w:pPr>
      <w:r w:rsidRPr="00534671">
        <w:rPr>
          <w:rFonts w:asciiTheme="majorHAnsi" w:hAnsiTheme="majorHAnsi" w:cstheme="majorHAnsi"/>
          <w:sz w:val="24"/>
          <w:szCs w:val="24"/>
        </w:rPr>
        <w:t>Desse modo, a duração do período letivo (anual, semestral, quadrimestral etc.), não interfere na duração, em anos, dos cursos ofertados. Isso é definido pela quantidade de atividades diárias e pelo uso das atividades que o aluno pode e deve desenvolver de forma autônoma.</w:t>
      </w:r>
    </w:p>
    <w:p w14:paraId="779C3741" w14:textId="50FCBB23" w:rsidR="00EE3346" w:rsidRPr="00516038" w:rsidRDefault="00534671" w:rsidP="00534671">
      <w:pPr>
        <w:pStyle w:val="Ttulo3"/>
        <w:numPr>
          <w:ilvl w:val="2"/>
          <w:numId w:val="1"/>
        </w:numPr>
        <w:ind w:left="709" w:hanging="709"/>
        <w:rPr>
          <w:rFonts w:asciiTheme="majorHAnsi" w:hAnsiTheme="majorHAnsi" w:cstheme="majorHAnsi"/>
        </w:rPr>
      </w:pPr>
      <w:bookmarkStart w:id="34" w:name="_Toc89878042"/>
      <w:bookmarkStart w:id="35" w:name="_Toc102134977"/>
      <w:r w:rsidRPr="00516038">
        <w:rPr>
          <w:rFonts w:asciiTheme="majorHAnsi" w:hAnsiTheme="majorHAnsi" w:cstheme="majorHAnsi"/>
        </w:rPr>
        <w:t>POLÍTICAS DE PERMANÊNCIA</w:t>
      </w:r>
      <w:bookmarkEnd w:id="34"/>
      <w:bookmarkEnd w:id="35"/>
    </w:p>
    <w:p w14:paraId="3F00AC27" w14:textId="3C8FC223" w:rsidR="00EE3346" w:rsidRPr="00534671" w:rsidRDefault="00EE3346" w:rsidP="00534671">
      <w:pPr>
        <w:tabs>
          <w:tab w:val="clear" w:pos="1615"/>
        </w:tabs>
        <w:spacing w:line="360" w:lineRule="auto"/>
        <w:ind w:firstLine="709"/>
        <w:jc w:val="both"/>
        <w:rPr>
          <w:rFonts w:asciiTheme="majorHAnsi" w:hAnsiTheme="majorHAnsi" w:cstheme="majorHAnsi"/>
          <w:sz w:val="24"/>
          <w:szCs w:val="24"/>
        </w:rPr>
      </w:pPr>
      <w:r w:rsidRPr="00534671">
        <w:rPr>
          <w:rFonts w:asciiTheme="majorHAnsi" w:hAnsiTheme="majorHAnsi" w:cstheme="majorHAnsi"/>
          <w:sz w:val="24"/>
          <w:szCs w:val="24"/>
        </w:rPr>
        <w:t>Obviamente, a abertura de vagas no período noturno e o estabelecimento de cotas para grupos socioeconomicamente menos favorecidos leva à necessidade de políticas voltadas à permanência desses estudantes, seja a partir de bolsas de estudo, de bolsas alimentação, de transporte e/ou de moradia. Tais concessões devem ser realizadas por setor administrativo específico de apoio ao estudante, que poderia envolver outras ações como as relações com instituições para o desenvolvimento de estágios voluntários (remunerados) ou curriculares, apoio psicopedagógico e outras ações que pudessem contribuir para a diminuição da evasão e para o aumento do sucesso dos estudantes ao longo de sua permanência na instituição.</w:t>
      </w:r>
    </w:p>
    <w:p w14:paraId="17D9319B" w14:textId="35F9FD8F" w:rsidR="00EE3346" w:rsidRDefault="00EE3346" w:rsidP="00534671">
      <w:pPr>
        <w:tabs>
          <w:tab w:val="clear" w:pos="1615"/>
        </w:tabs>
        <w:spacing w:line="360" w:lineRule="auto"/>
        <w:ind w:firstLine="709"/>
        <w:jc w:val="both"/>
        <w:rPr>
          <w:rFonts w:asciiTheme="majorHAnsi" w:hAnsiTheme="majorHAnsi" w:cstheme="majorHAnsi"/>
          <w:sz w:val="24"/>
          <w:szCs w:val="24"/>
        </w:rPr>
      </w:pPr>
      <w:r w:rsidRPr="00534671">
        <w:rPr>
          <w:rFonts w:asciiTheme="majorHAnsi" w:hAnsiTheme="majorHAnsi" w:cstheme="majorHAnsi"/>
          <w:sz w:val="24"/>
          <w:szCs w:val="24"/>
        </w:rPr>
        <w:t>As políticas voltadas à permanência são de tamanha importância que estão sendo desenvolvidas em trabalho a parte que, seguramente, trará informações e procedimentos que melhorarão a acolhida e que diminuirão a evasão dos estudantes, sejam eles oriundos de parcelas socioeconomicamente menos favorecidas ou que apresentem necessidades especiais, sejam as circunstâncias que levam à evasão de ordem física ou de natureza pedagógica.</w:t>
      </w:r>
    </w:p>
    <w:p w14:paraId="52812313" w14:textId="77777777" w:rsidR="00534671" w:rsidRPr="00534671" w:rsidRDefault="00534671" w:rsidP="00534671">
      <w:pPr>
        <w:tabs>
          <w:tab w:val="clear" w:pos="1615"/>
        </w:tabs>
        <w:spacing w:line="360" w:lineRule="auto"/>
        <w:ind w:firstLine="709"/>
        <w:jc w:val="both"/>
        <w:rPr>
          <w:rFonts w:asciiTheme="majorHAnsi" w:hAnsiTheme="majorHAnsi" w:cstheme="majorHAnsi"/>
          <w:sz w:val="24"/>
          <w:szCs w:val="24"/>
        </w:rPr>
      </w:pPr>
    </w:p>
    <w:p w14:paraId="0250CE32" w14:textId="77777777" w:rsidR="00EE3346" w:rsidRPr="00516038" w:rsidRDefault="00EE3346" w:rsidP="00534671">
      <w:pPr>
        <w:pStyle w:val="Ttulo2"/>
        <w:numPr>
          <w:ilvl w:val="1"/>
          <w:numId w:val="1"/>
        </w:numPr>
        <w:tabs>
          <w:tab w:val="clear" w:pos="1615"/>
        </w:tabs>
        <w:spacing w:before="0" w:after="0" w:line="360" w:lineRule="auto"/>
        <w:ind w:left="993"/>
        <w:rPr>
          <w:rFonts w:asciiTheme="majorHAnsi" w:hAnsiTheme="majorHAnsi" w:cstheme="majorHAnsi"/>
        </w:rPr>
      </w:pPr>
      <w:bookmarkStart w:id="36" w:name="_Toc89878043"/>
      <w:bookmarkStart w:id="37" w:name="_Toc102134978"/>
      <w:r w:rsidRPr="00516038">
        <w:rPr>
          <w:rFonts w:asciiTheme="majorHAnsi" w:hAnsiTheme="majorHAnsi" w:cstheme="majorHAnsi"/>
        </w:rPr>
        <w:t>CITAÇÕES BIBLIOGRÁFICAS E DA LEGISLAÇÃO</w:t>
      </w:r>
      <w:bookmarkEnd w:id="36"/>
      <w:bookmarkEnd w:id="37"/>
    </w:p>
    <w:p w14:paraId="71030131" w14:textId="77777777" w:rsidR="00EE3346" w:rsidRPr="00534671" w:rsidRDefault="00EE3346" w:rsidP="00516038">
      <w:pPr>
        <w:tabs>
          <w:tab w:val="clear" w:pos="1615"/>
        </w:tabs>
        <w:rPr>
          <w:rFonts w:asciiTheme="majorHAnsi" w:hAnsiTheme="majorHAnsi" w:cstheme="majorHAnsi"/>
          <w:sz w:val="24"/>
          <w:szCs w:val="24"/>
        </w:rPr>
      </w:pPr>
      <w:r w:rsidRPr="00534671">
        <w:rPr>
          <w:rFonts w:asciiTheme="majorHAnsi" w:hAnsiTheme="majorHAnsi" w:cstheme="majorHAnsi"/>
          <w:sz w:val="24"/>
          <w:szCs w:val="24"/>
        </w:rPr>
        <w:t xml:space="preserve">ALMEIDA FILHO, N.M. </w:t>
      </w:r>
      <w:r w:rsidRPr="00534671">
        <w:rPr>
          <w:rFonts w:asciiTheme="majorHAnsi" w:hAnsiTheme="majorHAnsi" w:cstheme="majorHAnsi"/>
          <w:b/>
          <w:sz w:val="24"/>
          <w:szCs w:val="24"/>
        </w:rPr>
        <w:t xml:space="preserve">Rede Anísio Teixeira de Colégios Universitários. </w:t>
      </w:r>
      <w:r w:rsidRPr="00534671">
        <w:rPr>
          <w:rFonts w:asciiTheme="majorHAnsi" w:hAnsiTheme="majorHAnsi" w:cstheme="majorHAnsi"/>
          <w:sz w:val="24"/>
          <w:szCs w:val="24"/>
        </w:rPr>
        <w:t>Colóquio sobre a implantação da UnDF. Cebraspe, 2021. Texto geral sobre o assunto, disponível no sitio da UFSB, em: https://ufsb.edu.br/ estudar-conosco/cuni.html.  Acesso em: 1 dez. 2021.</w:t>
      </w:r>
    </w:p>
    <w:p w14:paraId="1B51BB60" w14:textId="77777777" w:rsidR="00EE3346" w:rsidRPr="00534671" w:rsidRDefault="00EE3346" w:rsidP="00516038">
      <w:pPr>
        <w:tabs>
          <w:tab w:val="clear" w:pos="1615"/>
        </w:tabs>
        <w:rPr>
          <w:rFonts w:asciiTheme="majorHAnsi" w:hAnsiTheme="majorHAnsi" w:cstheme="majorHAnsi"/>
          <w:sz w:val="24"/>
          <w:szCs w:val="24"/>
        </w:rPr>
      </w:pPr>
      <w:bookmarkStart w:id="38" w:name="_Toc22826310"/>
      <w:r w:rsidRPr="00534671">
        <w:rPr>
          <w:rFonts w:asciiTheme="majorHAnsi" w:hAnsiTheme="majorHAnsi" w:cstheme="majorHAnsi"/>
          <w:sz w:val="24"/>
          <w:szCs w:val="24"/>
        </w:rPr>
        <w:t xml:space="preserve">BRASIL, </w:t>
      </w:r>
      <w:r w:rsidRPr="00534671">
        <w:rPr>
          <w:rFonts w:asciiTheme="majorHAnsi" w:hAnsiTheme="majorHAnsi" w:cstheme="majorHAnsi"/>
          <w:b/>
          <w:sz w:val="24"/>
          <w:szCs w:val="24"/>
        </w:rPr>
        <w:t>Decreto 9.057, de 25 de maio de 2017</w:t>
      </w:r>
      <w:r w:rsidRPr="00534671">
        <w:rPr>
          <w:rFonts w:asciiTheme="majorHAnsi" w:hAnsiTheme="majorHAnsi" w:cstheme="majorHAnsi"/>
          <w:sz w:val="24"/>
          <w:szCs w:val="24"/>
        </w:rPr>
        <w:t>. Regulamenta o Art. 80 da Lei n. 9.394, de 20 de dezembro de 1996. Disponível em: http://www.planalto.gov.br/ccivil_03/_ato2015-2018/2017/decreto/d9057.htm. Acesso em: 6 nov. 2021.</w:t>
      </w:r>
    </w:p>
    <w:p w14:paraId="298E251F" w14:textId="77777777" w:rsidR="00EE3346" w:rsidRPr="00534671" w:rsidRDefault="00EE3346" w:rsidP="00516038">
      <w:pPr>
        <w:tabs>
          <w:tab w:val="clear" w:pos="1615"/>
        </w:tabs>
        <w:rPr>
          <w:rFonts w:asciiTheme="majorHAnsi" w:hAnsiTheme="majorHAnsi" w:cstheme="majorHAnsi"/>
          <w:sz w:val="24"/>
          <w:szCs w:val="24"/>
        </w:rPr>
      </w:pPr>
      <w:r w:rsidRPr="00534671">
        <w:rPr>
          <w:rFonts w:asciiTheme="majorHAnsi" w:hAnsiTheme="majorHAnsi" w:cstheme="majorHAnsi"/>
          <w:sz w:val="24"/>
          <w:szCs w:val="24"/>
        </w:rPr>
        <w:t xml:space="preserve">BRASIL. </w:t>
      </w:r>
      <w:r w:rsidRPr="00534671">
        <w:rPr>
          <w:rFonts w:asciiTheme="majorHAnsi" w:hAnsiTheme="majorHAnsi" w:cstheme="majorHAnsi"/>
          <w:b/>
          <w:sz w:val="24"/>
          <w:szCs w:val="24"/>
        </w:rPr>
        <w:t>Lei n. 9.394, de 20 de dezembro de 1996.</w:t>
      </w:r>
      <w:r w:rsidRPr="00534671">
        <w:rPr>
          <w:rFonts w:asciiTheme="majorHAnsi" w:hAnsiTheme="majorHAnsi" w:cstheme="majorHAnsi"/>
          <w:sz w:val="24"/>
          <w:szCs w:val="24"/>
        </w:rPr>
        <w:t xml:space="preserve"> Estabelece as diretrizes e bases da educação nacional. Disponível em: http://www.planalto.gov.br/ccivil_03/leis/l9394.htm. Acesso em: 6 nov. 2021.</w:t>
      </w:r>
    </w:p>
    <w:p w14:paraId="4D32E888" w14:textId="77777777" w:rsidR="00EE3346" w:rsidRPr="00534671" w:rsidRDefault="00EE3346" w:rsidP="00516038">
      <w:pPr>
        <w:tabs>
          <w:tab w:val="clear" w:pos="1615"/>
        </w:tabs>
        <w:rPr>
          <w:rFonts w:asciiTheme="majorHAnsi" w:hAnsiTheme="majorHAnsi" w:cstheme="majorHAnsi"/>
          <w:sz w:val="24"/>
          <w:szCs w:val="24"/>
        </w:rPr>
      </w:pPr>
      <w:r w:rsidRPr="00534671">
        <w:rPr>
          <w:rFonts w:asciiTheme="majorHAnsi" w:hAnsiTheme="majorHAnsi" w:cstheme="majorHAnsi"/>
          <w:sz w:val="24"/>
          <w:szCs w:val="24"/>
        </w:rPr>
        <w:t xml:space="preserve">BRASIL. </w:t>
      </w:r>
      <w:r w:rsidRPr="00534671">
        <w:rPr>
          <w:rFonts w:asciiTheme="majorHAnsi" w:hAnsiTheme="majorHAnsi" w:cstheme="majorHAnsi"/>
          <w:b/>
          <w:sz w:val="24"/>
          <w:szCs w:val="24"/>
        </w:rPr>
        <w:t>Lei n. 13.005, de 25 de junho de 2014.</w:t>
      </w:r>
      <w:r w:rsidRPr="00534671">
        <w:rPr>
          <w:rFonts w:asciiTheme="majorHAnsi" w:hAnsiTheme="majorHAnsi" w:cstheme="majorHAnsi"/>
          <w:sz w:val="24"/>
          <w:szCs w:val="24"/>
        </w:rPr>
        <w:t xml:space="preserve"> Aprova o Plano Nacional de Educação – PNE e dá outras providências. Disponível em: http://www.planalto.gov.br/ccivil_03/_ato2011-2014/2014/lei/l13005.htm. Acesso em: 10 nov. 2021.</w:t>
      </w:r>
    </w:p>
    <w:p w14:paraId="350F942E" w14:textId="77777777" w:rsidR="00EE3346" w:rsidRPr="00534671" w:rsidRDefault="00EE3346" w:rsidP="00516038">
      <w:pPr>
        <w:tabs>
          <w:tab w:val="clear" w:pos="1615"/>
        </w:tabs>
        <w:rPr>
          <w:rFonts w:asciiTheme="majorHAnsi" w:hAnsiTheme="majorHAnsi" w:cstheme="majorHAnsi"/>
          <w:sz w:val="24"/>
          <w:szCs w:val="24"/>
        </w:rPr>
      </w:pPr>
      <w:r w:rsidRPr="00534671">
        <w:rPr>
          <w:rFonts w:asciiTheme="majorHAnsi" w:hAnsiTheme="majorHAnsi" w:cstheme="majorHAnsi"/>
          <w:sz w:val="24"/>
          <w:szCs w:val="24"/>
        </w:rPr>
        <w:t xml:space="preserve">CAPES – Coordenação de Aperfeiçoamento de Pessoal de Nível Superior – </w:t>
      </w:r>
      <w:r w:rsidRPr="00534671">
        <w:rPr>
          <w:rFonts w:asciiTheme="majorHAnsi" w:hAnsiTheme="majorHAnsi" w:cstheme="majorHAnsi"/>
          <w:b/>
          <w:sz w:val="24"/>
          <w:szCs w:val="24"/>
        </w:rPr>
        <w:t xml:space="preserve">Plataforma Sucupira. </w:t>
      </w:r>
      <w:r w:rsidRPr="00534671">
        <w:rPr>
          <w:rFonts w:asciiTheme="majorHAnsi" w:hAnsiTheme="majorHAnsi" w:cstheme="majorHAnsi"/>
          <w:sz w:val="24"/>
          <w:szCs w:val="24"/>
        </w:rPr>
        <w:t>Disponível em: https://sucupira.capes.gov.br/sucupira/public/consultas/coleta/programa/quantitativos/ quantitativoPrograma.jsf?areaAvaliacao=0&amp;cdRegiao=5&amp;sgUf=DF&amp;ies=339291. Acesso em: 6 nov. 2021.</w:t>
      </w:r>
    </w:p>
    <w:p w14:paraId="31B47C55" w14:textId="77777777" w:rsidR="00EE3346" w:rsidRPr="00534671" w:rsidRDefault="00EE3346" w:rsidP="00516038">
      <w:pPr>
        <w:tabs>
          <w:tab w:val="clear" w:pos="1615"/>
        </w:tabs>
        <w:rPr>
          <w:rFonts w:asciiTheme="majorHAnsi" w:hAnsiTheme="majorHAnsi" w:cstheme="majorHAnsi"/>
          <w:sz w:val="24"/>
          <w:szCs w:val="24"/>
        </w:rPr>
      </w:pPr>
      <w:r w:rsidRPr="00534671">
        <w:rPr>
          <w:rFonts w:asciiTheme="majorHAnsi" w:hAnsiTheme="majorHAnsi" w:cstheme="majorHAnsi"/>
          <w:sz w:val="24"/>
          <w:szCs w:val="24"/>
        </w:rPr>
        <w:t xml:space="preserve">CEBRASPE – Centro Brasileiro de Pesquisa em Avaliação e Seleção e de Promoção de Eventos. </w:t>
      </w:r>
      <w:r w:rsidRPr="00534671">
        <w:rPr>
          <w:rFonts w:asciiTheme="majorHAnsi" w:hAnsiTheme="majorHAnsi" w:cstheme="majorHAnsi"/>
          <w:b/>
          <w:sz w:val="24"/>
          <w:szCs w:val="24"/>
        </w:rPr>
        <w:t xml:space="preserve">Curso de Especialização em Interdisciplinaridade em Metodologias Ativas. Disponível em: </w:t>
      </w:r>
      <w:hyperlink r:id="rId14" w:history="1">
        <w:r w:rsidRPr="00534671">
          <w:rPr>
            <w:rStyle w:val="Hyperlink"/>
            <w:rFonts w:asciiTheme="majorHAnsi" w:hAnsiTheme="majorHAnsi" w:cstheme="majorHAnsi"/>
            <w:color w:val="auto"/>
            <w:sz w:val="24"/>
            <w:szCs w:val="24"/>
          </w:rPr>
          <w:t>https://www.cebraspe.org</w:t>
        </w:r>
      </w:hyperlink>
      <w:r w:rsidRPr="00534671">
        <w:rPr>
          <w:rFonts w:asciiTheme="majorHAnsi" w:hAnsiTheme="majorHAnsi" w:cstheme="majorHAnsi"/>
          <w:sz w:val="24"/>
          <w:szCs w:val="24"/>
        </w:rPr>
        <w:t>. br/educacao/especializacao/. Acesso em: 23 jan. 2022.</w:t>
      </w:r>
    </w:p>
    <w:p w14:paraId="741297A0" w14:textId="77777777" w:rsidR="00EE3346" w:rsidRPr="00534671" w:rsidRDefault="00EE3346" w:rsidP="00516038">
      <w:pPr>
        <w:tabs>
          <w:tab w:val="clear" w:pos="1615"/>
        </w:tabs>
        <w:rPr>
          <w:rFonts w:asciiTheme="majorHAnsi" w:hAnsiTheme="majorHAnsi" w:cstheme="majorHAnsi"/>
          <w:sz w:val="24"/>
          <w:szCs w:val="24"/>
        </w:rPr>
      </w:pPr>
      <w:r w:rsidRPr="00534671">
        <w:rPr>
          <w:rFonts w:asciiTheme="majorHAnsi" w:hAnsiTheme="majorHAnsi" w:cstheme="majorHAnsi"/>
          <w:sz w:val="24"/>
          <w:szCs w:val="24"/>
        </w:rPr>
        <w:t xml:space="preserve">CEDF – Conselho de Educação do Distrito Federal. </w:t>
      </w:r>
      <w:r w:rsidRPr="00534671">
        <w:rPr>
          <w:rFonts w:asciiTheme="majorHAnsi" w:hAnsiTheme="majorHAnsi" w:cstheme="majorHAnsi"/>
          <w:b/>
          <w:sz w:val="24"/>
          <w:szCs w:val="24"/>
        </w:rPr>
        <w:t xml:space="preserve">Resolução n. 2, de 19 de setembro de 2017. </w:t>
      </w:r>
      <w:r w:rsidRPr="00534671">
        <w:rPr>
          <w:rFonts w:asciiTheme="majorHAnsi" w:hAnsiTheme="majorHAnsi" w:cstheme="majorHAnsi"/>
          <w:sz w:val="24"/>
          <w:szCs w:val="24"/>
        </w:rPr>
        <w:t>Estabelece normas para a Educação Superior no Sistema de Ensino do Distrito Federal. Disponível em: https://drive. google.com/file/d/12tmmbLA_b6KtyWTmAg2ejNFhtvRNJVMt/view. Acesso em: 6 nov. 2021.</w:t>
      </w:r>
    </w:p>
    <w:p w14:paraId="084FD1A9" w14:textId="77777777" w:rsidR="00EE3346" w:rsidRPr="00534671" w:rsidRDefault="00EE3346" w:rsidP="00516038">
      <w:pPr>
        <w:tabs>
          <w:tab w:val="clear" w:pos="1615"/>
        </w:tabs>
        <w:rPr>
          <w:rFonts w:asciiTheme="majorHAnsi" w:hAnsiTheme="majorHAnsi" w:cstheme="majorHAnsi"/>
          <w:sz w:val="24"/>
          <w:szCs w:val="24"/>
        </w:rPr>
      </w:pPr>
      <w:r w:rsidRPr="00534671">
        <w:rPr>
          <w:rFonts w:asciiTheme="majorHAnsi" w:hAnsiTheme="majorHAnsi" w:cstheme="majorHAnsi"/>
          <w:sz w:val="24"/>
          <w:szCs w:val="24"/>
        </w:rPr>
        <w:t xml:space="preserve">CNE – Conselho Nacional de Educação. </w:t>
      </w:r>
      <w:r w:rsidRPr="00534671">
        <w:rPr>
          <w:rFonts w:asciiTheme="majorHAnsi" w:hAnsiTheme="majorHAnsi" w:cstheme="majorHAnsi"/>
          <w:b/>
          <w:sz w:val="24"/>
          <w:szCs w:val="24"/>
        </w:rPr>
        <w:t>Parecer n. 29/2002, de 3 de dezembro de 2002.</w:t>
      </w:r>
      <w:r w:rsidRPr="00534671">
        <w:rPr>
          <w:rFonts w:asciiTheme="majorHAnsi" w:hAnsiTheme="majorHAnsi" w:cstheme="majorHAnsi"/>
          <w:sz w:val="24"/>
          <w:szCs w:val="24"/>
        </w:rPr>
        <w:t xml:space="preserve">  Diretrizes Curriculares Nacionais Gerais para a Educação Profissional de Nível Tecnológico. Disponível em: http://portal.mec.gov.br/cne/arquivos/pdf/cp29.pdf. Acesso em: 9 nov. 2021.</w:t>
      </w:r>
    </w:p>
    <w:p w14:paraId="792AEFAC" w14:textId="77777777" w:rsidR="00EE3346" w:rsidRPr="00534671" w:rsidRDefault="00EE3346" w:rsidP="00516038">
      <w:pPr>
        <w:tabs>
          <w:tab w:val="clear" w:pos="1615"/>
        </w:tabs>
        <w:rPr>
          <w:rFonts w:asciiTheme="majorHAnsi" w:hAnsiTheme="majorHAnsi" w:cstheme="majorHAnsi"/>
          <w:sz w:val="24"/>
          <w:szCs w:val="24"/>
        </w:rPr>
      </w:pPr>
      <w:r w:rsidRPr="00534671">
        <w:rPr>
          <w:rFonts w:asciiTheme="majorHAnsi" w:hAnsiTheme="majorHAnsi" w:cstheme="majorHAnsi"/>
          <w:sz w:val="24"/>
          <w:szCs w:val="24"/>
        </w:rPr>
        <w:t xml:space="preserve">CNE – Conselho Nacional de Educação. </w:t>
      </w:r>
      <w:r w:rsidRPr="00534671">
        <w:rPr>
          <w:rFonts w:asciiTheme="majorHAnsi" w:hAnsiTheme="majorHAnsi" w:cstheme="majorHAnsi"/>
          <w:b/>
          <w:sz w:val="24"/>
          <w:szCs w:val="24"/>
        </w:rPr>
        <w:t>Resolução n. 2, de 18 de junho de 2007.</w:t>
      </w:r>
      <w:r w:rsidRPr="00534671">
        <w:rPr>
          <w:rFonts w:asciiTheme="majorHAnsi" w:hAnsiTheme="majorHAnsi" w:cstheme="majorHAnsi"/>
          <w:sz w:val="24"/>
          <w:szCs w:val="24"/>
        </w:rPr>
        <w:t xml:space="preserve"> Dispõe sobre carga horária mínima e procedimentos relativos à integralização e duração dos cursos de graduação, bacharelados, na modalidade presencial. Disponível em http://portal.mec.gov.br/ dmdocuments/rces002_07.pdf. Acesso em: 9 nov. 2021.</w:t>
      </w:r>
    </w:p>
    <w:p w14:paraId="7F398AEC" w14:textId="77777777" w:rsidR="00EE3346" w:rsidRPr="00534671" w:rsidRDefault="00EE3346" w:rsidP="00516038">
      <w:pPr>
        <w:tabs>
          <w:tab w:val="clear" w:pos="1615"/>
        </w:tabs>
        <w:rPr>
          <w:rFonts w:asciiTheme="majorHAnsi" w:hAnsiTheme="majorHAnsi" w:cstheme="majorHAnsi"/>
          <w:sz w:val="24"/>
          <w:szCs w:val="24"/>
        </w:rPr>
      </w:pPr>
      <w:r w:rsidRPr="00534671">
        <w:rPr>
          <w:rFonts w:asciiTheme="majorHAnsi" w:hAnsiTheme="majorHAnsi" w:cstheme="majorHAnsi"/>
          <w:sz w:val="24"/>
          <w:szCs w:val="24"/>
        </w:rPr>
        <w:t xml:space="preserve">CNE – Conselho Nacional de Educação. </w:t>
      </w:r>
      <w:r w:rsidRPr="00534671">
        <w:rPr>
          <w:rFonts w:asciiTheme="majorHAnsi" w:hAnsiTheme="majorHAnsi" w:cstheme="majorHAnsi"/>
          <w:b/>
          <w:sz w:val="24"/>
          <w:szCs w:val="24"/>
        </w:rPr>
        <w:t>Resolução n. 4, de 6 de abril de 2009.</w:t>
      </w:r>
      <w:r w:rsidRPr="00534671">
        <w:rPr>
          <w:rFonts w:asciiTheme="majorHAnsi" w:hAnsiTheme="majorHAnsi" w:cstheme="majorHAnsi"/>
          <w:sz w:val="24"/>
          <w:szCs w:val="24"/>
        </w:rPr>
        <w:t xml:space="preserve"> Dispõe sobre carga horária mínima e procedimentos relativos à integralização e duração dos cursos de graduação em BioMedicina, Ciências Biológicas, Educação Física, Enfermagem, Farmácia, Fisioterapia, Fonoaudiologia, Nutrição e Terapia Ocupacional, bacharelados, na modalidade presencial. Disponível em http://portal.mec.gov.br/ dmdocuments/rces004_09.pdf. Acesso em: 9 nov. 2021.</w:t>
      </w:r>
    </w:p>
    <w:p w14:paraId="5D93803C" w14:textId="77777777" w:rsidR="00EE3346" w:rsidRPr="00534671" w:rsidRDefault="00EE3346" w:rsidP="00516038">
      <w:pPr>
        <w:tabs>
          <w:tab w:val="clear" w:pos="1615"/>
        </w:tabs>
        <w:rPr>
          <w:rFonts w:asciiTheme="majorHAnsi" w:hAnsiTheme="majorHAnsi" w:cstheme="majorHAnsi"/>
          <w:sz w:val="24"/>
          <w:szCs w:val="24"/>
        </w:rPr>
      </w:pPr>
      <w:r w:rsidRPr="00534671">
        <w:rPr>
          <w:rFonts w:asciiTheme="majorHAnsi" w:hAnsiTheme="majorHAnsi" w:cstheme="majorHAnsi"/>
          <w:sz w:val="24"/>
          <w:szCs w:val="24"/>
        </w:rPr>
        <w:t xml:space="preserve">CNE – Conselho Nacional de Educação. </w:t>
      </w:r>
      <w:r w:rsidRPr="00534671">
        <w:rPr>
          <w:rFonts w:asciiTheme="majorHAnsi" w:hAnsiTheme="majorHAnsi" w:cstheme="majorHAnsi"/>
          <w:b/>
          <w:sz w:val="24"/>
          <w:szCs w:val="24"/>
        </w:rPr>
        <w:t xml:space="preserve">Resolução n. 5, de 16 de novembro de 2016. </w:t>
      </w:r>
      <w:r w:rsidRPr="00534671">
        <w:rPr>
          <w:rFonts w:asciiTheme="majorHAnsi" w:hAnsiTheme="majorHAnsi" w:cstheme="majorHAnsi"/>
          <w:sz w:val="24"/>
          <w:szCs w:val="24"/>
        </w:rPr>
        <w:t xml:space="preserve">Institui as Diretrizes Curriculares Nacionais para os cursos de graduação na área da Computação, abrangendo os cursos de bacharelado em Ciência da Computação, em Sistemas de Informação, em Engenharia de Computação, em Engenharia de Software e de licenciatura em Computação, e dá outras providências. Disponível em: http://portal.mec.gov.br/index.php?option=com_docman&amp;view=download&amp;alias=52101-rces005-16-pdf&amp;category_slug=novembro-2016-pdf&amp;Itemid=30192. Acesso em: 11 nov, 2021. </w:t>
      </w:r>
    </w:p>
    <w:p w14:paraId="7EAB6B6A" w14:textId="77777777" w:rsidR="00EE3346" w:rsidRPr="00534671" w:rsidRDefault="00EE3346" w:rsidP="00516038">
      <w:pPr>
        <w:tabs>
          <w:tab w:val="clear" w:pos="1615"/>
        </w:tabs>
        <w:rPr>
          <w:rFonts w:asciiTheme="majorHAnsi" w:hAnsiTheme="majorHAnsi" w:cstheme="majorHAnsi"/>
          <w:sz w:val="24"/>
          <w:szCs w:val="24"/>
        </w:rPr>
      </w:pPr>
      <w:r w:rsidRPr="00534671">
        <w:rPr>
          <w:rFonts w:asciiTheme="majorHAnsi" w:hAnsiTheme="majorHAnsi" w:cstheme="majorHAnsi"/>
          <w:sz w:val="24"/>
          <w:szCs w:val="24"/>
        </w:rPr>
        <w:t xml:space="preserve">CNE – Conselho Nacional de Educação. </w:t>
      </w:r>
      <w:r w:rsidRPr="00534671">
        <w:rPr>
          <w:rFonts w:asciiTheme="majorHAnsi" w:hAnsiTheme="majorHAnsi" w:cstheme="majorHAnsi"/>
          <w:b/>
          <w:sz w:val="24"/>
          <w:szCs w:val="24"/>
        </w:rPr>
        <w:t xml:space="preserve">Resolução n. 2, de 24 de abril de 2019. </w:t>
      </w:r>
      <w:r w:rsidRPr="00534671">
        <w:rPr>
          <w:rFonts w:asciiTheme="majorHAnsi" w:hAnsiTheme="majorHAnsi" w:cstheme="majorHAnsi"/>
          <w:sz w:val="24"/>
          <w:szCs w:val="24"/>
        </w:rPr>
        <w:t xml:space="preserve">Institui as Diretrizes Curriculares Nacionais do Curso de Graduação em Engenharia. </w:t>
      </w:r>
      <w:r w:rsidRPr="00534671">
        <w:rPr>
          <w:rFonts w:asciiTheme="majorHAnsi" w:hAnsiTheme="majorHAnsi" w:cstheme="majorHAnsi"/>
          <w:sz w:val="24"/>
          <w:szCs w:val="24"/>
          <w:lang w:val="en-GB"/>
        </w:rPr>
        <w:t xml:space="preserve">Disponível em: http://portal.mec.gov.br/ index.php?option=com_docman&amp;view=download&amp;alias=112681-rces002-19&amp;category_slug=abril-2019-pdf&amp;Itemid=30192. </w:t>
      </w:r>
      <w:r w:rsidRPr="00534671">
        <w:rPr>
          <w:rFonts w:asciiTheme="majorHAnsi" w:hAnsiTheme="majorHAnsi" w:cstheme="majorHAnsi"/>
          <w:sz w:val="24"/>
          <w:szCs w:val="24"/>
        </w:rPr>
        <w:t>Acesso em: 9 nov. 2021.</w:t>
      </w:r>
    </w:p>
    <w:p w14:paraId="1144B7BF" w14:textId="77777777" w:rsidR="00EE3346" w:rsidRPr="00534671" w:rsidRDefault="00EE3346" w:rsidP="00516038">
      <w:pPr>
        <w:tabs>
          <w:tab w:val="clear" w:pos="1615"/>
        </w:tabs>
        <w:rPr>
          <w:rFonts w:asciiTheme="majorHAnsi" w:hAnsiTheme="majorHAnsi" w:cstheme="majorHAnsi"/>
          <w:sz w:val="24"/>
          <w:szCs w:val="24"/>
        </w:rPr>
      </w:pPr>
      <w:r w:rsidRPr="00534671">
        <w:rPr>
          <w:rFonts w:asciiTheme="majorHAnsi" w:hAnsiTheme="majorHAnsi" w:cstheme="majorHAnsi"/>
          <w:sz w:val="24"/>
          <w:szCs w:val="24"/>
        </w:rPr>
        <w:t xml:space="preserve">CORTELAZZO, A.L. Oferta de vagas remanescentes como política institucional para a remediação da ociosidade e do abandono escolar. </w:t>
      </w:r>
      <w:r w:rsidRPr="00534671">
        <w:rPr>
          <w:rFonts w:asciiTheme="majorHAnsi" w:hAnsiTheme="majorHAnsi" w:cstheme="majorHAnsi"/>
          <w:b/>
          <w:sz w:val="24"/>
          <w:szCs w:val="24"/>
        </w:rPr>
        <w:t>VIII CLABES, Panamá</w:t>
      </w:r>
      <w:r w:rsidRPr="00534671">
        <w:rPr>
          <w:rFonts w:asciiTheme="majorHAnsi" w:hAnsiTheme="majorHAnsi" w:cstheme="majorHAnsi"/>
          <w:sz w:val="24"/>
          <w:szCs w:val="24"/>
        </w:rPr>
        <w:t xml:space="preserve">, 2018. Disponível em </w:t>
      </w:r>
      <w:r w:rsidRPr="00534671">
        <w:rPr>
          <w:rFonts w:asciiTheme="majorHAnsi" w:hAnsiTheme="majorHAnsi" w:cstheme="majorHAnsi"/>
          <w:sz w:val="24"/>
          <w:szCs w:val="24"/>
          <w:shd w:val="clear" w:color="auto" w:fill="FFFFFF"/>
        </w:rPr>
        <w:t>https://revistas.utp.ac.pa/ index.php/clabes/Article/view/2047. Acesso em: 10 nov. 2021.</w:t>
      </w:r>
    </w:p>
    <w:p w14:paraId="1449E624" w14:textId="77777777" w:rsidR="00EE3346" w:rsidRPr="00534671" w:rsidRDefault="00EE3346" w:rsidP="00516038">
      <w:pPr>
        <w:tabs>
          <w:tab w:val="clear" w:pos="1615"/>
        </w:tabs>
        <w:rPr>
          <w:rFonts w:asciiTheme="majorHAnsi" w:hAnsiTheme="majorHAnsi" w:cstheme="majorHAnsi"/>
          <w:sz w:val="24"/>
          <w:szCs w:val="24"/>
        </w:rPr>
      </w:pPr>
      <w:r w:rsidRPr="00534671">
        <w:rPr>
          <w:rFonts w:asciiTheme="majorHAnsi" w:hAnsiTheme="majorHAnsi" w:cstheme="majorHAnsi"/>
          <w:sz w:val="24"/>
          <w:szCs w:val="24"/>
        </w:rPr>
        <w:t xml:space="preserve">CORTELAZZO, A.L.; FIALA, D.A.S.; PIVA JR., D.; PANISSON, L.; RODRIGUES, M.R.J.B. </w:t>
      </w:r>
      <w:r w:rsidRPr="00534671">
        <w:rPr>
          <w:rFonts w:asciiTheme="majorHAnsi" w:hAnsiTheme="majorHAnsi" w:cstheme="majorHAnsi"/>
          <w:b/>
          <w:bCs/>
          <w:sz w:val="24"/>
          <w:szCs w:val="24"/>
        </w:rPr>
        <w:t>Metodologias Ativas e Personalizadas de Aprendizagem: Para refinar seu cardápio metodológico</w:t>
      </w:r>
      <w:r w:rsidRPr="00534671">
        <w:rPr>
          <w:rFonts w:asciiTheme="majorHAnsi" w:hAnsiTheme="majorHAnsi" w:cstheme="majorHAnsi"/>
          <w:sz w:val="24"/>
          <w:szCs w:val="24"/>
        </w:rPr>
        <w:t>. Rio de Janeiro, Alta Books, 2018.</w:t>
      </w:r>
    </w:p>
    <w:p w14:paraId="720EBF0D" w14:textId="77777777" w:rsidR="00EE3346" w:rsidRPr="00534671" w:rsidRDefault="00EE3346" w:rsidP="00516038">
      <w:pPr>
        <w:tabs>
          <w:tab w:val="clear" w:pos="1615"/>
        </w:tabs>
        <w:rPr>
          <w:rFonts w:asciiTheme="majorHAnsi" w:hAnsiTheme="majorHAnsi" w:cstheme="majorHAnsi"/>
          <w:sz w:val="24"/>
          <w:szCs w:val="24"/>
        </w:rPr>
      </w:pPr>
      <w:r w:rsidRPr="00534671">
        <w:rPr>
          <w:rFonts w:asciiTheme="majorHAnsi" w:hAnsiTheme="majorHAnsi" w:cstheme="majorHAnsi"/>
          <w:sz w:val="24"/>
          <w:szCs w:val="24"/>
        </w:rPr>
        <w:t xml:space="preserve">CUNHA, M.I.; BALBACHEVSKY, E.; MOTA, R.; SOUSA, J.V.de. </w:t>
      </w:r>
      <w:r w:rsidRPr="00534671">
        <w:rPr>
          <w:rFonts w:asciiTheme="majorHAnsi" w:hAnsiTheme="majorHAnsi" w:cstheme="majorHAnsi"/>
          <w:b/>
          <w:sz w:val="24"/>
          <w:szCs w:val="24"/>
        </w:rPr>
        <w:t>Mesa 4. Arquiteturas acadêmicas da Educação Superior, do Seminário Universidade do Distrito Federal Professor Jorge Amaury Maia Nunes: do projeto à criação.</w:t>
      </w:r>
      <w:r w:rsidRPr="00534671">
        <w:rPr>
          <w:rFonts w:asciiTheme="majorHAnsi" w:hAnsiTheme="majorHAnsi" w:cstheme="majorHAnsi"/>
          <w:sz w:val="24"/>
          <w:szCs w:val="24"/>
        </w:rPr>
        <w:t xml:space="preserve"> Disponível em: https://www.youtube.com/watch?v=Hdq16kjZhsc, das 4h53min às 7h28min. Acesso em: 23 dez. 2021.</w:t>
      </w:r>
    </w:p>
    <w:p w14:paraId="3AC45CF8" w14:textId="77777777" w:rsidR="00EE3346" w:rsidRPr="00534671" w:rsidRDefault="00EE3346" w:rsidP="00516038">
      <w:pPr>
        <w:tabs>
          <w:tab w:val="clear" w:pos="1615"/>
        </w:tabs>
        <w:rPr>
          <w:rFonts w:asciiTheme="majorHAnsi" w:hAnsiTheme="majorHAnsi" w:cstheme="majorHAnsi"/>
          <w:sz w:val="24"/>
          <w:szCs w:val="24"/>
        </w:rPr>
      </w:pPr>
      <w:r w:rsidRPr="00534671">
        <w:rPr>
          <w:rFonts w:asciiTheme="majorHAnsi" w:hAnsiTheme="majorHAnsi" w:cstheme="majorHAnsi"/>
          <w:sz w:val="24"/>
          <w:szCs w:val="24"/>
        </w:rPr>
        <w:t xml:space="preserve">DISTRITO FEDERAL, 2021a. </w:t>
      </w:r>
      <w:r w:rsidRPr="00534671">
        <w:rPr>
          <w:rFonts w:asciiTheme="majorHAnsi" w:hAnsiTheme="majorHAnsi" w:cstheme="majorHAnsi"/>
          <w:b/>
          <w:sz w:val="24"/>
          <w:szCs w:val="24"/>
        </w:rPr>
        <w:t>Lei Complementar n. 987, de 26 de julho de 2021</w:t>
      </w:r>
      <w:r w:rsidRPr="00534671">
        <w:rPr>
          <w:rFonts w:asciiTheme="majorHAnsi" w:hAnsiTheme="majorHAnsi" w:cstheme="majorHAnsi"/>
          <w:sz w:val="24"/>
          <w:szCs w:val="24"/>
        </w:rPr>
        <w:t>. Autoriza a criação e define as áreas de atuação da Universidade do Distrito Federal – UnDF e dá outras providências. Disponível em: http://www.tc.df.gov.br/ sinj/Norma/d63441567ac346e3bb12c2ac68f43b7b/LC_987_2021.html. Acesso em: 6 nov. 2021.</w:t>
      </w:r>
    </w:p>
    <w:p w14:paraId="1A2F6AB1" w14:textId="77777777" w:rsidR="00EE3346" w:rsidRPr="00534671" w:rsidRDefault="00EE3346" w:rsidP="00516038">
      <w:pPr>
        <w:tabs>
          <w:tab w:val="clear" w:pos="1615"/>
        </w:tabs>
        <w:rPr>
          <w:rFonts w:asciiTheme="majorHAnsi" w:hAnsiTheme="majorHAnsi" w:cstheme="majorHAnsi"/>
          <w:sz w:val="24"/>
          <w:szCs w:val="24"/>
        </w:rPr>
      </w:pPr>
      <w:r w:rsidRPr="00534671">
        <w:rPr>
          <w:rFonts w:asciiTheme="majorHAnsi" w:hAnsiTheme="majorHAnsi" w:cstheme="majorHAnsi"/>
          <w:sz w:val="24"/>
          <w:szCs w:val="24"/>
        </w:rPr>
        <w:t xml:space="preserve">DISTRITO FEDERAL, 2021b. </w:t>
      </w:r>
      <w:r w:rsidRPr="00534671">
        <w:rPr>
          <w:rFonts w:asciiTheme="majorHAnsi" w:hAnsiTheme="majorHAnsi" w:cstheme="majorHAnsi"/>
          <w:b/>
          <w:sz w:val="24"/>
          <w:szCs w:val="24"/>
        </w:rPr>
        <w:t>Lei Orgânica do Distrito Federal</w:t>
      </w:r>
      <w:r w:rsidRPr="00534671">
        <w:rPr>
          <w:rFonts w:asciiTheme="majorHAnsi" w:hAnsiTheme="majorHAnsi" w:cstheme="majorHAnsi"/>
          <w:sz w:val="24"/>
          <w:szCs w:val="24"/>
        </w:rPr>
        <w:t>, atualizada com todas as emendas aprovadas até 2020. Disponível em: http://www.fazenda.df.gov.br/aplicacoes/legislacao/legislacao/ TelaSaidaDocumento.cfm? txtNumero=0&amp;txtAno=0&amp;txtTipo=290&amp;txtPArte=. Acesso em: 19 nov. 2021.</w:t>
      </w:r>
    </w:p>
    <w:p w14:paraId="281CBE8D" w14:textId="77777777" w:rsidR="00EE3346" w:rsidRPr="00534671" w:rsidRDefault="00EE3346" w:rsidP="00516038">
      <w:pPr>
        <w:tabs>
          <w:tab w:val="clear" w:pos="1615"/>
        </w:tabs>
        <w:rPr>
          <w:rFonts w:asciiTheme="majorHAnsi" w:hAnsiTheme="majorHAnsi" w:cstheme="majorHAnsi"/>
          <w:sz w:val="24"/>
          <w:szCs w:val="24"/>
        </w:rPr>
      </w:pPr>
      <w:r w:rsidRPr="00534671">
        <w:rPr>
          <w:rFonts w:asciiTheme="majorHAnsi" w:hAnsiTheme="majorHAnsi" w:cstheme="majorHAnsi"/>
          <w:sz w:val="24"/>
          <w:szCs w:val="24"/>
        </w:rPr>
        <w:t xml:space="preserve">DISTRITO FEDERAL, 2021c. </w:t>
      </w:r>
      <w:r w:rsidRPr="00534671">
        <w:rPr>
          <w:rFonts w:asciiTheme="majorHAnsi" w:hAnsiTheme="majorHAnsi" w:cstheme="majorHAnsi"/>
          <w:b/>
          <w:sz w:val="24"/>
          <w:szCs w:val="24"/>
        </w:rPr>
        <w:t>Decreto n. 42.333, de 26 de julho de 2021</w:t>
      </w:r>
      <w:r w:rsidRPr="00534671">
        <w:rPr>
          <w:rFonts w:asciiTheme="majorHAnsi" w:hAnsiTheme="majorHAnsi" w:cstheme="majorHAnsi"/>
          <w:sz w:val="24"/>
          <w:szCs w:val="24"/>
        </w:rPr>
        <w:t>. Institui a Universidade do Distrito Federal – UnDF e dá outras providências. Disponível em:  http://www.tc.df.gov.br/sinj/Norma/ dc1b76852bb043b59abb774a0ffac9d4/exec_dec_42333_2021.html#Art1. Acesso em: 6 nov. 2021.</w:t>
      </w:r>
    </w:p>
    <w:p w14:paraId="71C6EE2D" w14:textId="77777777" w:rsidR="00EE3346" w:rsidRPr="00534671" w:rsidRDefault="00EE3346" w:rsidP="00516038">
      <w:pPr>
        <w:tabs>
          <w:tab w:val="clear" w:pos="1615"/>
        </w:tabs>
        <w:rPr>
          <w:rFonts w:asciiTheme="majorHAnsi" w:hAnsiTheme="majorHAnsi" w:cstheme="majorHAnsi"/>
          <w:sz w:val="24"/>
          <w:szCs w:val="24"/>
        </w:rPr>
      </w:pPr>
      <w:r w:rsidRPr="00534671">
        <w:rPr>
          <w:rFonts w:asciiTheme="majorHAnsi" w:hAnsiTheme="majorHAnsi" w:cstheme="majorHAnsi"/>
          <w:sz w:val="24"/>
          <w:szCs w:val="24"/>
        </w:rPr>
        <w:t xml:space="preserve">ESCS – Escola Superior de Ciências da Saúde do Distrito Federal. </w:t>
      </w:r>
      <w:r w:rsidRPr="00534671">
        <w:rPr>
          <w:rFonts w:asciiTheme="majorHAnsi" w:hAnsiTheme="majorHAnsi" w:cstheme="majorHAnsi"/>
          <w:b/>
          <w:sz w:val="24"/>
          <w:szCs w:val="24"/>
        </w:rPr>
        <w:t>Sítio Institucional</w:t>
      </w:r>
      <w:r w:rsidRPr="00534671">
        <w:rPr>
          <w:rFonts w:asciiTheme="majorHAnsi" w:hAnsiTheme="majorHAnsi" w:cstheme="majorHAnsi"/>
          <w:sz w:val="24"/>
          <w:szCs w:val="24"/>
        </w:rPr>
        <w:t>. Disponível em: http://www.escs. edu.br/. Acesso em: 8 nov. 2021.</w:t>
      </w:r>
    </w:p>
    <w:p w14:paraId="77AC3512" w14:textId="77777777" w:rsidR="00EE3346" w:rsidRPr="00534671" w:rsidRDefault="00EE3346" w:rsidP="00516038">
      <w:pPr>
        <w:tabs>
          <w:tab w:val="clear" w:pos="1615"/>
        </w:tabs>
        <w:rPr>
          <w:rFonts w:asciiTheme="majorHAnsi" w:hAnsiTheme="majorHAnsi" w:cstheme="majorHAnsi"/>
          <w:sz w:val="24"/>
          <w:szCs w:val="24"/>
        </w:rPr>
      </w:pPr>
      <w:r w:rsidRPr="00534671">
        <w:rPr>
          <w:rFonts w:asciiTheme="majorHAnsi" w:hAnsiTheme="majorHAnsi" w:cstheme="majorHAnsi"/>
          <w:sz w:val="24"/>
          <w:szCs w:val="24"/>
        </w:rPr>
        <w:t xml:space="preserve">FEPCS - Fundação de Ensino e Pesquisa em Ciências da Saúde. </w:t>
      </w:r>
      <w:r w:rsidRPr="00534671">
        <w:rPr>
          <w:rFonts w:asciiTheme="majorHAnsi" w:hAnsiTheme="majorHAnsi" w:cstheme="majorHAnsi"/>
          <w:b/>
          <w:sz w:val="24"/>
          <w:szCs w:val="24"/>
        </w:rPr>
        <w:t>Projeto Pedagógico do Curso de Graduação em Medicina da ESCS</w:t>
      </w:r>
      <w:r w:rsidRPr="00534671">
        <w:rPr>
          <w:rFonts w:asciiTheme="majorHAnsi" w:hAnsiTheme="majorHAnsi" w:cstheme="majorHAnsi"/>
          <w:sz w:val="24"/>
          <w:szCs w:val="24"/>
        </w:rPr>
        <w:t>, 2018a. 220 f., atualizado em 15/6/2021: il. Disponível em: http://www.escs.edu.br/ arquivos/PPCMedicina2018__3_.pdf. Acesso em: 7 nov. 2021.</w:t>
      </w:r>
    </w:p>
    <w:p w14:paraId="247CF624" w14:textId="77777777" w:rsidR="00EE3346" w:rsidRPr="00534671" w:rsidRDefault="00EE3346" w:rsidP="00516038">
      <w:pPr>
        <w:tabs>
          <w:tab w:val="clear" w:pos="1615"/>
        </w:tabs>
        <w:rPr>
          <w:rFonts w:asciiTheme="majorHAnsi" w:hAnsiTheme="majorHAnsi" w:cstheme="majorHAnsi"/>
          <w:sz w:val="24"/>
          <w:szCs w:val="24"/>
        </w:rPr>
      </w:pPr>
      <w:r w:rsidRPr="00534671">
        <w:rPr>
          <w:rFonts w:asciiTheme="majorHAnsi" w:hAnsiTheme="majorHAnsi" w:cstheme="majorHAnsi"/>
          <w:sz w:val="24"/>
          <w:szCs w:val="24"/>
        </w:rPr>
        <w:t xml:space="preserve">FEPCS - Fundação de Ensino e Pesquisa em Ciências da Saúde. </w:t>
      </w:r>
      <w:r w:rsidRPr="00534671">
        <w:rPr>
          <w:rFonts w:asciiTheme="majorHAnsi" w:hAnsiTheme="majorHAnsi" w:cstheme="majorHAnsi"/>
          <w:b/>
          <w:sz w:val="24"/>
          <w:szCs w:val="24"/>
        </w:rPr>
        <w:t>Projeto Pedagógico do Curso de Graduação em Enfermagem da ESCS</w:t>
      </w:r>
      <w:r w:rsidRPr="00534671">
        <w:rPr>
          <w:rFonts w:asciiTheme="majorHAnsi" w:hAnsiTheme="majorHAnsi" w:cstheme="majorHAnsi"/>
          <w:sz w:val="24"/>
          <w:szCs w:val="24"/>
        </w:rPr>
        <w:t>, 2018b. 98 f., atualizado em 23/3/2021/ Disponível em: http://www.escs.edu.br/ arquivos/PPC_FINAL_2018_com_matriz_de_2019_atualizada_em_23_03_2021____Curso_de_Graduacao_em_Enfermagem_ESCS.pdf. Acesso em: 7 nov. 2021.</w:t>
      </w:r>
    </w:p>
    <w:p w14:paraId="68FB8DA1" w14:textId="77777777" w:rsidR="00EE3346" w:rsidRPr="00534671" w:rsidRDefault="00EE3346" w:rsidP="00516038">
      <w:pPr>
        <w:tabs>
          <w:tab w:val="clear" w:pos="1615"/>
        </w:tabs>
        <w:rPr>
          <w:rFonts w:asciiTheme="majorHAnsi" w:hAnsiTheme="majorHAnsi" w:cstheme="majorHAnsi"/>
          <w:sz w:val="24"/>
          <w:szCs w:val="24"/>
        </w:rPr>
      </w:pPr>
      <w:r w:rsidRPr="00534671">
        <w:rPr>
          <w:rFonts w:asciiTheme="majorHAnsi" w:hAnsiTheme="majorHAnsi" w:cstheme="majorHAnsi"/>
          <w:sz w:val="24"/>
          <w:szCs w:val="24"/>
        </w:rPr>
        <w:t xml:space="preserve">FUNAB – Fundação Universidade Aberta do Distrito Federal. </w:t>
      </w:r>
      <w:r w:rsidRPr="00534671">
        <w:rPr>
          <w:rFonts w:asciiTheme="majorHAnsi" w:hAnsiTheme="majorHAnsi" w:cstheme="majorHAnsi"/>
          <w:b/>
          <w:sz w:val="24"/>
          <w:szCs w:val="24"/>
        </w:rPr>
        <w:t>Sítio Institucional.</w:t>
      </w:r>
      <w:r w:rsidRPr="00534671">
        <w:rPr>
          <w:rFonts w:asciiTheme="majorHAnsi" w:hAnsiTheme="majorHAnsi" w:cstheme="majorHAnsi"/>
          <w:sz w:val="24"/>
          <w:szCs w:val="24"/>
        </w:rPr>
        <w:t xml:space="preserve"> Disponível em: http://www.funab.se.df.gov.br/. Acesso em: 6 nov. 2021.</w:t>
      </w:r>
    </w:p>
    <w:p w14:paraId="15754F6E" w14:textId="77777777" w:rsidR="00EE3346" w:rsidRPr="00534671" w:rsidRDefault="00EE3346" w:rsidP="00516038">
      <w:pPr>
        <w:tabs>
          <w:tab w:val="clear" w:pos="1615"/>
        </w:tabs>
        <w:rPr>
          <w:rFonts w:asciiTheme="majorHAnsi" w:hAnsiTheme="majorHAnsi" w:cstheme="majorHAnsi"/>
          <w:sz w:val="24"/>
          <w:szCs w:val="24"/>
        </w:rPr>
      </w:pPr>
      <w:r w:rsidRPr="00534671">
        <w:rPr>
          <w:rFonts w:asciiTheme="majorHAnsi" w:hAnsiTheme="majorHAnsi" w:cstheme="majorHAnsi"/>
          <w:sz w:val="24"/>
          <w:szCs w:val="24"/>
        </w:rPr>
        <w:t xml:space="preserve">GRIBOSKI, C.M. </w:t>
      </w:r>
      <w:r w:rsidRPr="00534671">
        <w:rPr>
          <w:rFonts w:asciiTheme="majorHAnsi" w:hAnsiTheme="majorHAnsi" w:cstheme="majorHAnsi"/>
          <w:b/>
          <w:sz w:val="24"/>
          <w:szCs w:val="24"/>
        </w:rPr>
        <w:t>Estudos de Benchmarking para a orientação do projeto de criação da UnDF</w:t>
      </w:r>
      <w:r w:rsidRPr="00534671">
        <w:rPr>
          <w:rFonts w:asciiTheme="majorHAnsi" w:hAnsiTheme="majorHAnsi" w:cstheme="majorHAnsi"/>
          <w:sz w:val="24"/>
          <w:szCs w:val="24"/>
        </w:rPr>
        <w:t>. Relatório Técnico, CEBRASPE, 2021. Disponível em</w:t>
      </w:r>
      <w:bookmarkStart w:id="39" w:name="_GoBack"/>
      <w:bookmarkEnd w:id="39"/>
    </w:p>
    <w:p w14:paraId="5074DEB1" w14:textId="77777777" w:rsidR="00EE3346" w:rsidRPr="00534671" w:rsidRDefault="00EE3346" w:rsidP="00516038">
      <w:pPr>
        <w:tabs>
          <w:tab w:val="clear" w:pos="1615"/>
        </w:tabs>
        <w:autoSpaceDE w:val="0"/>
        <w:autoSpaceDN w:val="0"/>
        <w:adjustRightInd w:val="0"/>
        <w:rPr>
          <w:rFonts w:asciiTheme="majorHAnsi" w:hAnsiTheme="majorHAnsi" w:cstheme="majorHAnsi"/>
          <w:sz w:val="24"/>
          <w:szCs w:val="24"/>
        </w:rPr>
      </w:pPr>
      <w:r w:rsidRPr="00534671">
        <w:rPr>
          <w:rFonts w:asciiTheme="majorHAnsi" w:hAnsiTheme="majorHAnsi" w:cstheme="majorHAnsi"/>
          <w:sz w:val="24"/>
          <w:szCs w:val="24"/>
        </w:rPr>
        <w:t xml:space="preserve">HOED, R.M. Análise da evasão em cursos superiores: o caso da evasão em cursos superiores da área de computação. </w:t>
      </w:r>
      <w:r w:rsidRPr="00534671">
        <w:rPr>
          <w:rFonts w:asciiTheme="majorHAnsi" w:hAnsiTheme="majorHAnsi" w:cstheme="majorHAnsi"/>
          <w:b/>
          <w:sz w:val="24"/>
          <w:szCs w:val="24"/>
        </w:rPr>
        <w:t>Dissertação de Mestrado Profissional em Computação Aplicada</w:t>
      </w:r>
      <w:r w:rsidRPr="00534671">
        <w:rPr>
          <w:rFonts w:asciiTheme="majorHAnsi" w:hAnsiTheme="majorHAnsi" w:cstheme="majorHAnsi"/>
          <w:sz w:val="24"/>
          <w:szCs w:val="24"/>
        </w:rPr>
        <w:t>, Universidade de Brasília, DF, Brasil, 2016, 188 pp.</w:t>
      </w:r>
    </w:p>
    <w:p w14:paraId="2E8FFAD4" w14:textId="77777777" w:rsidR="00EE3346" w:rsidRPr="00534671" w:rsidRDefault="00EE3346" w:rsidP="00516038">
      <w:pPr>
        <w:tabs>
          <w:tab w:val="clear" w:pos="1615"/>
        </w:tabs>
        <w:rPr>
          <w:rFonts w:asciiTheme="majorHAnsi" w:hAnsiTheme="majorHAnsi" w:cstheme="majorHAnsi"/>
          <w:sz w:val="24"/>
          <w:szCs w:val="24"/>
        </w:rPr>
      </w:pPr>
      <w:r w:rsidRPr="00534671">
        <w:rPr>
          <w:rFonts w:asciiTheme="majorHAnsi" w:hAnsiTheme="majorHAnsi" w:cstheme="majorHAnsi"/>
          <w:sz w:val="24"/>
          <w:szCs w:val="24"/>
        </w:rPr>
        <w:t xml:space="preserve">INEP. Instituto Nacional de Estudos e Pesquisas Educacionais Anísio Teixeira. </w:t>
      </w:r>
      <w:r w:rsidRPr="00534671">
        <w:rPr>
          <w:rFonts w:asciiTheme="majorHAnsi" w:hAnsiTheme="majorHAnsi" w:cstheme="majorHAnsi"/>
          <w:b/>
          <w:sz w:val="24"/>
          <w:szCs w:val="24"/>
        </w:rPr>
        <w:t>Plano Nacional de Educação PNE 2014-2024 : Linha de Base</w:t>
      </w:r>
      <w:r w:rsidRPr="00534671">
        <w:rPr>
          <w:rFonts w:asciiTheme="majorHAnsi" w:hAnsiTheme="majorHAnsi" w:cstheme="majorHAnsi"/>
          <w:sz w:val="24"/>
          <w:szCs w:val="24"/>
        </w:rPr>
        <w:t>. – Brasília, DF : Inep, 2015. 404 p. Disponível em: http://portal.inep.gov.br/ documents/186968/485745/Plano+Nacional+de+Educa%C3%A7%C3%A3o+PNE+2014-2024++Linha+de+ Base/c2dd0faa-7227-40ee-a520-12c6fc77700f?version=1.1. Acesso em: 7 nov. 2021.</w:t>
      </w:r>
    </w:p>
    <w:p w14:paraId="64965847" w14:textId="77777777" w:rsidR="00EE3346" w:rsidRPr="00534671" w:rsidRDefault="00EE3346" w:rsidP="00516038">
      <w:pPr>
        <w:tabs>
          <w:tab w:val="clear" w:pos="1615"/>
        </w:tabs>
        <w:rPr>
          <w:rFonts w:asciiTheme="majorHAnsi" w:hAnsiTheme="majorHAnsi" w:cstheme="majorHAnsi"/>
          <w:sz w:val="24"/>
          <w:szCs w:val="24"/>
        </w:rPr>
      </w:pPr>
      <w:r w:rsidRPr="00534671">
        <w:rPr>
          <w:rFonts w:asciiTheme="majorHAnsi" w:hAnsiTheme="majorHAnsi" w:cstheme="majorHAnsi"/>
          <w:sz w:val="24"/>
          <w:szCs w:val="24"/>
        </w:rPr>
        <w:t xml:space="preserve">INEP. Instituto Nacional de Estudos e Pesquisas Educacionais Anísio Teixeira. </w:t>
      </w:r>
      <w:r w:rsidRPr="00534671">
        <w:rPr>
          <w:rFonts w:asciiTheme="majorHAnsi" w:hAnsiTheme="majorHAnsi" w:cstheme="majorHAnsi"/>
          <w:b/>
          <w:sz w:val="24"/>
          <w:szCs w:val="24"/>
        </w:rPr>
        <w:t xml:space="preserve">Sinopse Estatística da Educação Superior 2019 (on-line). </w:t>
      </w:r>
      <w:r w:rsidRPr="00534671">
        <w:rPr>
          <w:rFonts w:asciiTheme="majorHAnsi" w:hAnsiTheme="majorHAnsi" w:cstheme="majorHAnsi"/>
          <w:sz w:val="24"/>
          <w:szCs w:val="24"/>
        </w:rPr>
        <w:t>Brasília, INEP, 2020. Disponível em:  https://www.gov.br/inep/pt-br/areas-de-atuacao/pesquisas-estatisticas-e-indicadores/censo-da-educacao-superior/resultados. Acesso em: 8 nov. 2021.</w:t>
      </w:r>
    </w:p>
    <w:p w14:paraId="76C57DA5" w14:textId="77777777" w:rsidR="00EE3346" w:rsidRPr="00534671" w:rsidRDefault="00EE3346" w:rsidP="00516038">
      <w:pPr>
        <w:tabs>
          <w:tab w:val="clear" w:pos="1615"/>
        </w:tabs>
        <w:rPr>
          <w:rFonts w:asciiTheme="majorHAnsi" w:hAnsiTheme="majorHAnsi" w:cstheme="majorHAnsi"/>
          <w:sz w:val="24"/>
          <w:szCs w:val="24"/>
        </w:rPr>
      </w:pPr>
      <w:r w:rsidRPr="00534671">
        <w:rPr>
          <w:rFonts w:asciiTheme="majorHAnsi" w:hAnsiTheme="majorHAnsi" w:cstheme="majorHAnsi"/>
          <w:sz w:val="24"/>
          <w:szCs w:val="24"/>
        </w:rPr>
        <w:t xml:space="preserve">INEP. Instituto Nacional de Estudos e Pesquisas Educacionais Anísio Teixeira. 2021. </w:t>
      </w:r>
      <w:r w:rsidRPr="00534671">
        <w:rPr>
          <w:rFonts w:asciiTheme="majorHAnsi" w:hAnsiTheme="majorHAnsi" w:cstheme="majorHAnsi"/>
          <w:b/>
          <w:sz w:val="24"/>
          <w:szCs w:val="24"/>
        </w:rPr>
        <w:t>Painel de monitoramento do PNE.</w:t>
      </w:r>
      <w:r w:rsidRPr="00534671">
        <w:rPr>
          <w:rFonts w:asciiTheme="majorHAnsi" w:hAnsiTheme="majorHAnsi" w:cstheme="majorHAnsi"/>
          <w:sz w:val="24"/>
          <w:szCs w:val="24"/>
        </w:rPr>
        <w:t xml:space="preserve"> Disponível em: https://www.gov.br/inep/pt-br/acesso-a-informacao/dados-abertos/inep-data/painel-de-monitoramento-do-pne. Acesso em: 8 nov. 2021.</w:t>
      </w:r>
    </w:p>
    <w:p w14:paraId="11722BB0" w14:textId="77777777" w:rsidR="00EE3346" w:rsidRPr="00534671" w:rsidRDefault="00EE3346" w:rsidP="00516038">
      <w:pPr>
        <w:tabs>
          <w:tab w:val="clear" w:pos="1615"/>
          <w:tab w:val="left" w:pos="851"/>
        </w:tabs>
        <w:rPr>
          <w:rFonts w:asciiTheme="majorHAnsi" w:hAnsiTheme="majorHAnsi" w:cstheme="majorHAnsi"/>
          <w:sz w:val="24"/>
          <w:szCs w:val="24"/>
        </w:rPr>
      </w:pPr>
      <w:r w:rsidRPr="00534671">
        <w:rPr>
          <w:rFonts w:asciiTheme="majorHAnsi" w:hAnsiTheme="majorHAnsi" w:cstheme="majorHAnsi"/>
          <w:sz w:val="24"/>
          <w:szCs w:val="24"/>
        </w:rPr>
        <w:t xml:space="preserve">LIMA, F.S.; ZAGO, N. Evasão no Ensino Superior: Desafios Conceituais. </w:t>
      </w:r>
      <w:r w:rsidRPr="00534671">
        <w:rPr>
          <w:rFonts w:asciiTheme="majorHAnsi" w:hAnsiTheme="majorHAnsi" w:cstheme="majorHAnsi"/>
          <w:b/>
          <w:sz w:val="24"/>
          <w:szCs w:val="24"/>
        </w:rPr>
        <w:t>Congresos CLABES, VII, Córdoba, Argentina</w:t>
      </w:r>
      <w:r w:rsidRPr="00534671">
        <w:rPr>
          <w:rFonts w:asciiTheme="majorHAnsi" w:hAnsiTheme="majorHAnsi" w:cstheme="majorHAnsi"/>
          <w:sz w:val="24"/>
          <w:szCs w:val="24"/>
        </w:rPr>
        <w:t>. Disponível em http://revistas.utp.ac.pa/index.php/clabes/Article/view/ 1666/ 2402. Acesso em: 10 nov. 2021.</w:t>
      </w:r>
    </w:p>
    <w:p w14:paraId="6402C571" w14:textId="77777777" w:rsidR="00EE3346" w:rsidRPr="00534671" w:rsidRDefault="00EE3346" w:rsidP="00516038">
      <w:pPr>
        <w:tabs>
          <w:tab w:val="clear" w:pos="1615"/>
          <w:tab w:val="left" w:pos="851"/>
        </w:tabs>
        <w:rPr>
          <w:rFonts w:asciiTheme="majorHAnsi" w:hAnsiTheme="majorHAnsi" w:cstheme="majorHAnsi"/>
          <w:sz w:val="24"/>
          <w:szCs w:val="24"/>
          <w:lang w:val="en-GB"/>
        </w:rPr>
      </w:pPr>
      <w:r w:rsidRPr="00534671">
        <w:rPr>
          <w:rFonts w:asciiTheme="majorHAnsi" w:hAnsiTheme="majorHAnsi" w:cstheme="majorHAnsi"/>
          <w:sz w:val="24"/>
          <w:szCs w:val="24"/>
        </w:rPr>
        <w:t xml:space="preserve">MEC – Ministério da Educação, 2016. </w:t>
      </w:r>
      <w:r w:rsidRPr="00534671">
        <w:rPr>
          <w:rFonts w:asciiTheme="majorHAnsi" w:hAnsiTheme="majorHAnsi" w:cstheme="majorHAnsi"/>
          <w:b/>
          <w:sz w:val="24"/>
          <w:szCs w:val="24"/>
        </w:rPr>
        <w:t>Catálogo Nacional dos Cursos Superiores de Tecnologia.</w:t>
      </w:r>
      <w:r w:rsidRPr="00534671">
        <w:rPr>
          <w:rFonts w:asciiTheme="majorHAnsi" w:hAnsiTheme="majorHAnsi" w:cstheme="majorHAnsi"/>
          <w:sz w:val="24"/>
          <w:szCs w:val="24"/>
        </w:rPr>
        <w:t xml:space="preserve"> Disponível em: http://portal.mec.gov.br/index.php?option=com_docman&amp;view=download&amp;alias=98211-cncst-2016-a&amp;category_slug=outubro-2018-pdf-1&amp;Itemid=30192. </w:t>
      </w:r>
      <w:r w:rsidRPr="00534671">
        <w:rPr>
          <w:rFonts w:asciiTheme="majorHAnsi" w:hAnsiTheme="majorHAnsi" w:cstheme="majorHAnsi"/>
          <w:sz w:val="24"/>
          <w:szCs w:val="24"/>
          <w:lang w:val="en-GB"/>
        </w:rPr>
        <w:t>Acesso em: 27 dez. 2021.</w:t>
      </w:r>
    </w:p>
    <w:p w14:paraId="595D7D54" w14:textId="77777777" w:rsidR="00EE3346" w:rsidRPr="00534671" w:rsidRDefault="00EE3346" w:rsidP="00516038">
      <w:pPr>
        <w:pStyle w:val="Tit1"/>
        <w:widowControl w:val="0"/>
        <w:spacing w:before="240" w:after="240" w:line="240" w:lineRule="auto"/>
        <w:jc w:val="left"/>
        <w:rPr>
          <w:rFonts w:asciiTheme="majorHAnsi" w:eastAsiaTheme="minorHAnsi" w:hAnsiTheme="majorHAnsi" w:cstheme="majorHAnsi"/>
          <w:b w:val="0"/>
          <w:smallCaps w:val="0"/>
          <w:sz w:val="24"/>
          <w:szCs w:val="24"/>
        </w:rPr>
      </w:pPr>
      <w:r w:rsidRPr="00534671">
        <w:rPr>
          <w:rFonts w:asciiTheme="majorHAnsi" w:eastAsiaTheme="minorHAnsi" w:hAnsiTheme="majorHAnsi" w:cstheme="majorHAnsi"/>
          <w:b w:val="0"/>
          <w:smallCaps w:val="0"/>
          <w:sz w:val="24"/>
          <w:szCs w:val="24"/>
          <w:lang w:val="en-GB"/>
        </w:rPr>
        <w:t>PIERSON, L.; FROLICK, M.N.; CHEN, L. Emerging issues in IT certification</w:t>
      </w:r>
      <w:r w:rsidRPr="00534671">
        <w:rPr>
          <w:rFonts w:asciiTheme="majorHAnsi" w:eastAsiaTheme="minorHAnsi" w:hAnsiTheme="majorHAnsi" w:cstheme="majorHAnsi"/>
          <w:smallCaps w:val="0"/>
          <w:sz w:val="24"/>
          <w:szCs w:val="24"/>
          <w:lang w:val="en-GB"/>
        </w:rPr>
        <w:t xml:space="preserve">. </w:t>
      </w:r>
      <w:r w:rsidRPr="00534671">
        <w:rPr>
          <w:rFonts w:asciiTheme="majorHAnsi" w:eastAsiaTheme="minorHAnsi" w:hAnsiTheme="majorHAnsi" w:cstheme="majorHAnsi"/>
          <w:smallCaps w:val="0"/>
          <w:sz w:val="24"/>
          <w:szCs w:val="24"/>
        </w:rPr>
        <w:t>The Journal of Computer Information Systems</w:t>
      </w:r>
      <w:r w:rsidRPr="00534671">
        <w:rPr>
          <w:rFonts w:asciiTheme="majorHAnsi" w:eastAsiaTheme="minorHAnsi" w:hAnsiTheme="majorHAnsi" w:cstheme="majorHAnsi"/>
          <w:b w:val="0"/>
          <w:smallCaps w:val="0"/>
          <w:sz w:val="24"/>
          <w:szCs w:val="24"/>
        </w:rPr>
        <w:t>. v.42, n.1: p.17-20, 2001.</w:t>
      </w:r>
    </w:p>
    <w:p w14:paraId="729DF453" w14:textId="77777777" w:rsidR="00EE3346" w:rsidRPr="00534671" w:rsidRDefault="00EE3346" w:rsidP="00516038">
      <w:pPr>
        <w:tabs>
          <w:tab w:val="clear" w:pos="1615"/>
        </w:tabs>
        <w:rPr>
          <w:rFonts w:asciiTheme="majorHAnsi" w:hAnsiTheme="majorHAnsi" w:cstheme="majorHAnsi"/>
          <w:sz w:val="24"/>
          <w:szCs w:val="24"/>
        </w:rPr>
      </w:pPr>
      <w:r w:rsidRPr="00534671">
        <w:rPr>
          <w:rFonts w:asciiTheme="majorHAnsi" w:hAnsiTheme="majorHAnsi" w:cstheme="majorHAnsi"/>
          <w:smallCaps/>
          <w:sz w:val="24"/>
          <w:szCs w:val="24"/>
        </w:rPr>
        <w:t>ROBL, F.</w:t>
      </w:r>
      <w:r w:rsidRPr="00534671">
        <w:rPr>
          <w:rFonts w:asciiTheme="majorHAnsi" w:hAnsiTheme="majorHAnsi" w:cstheme="majorHAnsi"/>
          <w:b/>
          <w:smallCaps/>
          <w:sz w:val="24"/>
          <w:szCs w:val="24"/>
        </w:rPr>
        <w:t xml:space="preserve"> </w:t>
      </w:r>
      <w:r w:rsidRPr="00534671">
        <w:rPr>
          <w:rFonts w:asciiTheme="majorHAnsi" w:hAnsiTheme="majorHAnsi" w:cstheme="majorHAnsi"/>
          <w:b/>
          <w:sz w:val="24"/>
          <w:szCs w:val="24"/>
        </w:rPr>
        <w:t xml:space="preserve">Panorama da Educação Superior no Distrito Federal. </w:t>
      </w:r>
      <w:r w:rsidRPr="00534671">
        <w:rPr>
          <w:rFonts w:asciiTheme="majorHAnsi" w:hAnsiTheme="majorHAnsi" w:cstheme="majorHAnsi"/>
          <w:sz w:val="24"/>
          <w:szCs w:val="24"/>
        </w:rPr>
        <w:t>Relatório técnico,</w:t>
      </w:r>
      <w:r w:rsidRPr="00534671">
        <w:rPr>
          <w:rFonts w:asciiTheme="majorHAnsi" w:hAnsiTheme="majorHAnsi" w:cstheme="majorHAnsi"/>
          <w:b/>
          <w:sz w:val="24"/>
          <w:szCs w:val="24"/>
        </w:rPr>
        <w:t xml:space="preserve"> </w:t>
      </w:r>
      <w:r w:rsidRPr="00534671">
        <w:rPr>
          <w:rFonts w:asciiTheme="majorHAnsi" w:hAnsiTheme="majorHAnsi" w:cstheme="majorHAnsi"/>
          <w:sz w:val="24"/>
          <w:szCs w:val="24"/>
        </w:rPr>
        <w:t>CEBRASPE, 2021.</w:t>
      </w:r>
    </w:p>
    <w:p w14:paraId="30B31B2D" w14:textId="77777777" w:rsidR="00EE3346" w:rsidRPr="00534671" w:rsidRDefault="00EE3346" w:rsidP="00516038">
      <w:pPr>
        <w:pStyle w:val="Tit1"/>
        <w:widowControl w:val="0"/>
        <w:spacing w:before="0" w:after="160" w:line="240" w:lineRule="auto"/>
        <w:jc w:val="left"/>
        <w:rPr>
          <w:rFonts w:asciiTheme="majorHAnsi" w:eastAsiaTheme="minorHAnsi" w:hAnsiTheme="majorHAnsi" w:cstheme="majorHAnsi"/>
          <w:b w:val="0"/>
          <w:smallCaps w:val="0"/>
          <w:sz w:val="24"/>
          <w:szCs w:val="24"/>
        </w:rPr>
      </w:pPr>
      <w:r w:rsidRPr="00534671">
        <w:rPr>
          <w:rFonts w:asciiTheme="majorHAnsi" w:eastAsiaTheme="minorHAnsi" w:hAnsiTheme="majorHAnsi" w:cstheme="majorHAnsi"/>
          <w:b w:val="0"/>
          <w:smallCaps w:val="0"/>
          <w:sz w:val="24"/>
          <w:szCs w:val="24"/>
        </w:rPr>
        <w:t xml:space="preserve">SACCARO, A.; FRANÇA, M.T.A.; JACINTO, P.A. </w:t>
      </w:r>
      <w:hyperlink r:id="rId15" w:history="1">
        <w:r w:rsidRPr="00534671">
          <w:rPr>
            <w:rFonts w:asciiTheme="majorHAnsi" w:eastAsiaTheme="minorHAnsi" w:hAnsiTheme="majorHAnsi" w:cstheme="majorHAnsi"/>
            <w:b w:val="0"/>
            <w:smallCaps w:val="0"/>
            <w:sz w:val="24"/>
            <w:szCs w:val="24"/>
          </w:rPr>
          <w:t>Fatores associados à evasão no ensino superior brasileiro: um estudo de análise de sobrevivência para os cursos das áreas de Ciência, Matemática e Computação e de Engenharia, Produção e Construção em instituições públicas e privadas</w:t>
        </w:r>
      </w:hyperlink>
      <w:r w:rsidRPr="00534671">
        <w:rPr>
          <w:rFonts w:asciiTheme="majorHAnsi" w:eastAsiaTheme="minorHAnsi" w:hAnsiTheme="majorHAnsi" w:cstheme="majorHAnsi"/>
          <w:b w:val="0"/>
          <w:smallCaps w:val="0"/>
          <w:sz w:val="24"/>
          <w:szCs w:val="24"/>
        </w:rPr>
        <w:t xml:space="preserve">. </w:t>
      </w:r>
      <w:r w:rsidRPr="00534671">
        <w:rPr>
          <w:rFonts w:asciiTheme="majorHAnsi" w:eastAsiaTheme="minorHAnsi" w:hAnsiTheme="majorHAnsi" w:cstheme="majorHAnsi"/>
          <w:smallCaps w:val="0"/>
          <w:sz w:val="24"/>
          <w:szCs w:val="24"/>
        </w:rPr>
        <w:t>Estudos Econômicos, São Paulo,</w:t>
      </w:r>
      <w:r w:rsidRPr="00534671">
        <w:rPr>
          <w:rFonts w:asciiTheme="majorHAnsi" w:eastAsiaTheme="minorHAnsi" w:hAnsiTheme="majorHAnsi" w:cstheme="majorHAnsi"/>
          <w:b w:val="0"/>
          <w:smallCaps w:val="0"/>
          <w:sz w:val="24"/>
          <w:szCs w:val="24"/>
        </w:rPr>
        <w:t xml:space="preserve"> v. 49, n. 2: p. 337-373, 2019. </w:t>
      </w:r>
    </w:p>
    <w:p w14:paraId="62264D1C" w14:textId="77777777" w:rsidR="00EE3346" w:rsidRPr="00534671" w:rsidRDefault="00EE3346" w:rsidP="00516038">
      <w:pPr>
        <w:pStyle w:val="Default"/>
        <w:spacing w:after="160"/>
        <w:rPr>
          <w:rFonts w:asciiTheme="majorHAnsi" w:eastAsiaTheme="minorHAnsi" w:hAnsiTheme="majorHAnsi" w:cstheme="majorHAnsi"/>
          <w:lang w:eastAsia="en-US"/>
        </w:rPr>
      </w:pPr>
      <w:r w:rsidRPr="00534671">
        <w:rPr>
          <w:rFonts w:asciiTheme="majorHAnsi" w:eastAsiaTheme="minorHAnsi" w:hAnsiTheme="majorHAnsi" w:cstheme="majorHAnsi"/>
          <w:smallCaps/>
        </w:rPr>
        <w:t xml:space="preserve">SOUSA, J.V.de. 2021. </w:t>
      </w:r>
      <w:r w:rsidRPr="00534671">
        <w:rPr>
          <w:rFonts w:asciiTheme="majorHAnsi" w:eastAsiaTheme="minorHAnsi" w:hAnsiTheme="majorHAnsi" w:cstheme="majorHAnsi"/>
          <w:b/>
          <w:lang w:eastAsia="en-US"/>
        </w:rPr>
        <w:t>Documento de referência para orientar e subsidiar as discussões do Colóquio: “UnDF Jorge Amaury: entre o projeto e a criação - diálogos sobre a Universidade que queremos”</w:t>
      </w:r>
      <w:r w:rsidRPr="00534671">
        <w:rPr>
          <w:rFonts w:asciiTheme="majorHAnsi" w:eastAsiaTheme="minorHAnsi" w:hAnsiTheme="majorHAnsi" w:cstheme="majorHAnsi"/>
          <w:lang w:eastAsia="en-US"/>
        </w:rPr>
        <w:t xml:space="preserve"> – Cebraspe, 2021.</w:t>
      </w:r>
    </w:p>
    <w:p w14:paraId="72691B1D" w14:textId="77777777" w:rsidR="00EE3346" w:rsidRPr="00534671" w:rsidRDefault="00EE3346" w:rsidP="00516038">
      <w:pPr>
        <w:pStyle w:val="Default"/>
        <w:spacing w:after="160"/>
        <w:rPr>
          <w:rFonts w:asciiTheme="majorHAnsi" w:hAnsiTheme="majorHAnsi" w:cstheme="majorHAnsi"/>
        </w:rPr>
      </w:pPr>
      <w:r w:rsidRPr="00534671">
        <w:rPr>
          <w:rFonts w:asciiTheme="majorHAnsi" w:hAnsiTheme="majorHAnsi" w:cstheme="majorHAnsi"/>
        </w:rPr>
        <w:t xml:space="preserve">SBC – Sociedade Brasileira de Computação. </w:t>
      </w:r>
      <w:r w:rsidRPr="00534671">
        <w:rPr>
          <w:rFonts w:asciiTheme="majorHAnsi" w:hAnsiTheme="majorHAnsi" w:cstheme="majorHAnsi"/>
          <w:b/>
        </w:rPr>
        <w:t>Sítio Institucional.</w:t>
      </w:r>
      <w:r w:rsidRPr="00534671">
        <w:rPr>
          <w:rFonts w:asciiTheme="majorHAnsi" w:hAnsiTheme="majorHAnsi" w:cstheme="majorHAnsi"/>
        </w:rPr>
        <w:t xml:space="preserve"> Disponível em: https://www.sbc.org.br/. Acesso em: 11 nov. 2021.</w:t>
      </w:r>
    </w:p>
    <w:p w14:paraId="45420F9C" w14:textId="77777777" w:rsidR="00EE3346" w:rsidRPr="00534671" w:rsidRDefault="00EE3346" w:rsidP="00516038">
      <w:pPr>
        <w:tabs>
          <w:tab w:val="clear" w:pos="1615"/>
        </w:tabs>
        <w:rPr>
          <w:rFonts w:asciiTheme="majorHAnsi" w:hAnsiTheme="majorHAnsi" w:cstheme="majorHAnsi"/>
          <w:sz w:val="24"/>
          <w:szCs w:val="24"/>
        </w:rPr>
      </w:pPr>
      <w:r w:rsidRPr="00534671">
        <w:rPr>
          <w:rFonts w:asciiTheme="majorHAnsi" w:hAnsiTheme="majorHAnsi" w:cstheme="majorHAnsi"/>
          <w:sz w:val="24"/>
          <w:szCs w:val="24"/>
        </w:rPr>
        <w:t xml:space="preserve">SILVA, S.; OBANA, F.; MARINHO, M.; JÚNIOR, E.; ROCHA, T.; SPEROTTO, L. Aplicação da Metodologia Ativa de Aprendizagem na disciplina de Fundamentos de Eletrônica do curso de Bacharelado em Ciência da Computação para se Evitar a Evasão. </w:t>
      </w:r>
      <w:r w:rsidRPr="00534671">
        <w:rPr>
          <w:rFonts w:asciiTheme="majorHAnsi" w:hAnsiTheme="majorHAnsi" w:cstheme="majorHAnsi"/>
          <w:b/>
          <w:sz w:val="24"/>
          <w:szCs w:val="24"/>
        </w:rPr>
        <w:t>Anais da Escola Regional de Informática de Goiás (ERI-GO),</w:t>
      </w:r>
      <w:r w:rsidRPr="00534671">
        <w:rPr>
          <w:rFonts w:asciiTheme="majorHAnsi" w:hAnsiTheme="majorHAnsi" w:cstheme="majorHAnsi"/>
          <w:sz w:val="24"/>
          <w:szCs w:val="24"/>
        </w:rPr>
        <w:t xml:space="preserve"> 8, 2020.  Porto Alegre: Sociedade Brasileira de Computação, 2020. p. 223-236. DOI: https://doi.org/10.5753/ erigo.2020.13876.</w:t>
      </w:r>
    </w:p>
    <w:p w14:paraId="125DB90E" w14:textId="77777777" w:rsidR="00EE3346" w:rsidRPr="00534671" w:rsidRDefault="00EE3346" w:rsidP="00516038">
      <w:pPr>
        <w:tabs>
          <w:tab w:val="clear" w:pos="1615"/>
        </w:tabs>
        <w:rPr>
          <w:rFonts w:asciiTheme="majorHAnsi" w:hAnsiTheme="majorHAnsi" w:cstheme="majorHAnsi"/>
          <w:sz w:val="24"/>
          <w:szCs w:val="24"/>
        </w:rPr>
      </w:pPr>
      <w:r w:rsidRPr="00534671">
        <w:rPr>
          <w:rFonts w:asciiTheme="majorHAnsi" w:hAnsiTheme="majorHAnsi" w:cstheme="majorHAnsi"/>
          <w:sz w:val="24"/>
          <w:szCs w:val="24"/>
        </w:rPr>
        <w:t xml:space="preserve">UnDF – Universidade do Distrito Federal. </w:t>
      </w:r>
      <w:r w:rsidRPr="00534671">
        <w:rPr>
          <w:rFonts w:asciiTheme="majorHAnsi" w:hAnsiTheme="majorHAnsi" w:cstheme="majorHAnsi"/>
          <w:b/>
          <w:sz w:val="24"/>
          <w:szCs w:val="24"/>
        </w:rPr>
        <w:t>Proposta de Estatuto.</w:t>
      </w:r>
      <w:r w:rsidRPr="00534671">
        <w:rPr>
          <w:rFonts w:asciiTheme="majorHAnsi" w:hAnsiTheme="majorHAnsi" w:cstheme="majorHAnsi"/>
          <w:sz w:val="24"/>
          <w:szCs w:val="24"/>
        </w:rPr>
        <w:t xml:space="preserve"> </w:t>
      </w:r>
      <w:bookmarkEnd w:id="38"/>
      <w:r w:rsidRPr="00534671">
        <w:rPr>
          <w:rFonts w:asciiTheme="majorHAnsi" w:hAnsiTheme="majorHAnsi" w:cstheme="majorHAnsi"/>
          <w:sz w:val="24"/>
          <w:szCs w:val="24"/>
        </w:rPr>
        <w:t>Cebraspe, 2021.</w:t>
      </w:r>
    </w:p>
    <w:p w14:paraId="3090F859" w14:textId="77777777" w:rsidR="00EE3346" w:rsidRPr="00516038" w:rsidRDefault="00EE3346" w:rsidP="00516038">
      <w:pPr>
        <w:tabs>
          <w:tab w:val="clear" w:pos="1615"/>
        </w:tabs>
        <w:rPr>
          <w:rFonts w:asciiTheme="majorHAnsi" w:hAnsiTheme="majorHAnsi" w:cstheme="majorHAnsi"/>
        </w:rPr>
      </w:pPr>
      <w:r w:rsidRPr="00516038">
        <w:rPr>
          <w:rFonts w:asciiTheme="majorHAnsi" w:hAnsiTheme="majorHAnsi" w:cstheme="majorHAnsi"/>
        </w:rPr>
        <w:br w:type="page"/>
      </w:r>
    </w:p>
    <w:p w14:paraId="449432E4" w14:textId="77777777" w:rsidR="00EE3346" w:rsidRPr="00534671" w:rsidRDefault="00EE3346" w:rsidP="00534671">
      <w:pPr>
        <w:pStyle w:val="Ttulo1"/>
        <w:numPr>
          <w:ilvl w:val="0"/>
          <w:numId w:val="1"/>
        </w:numPr>
        <w:tabs>
          <w:tab w:val="clear" w:pos="1615"/>
        </w:tabs>
        <w:spacing w:before="0" w:after="0" w:line="360" w:lineRule="auto"/>
        <w:ind w:left="432"/>
        <w:rPr>
          <w:rFonts w:asciiTheme="majorHAnsi" w:hAnsiTheme="majorHAnsi" w:cstheme="majorHAnsi"/>
          <w:color w:val="4875BD"/>
        </w:rPr>
      </w:pPr>
      <w:bookmarkStart w:id="40" w:name="_Toc89878044"/>
      <w:bookmarkStart w:id="41" w:name="_Toc102134979"/>
      <w:r w:rsidRPr="00534671">
        <w:rPr>
          <w:rFonts w:asciiTheme="majorHAnsi" w:hAnsiTheme="majorHAnsi" w:cstheme="majorHAnsi"/>
          <w:color w:val="4875BD"/>
        </w:rPr>
        <w:t>DISCIPLINARIDADE, MULTIDISCIPLINARIDADE, INTERDISCIPLINARIDADE E TRANSDISCIPLINARIDADE</w:t>
      </w:r>
      <w:bookmarkEnd w:id="40"/>
      <w:bookmarkEnd w:id="41"/>
    </w:p>
    <w:p w14:paraId="747A8755" w14:textId="77777777" w:rsidR="00534671" w:rsidRDefault="00534671" w:rsidP="00516038">
      <w:pPr>
        <w:tabs>
          <w:tab w:val="clear" w:pos="1615"/>
        </w:tabs>
        <w:jc w:val="both"/>
        <w:rPr>
          <w:rFonts w:asciiTheme="majorHAnsi" w:hAnsiTheme="majorHAnsi" w:cstheme="majorHAnsi"/>
        </w:rPr>
      </w:pPr>
    </w:p>
    <w:p w14:paraId="04713664" w14:textId="53C98184" w:rsidR="00EE3346" w:rsidRPr="00534671" w:rsidRDefault="00EE3346" w:rsidP="00534671">
      <w:pPr>
        <w:tabs>
          <w:tab w:val="clear" w:pos="1615"/>
        </w:tabs>
        <w:spacing w:line="360" w:lineRule="auto"/>
        <w:ind w:firstLine="709"/>
        <w:jc w:val="both"/>
        <w:rPr>
          <w:rFonts w:asciiTheme="majorHAnsi" w:hAnsiTheme="majorHAnsi" w:cstheme="majorHAnsi"/>
          <w:sz w:val="24"/>
          <w:szCs w:val="24"/>
        </w:rPr>
      </w:pPr>
      <w:r w:rsidRPr="00534671">
        <w:rPr>
          <w:rFonts w:asciiTheme="majorHAnsi" w:hAnsiTheme="majorHAnsi" w:cstheme="majorHAnsi"/>
          <w:sz w:val="24"/>
          <w:szCs w:val="24"/>
        </w:rPr>
        <w:t>Neste capítulo são abordados, de forma bastante rápida e, portanto, incompleta, aspectos do efeito da disciplinarização na organização curricular e, a partir daí, a multi, a inter e a transdisciplinaridade nessa mesma organização, como opções pedagógicas para o desenvolvimento da educação escolar formal.</w:t>
      </w:r>
    </w:p>
    <w:p w14:paraId="06403A7A" w14:textId="34F75D51" w:rsidR="00EE3346" w:rsidRPr="00534671" w:rsidRDefault="00EE3346" w:rsidP="00534671">
      <w:pPr>
        <w:tabs>
          <w:tab w:val="clear" w:pos="1615"/>
        </w:tabs>
        <w:spacing w:line="360" w:lineRule="auto"/>
        <w:ind w:firstLine="709"/>
        <w:jc w:val="both"/>
        <w:rPr>
          <w:rFonts w:asciiTheme="majorHAnsi" w:hAnsiTheme="majorHAnsi" w:cstheme="majorHAnsi"/>
          <w:sz w:val="24"/>
          <w:szCs w:val="24"/>
        </w:rPr>
      </w:pPr>
      <w:r w:rsidRPr="00534671">
        <w:rPr>
          <w:rFonts w:asciiTheme="majorHAnsi" w:hAnsiTheme="majorHAnsi" w:cstheme="majorHAnsi"/>
          <w:sz w:val="24"/>
          <w:szCs w:val="24"/>
        </w:rPr>
        <w:t>Podemos dizer que desde a antiguidade o ensino e o conhecimento foram divididos e eram apropriados segundo condições sociais: iniciamos com as artes liberais para os homens livres e nobres, e artes mecânicas para os servos e escravos. Na antiguidade, o estudo das artes liberais visava à compreensão da verdade e podia se relacionar com a mente e com a matéria, envolvendo diferentes áreas de estudo como a Lógica, a Retórica, a Matemática e Astronomia, Medicina etc.</w:t>
      </w:r>
    </w:p>
    <w:p w14:paraId="69100ADF" w14:textId="10C3CB4A" w:rsidR="00EE3346" w:rsidRPr="00534671" w:rsidRDefault="00EE3346" w:rsidP="00534671">
      <w:pPr>
        <w:tabs>
          <w:tab w:val="clear" w:pos="1615"/>
        </w:tabs>
        <w:spacing w:line="360" w:lineRule="auto"/>
        <w:ind w:firstLine="709"/>
        <w:jc w:val="both"/>
        <w:rPr>
          <w:rFonts w:asciiTheme="majorHAnsi" w:hAnsiTheme="majorHAnsi" w:cstheme="majorHAnsi"/>
          <w:sz w:val="24"/>
          <w:szCs w:val="24"/>
        </w:rPr>
      </w:pPr>
      <w:r w:rsidRPr="00534671">
        <w:rPr>
          <w:rFonts w:asciiTheme="majorHAnsi" w:hAnsiTheme="majorHAnsi" w:cstheme="majorHAnsi"/>
          <w:sz w:val="24"/>
          <w:szCs w:val="24"/>
        </w:rPr>
        <w:t xml:space="preserve">As artes liberais foram agrupadas em sete a partir do século VI, três das quais envolvendo a mente e a linguagem (lógica, gramática e retórica) e denominadas </w:t>
      </w:r>
      <w:r w:rsidRPr="00534671">
        <w:rPr>
          <w:rFonts w:asciiTheme="majorHAnsi" w:hAnsiTheme="majorHAnsi" w:cstheme="majorHAnsi"/>
          <w:i/>
          <w:sz w:val="24"/>
          <w:szCs w:val="24"/>
        </w:rPr>
        <w:t>Trivium</w:t>
      </w:r>
      <w:r w:rsidRPr="00534671">
        <w:rPr>
          <w:rFonts w:asciiTheme="majorHAnsi" w:hAnsiTheme="majorHAnsi" w:cstheme="majorHAnsi"/>
          <w:sz w:val="24"/>
          <w:szCs w:val="24"/>
        </w:rPr>
        <w:t xml:space="preserve">, enquanto que as outras quatro, relacionadas com a matéria e quantidades (aritmética, música, geometria e astronomia) e denominadas </w:t>
      </w:r>
      <w:r w:rsidRPr="00534671">
        <w:rPr>
          <w:rFonts w:asciiTheme="majorHAnsi" w:hAnsiTheme="majorHAnsi" w:cstheme="majorHAnsi"/>
          <w:i/>
          <w:sz w:val="24"/>
          <w:szCs w:val="24"/>
        </w:rPr>
        <w:t>Quadrivium</w:t>
      </w:r>
      <w:r w:rsidRPr="00534671">
        <w:rPr>
          <w:rFonts w:asciiTheme="majorHAnsi" w:hAnsiTheme="majorHAnsi" w:cstheme="majorHAnsi"/>
          <w:sz w:val="24"/>
          <w:szCs w:val="24"/>
        </w:rPr>
        <w:t xml:space="preserve"> (aritmética, música, geometria e astronomia). Foram a base da estruturação do ensino superior e da organização das universidades a partir do século XI – XII, compondo os estudos propedêuticos e gerais que preparavam para a etapa seguinte, dividida em basicamente três formações: a Teologia, o Direito e a Medicina.</w:t>
      </w:r>
    </w:p>
    <w:p w14:paraId="277E01D4" w14:textId="53586A67" w:rsidR="00EE3346" w:rsidRDefault="00EE3346" w:rsidP="00534671">
      <w:pPr>
        <w:tabs>
          <w:tab w:val="clear" w:pos="1615"/>
        </w:tabs>
        <w:spacing w:line="360" w:lineRule="auto"/>
        <w:ind w:firstLine="709"/>
        <w:jc w:val="both"/>
        <w:rPr>
          <w:rFonts w:asciiTheme="majorHAnsi" w:hAnsiTheme="majorHAnsi" w:cstheme="majorHAnsi"/>
          <w:sz w:val="24"/>
          <w:szCs w:val="24"/>
        </w:rPr>
      </w:pPr>
      <w:r w:rsidRPr="00534671">
        <w:rPr>
          <w:rFonts w:asciiTheme="majorHAnsi" w:hAnsiTheme="majorHAnsi" w:cstheme="majorHAnsi"/>
          <w:sz w:val="24"/>
          <w:szCs w:val="24"/>
        </w:rPr>
        <w:t>Com o passar do tempo e como consequência das descobertas científicas, das grandes navegações e do renascimento, houve um aumento da abrangência das artes liberais, a tal ponto que passaram a ser oferecidas anteriormente aos estudos universitários, em período hoje equivalente ao nosso ensino médio, a partir de reformas introduzidas por Comenius (século XVII), com Gramática, Física, Matemática, Ética, Dialética e Retórica, além das línguas modernas. Foi também a partir do século XVII e XVIII que ocorreu o enfraquecimento da igreja e do poder absolutista, com o iluminismo, refletindo diretamente na valoração do conhecimento científico e na Universidade, e com ideais liberais e contrárias ao domínio das metrópoles europeias nas Américas em especial e do livre comércio, com substituição crescente de uma formação liberal, voltada para o todo, por uma educação superior mais profissional e científica, o que ocorreu especialmente a partir da Alemanha e da França, influenciando todo o continente e, em consequência, o Brasil, que desenvolveu sua educação superior tardiamente, já no século XIX e, em termos universitários, apenas no século XX.</w:t>
      </w:r>
    </w:p>
    <w:p w14:paraId="01F6DB25" w14:textId="77777777" w:rsidR="00534671" w:rsidRPr="00534671" w:rsidRDefault="00534671" w:rsidP="00534671">
      <w:pPr>
        <w:tabs>
          <w:tab w:val="clear" w:pos="1615"/>
        </w:tabs>
        <w:spacing w:line="360" w:lineRule="auto"/>
        <w:ind w:firstLine="709"/>
        <w:jc w:val="both"/>
        <w:rPr>
          <w:rFonts w:asciiTheme="majorHAnsi" w:hAnsiTheme="majorHAnsi" w:cstheme="majorHAnsi"/>
          <w:sz w:val="24"/>
          <w:szCs w:val="24"/>
        </w:rPr>
      </w:pPr>
    </w:p>
    <w:p w14:paraId="2818DC50" w14:textId="77777777" w:rsidR="00EE3346" w:rsidRPr="00516038" w:rsidRDefault="00EE3346" w:rsidP="00534671">
      <w:pPr>
        <w:pStyle w:val="Ttulo2"/>
        <w:numPr>
          <w:ilvl w:val="1"/>
          <w:numId w:val="1"/>
        </w:numPr>
        <w:tabs>
          <w:tab w:val="clear" w:pos="1615"/>
        </w:tabs>
        <w:spacing w:before="0" w:after="0" w:line="360" w:lineRule="auto"/>
        <w:ind w:left="993"/>
        <w:rPr>
          <w:rFonts w:asciiTheme="majorHAnsi" w:hAnsiTheme="majorHAnsi" w:cstheme="majorHAnsi"/>
        </w:rPr>
      </w:pPr>
      <w:bookmarkStart w:id="42" w:name="_Toc89878045"/>
      <w:bookmarkStart w:id="43" w:name="_Toc102134980"/>
      <w:r w:rsidRPr="00516038">
        <w:rPr>
          <w:rFonts w:asciiTheme="majorHAnsi" w:hAnsiTheme="majorHAnsi" w:cstheme="majorHAnsi"/>
        </w:rPr>
        <w:t>DISCIPLINA, DISCIPLINARIDADE E PLURIDISCIPLINARIDADE</w:t>
      </w:r>
      <w:bookmarkEnd w:id="42"/>
      <w:bookmarkEnd w:id="43"/>
    </w:p>
    <w:p w14:paraId="5CC8A8AD" w14:textId="7641D93A" w:rsidR="00EE3346" w:rsidRPr="00534671" w:rsidRDefault="00EE3346" w:rsidP="00534671">
      <w:pPr>
        <w:tabs>
          <w:tab w:val="clear" w:pos="1615"/>
        </w:tabs>
        <w:spacing w:line="360" w:lineRule="auto"/>
        <w:ind w:firstLine="709"/>
        <w:jc w:val="both"/>
        <w:rPr>
          <w:rFonts w:asciiTheme="majorHAnsi" w:hAnsiTheme="majorHAnsi" w:cstheme="majorHAnsi"/>
          <w:sz w:val="24"/>
          <w:szCs w:val="24"/>
        </w:rPr>
      </w:pPr>
      <w:r w:rsidRPr="00534671">
        <w:rPr>
          <w:rFonts w:asciiTheme="majorHAnsi" w:hAnsiTheme="majorHAnsi" w:cstheme="majorHAnsi"/>
          <w:sz w:val="24"/>
          <w:szCs w:val="24"/>
        </w:rPr>
        <w:t>O termo disciplina remonta o século XIV para designar as ciências técnicas, até então pertencentes às artes liberais. Na análise de Gaston Pineau (1980, apud SOMMERMAN, 2003), o termo disciplina:</w:t>
      </w:r>
    </w:p>
    <w:p w14:paraId="57378E84" w14:textId="77777777" w:rsidR="00534671" w:rsidRPr="00516038" w:rsidRDefault="00534671" w:rsidP="00516038">
      <w:pPr>
        <w:tabs>
          <w:tab w:val="clear" w:pos="1615"/>
        </w:tabs>
        <w:jc w:val="both"/>
        <w:rPr>
          <w:rFonts w:asciiTheme="majorHAnsi" w:hAnsiTheme="majorHAnsi" w:cstheme="majorHAnsi"/>
        </w:rPr>
      </w:pPr>
    </w:p>
    <w:p w14:paraId="18FBD6DB" w14:textId="77777777" w:rsidR="00EE3346" w:rsidRPr="00516038" w:rsidRDefault="00EE3346" w:rsidP="00516038">
      <w:pPr>
        <w:tabs>
          <w:tab w:val="clear" w:pos="1615"/>
        </w:tabs>
        <w:spacing w:after="0"/>
        <w:ind w:left="2268" w:right="851"/>
        <w:jc w:val="both"/>
        <w:rPr>
          <w:rFonts w:asciiTheme="majorHAnsi" w:hAnsiTheme="majorHAnsi" w:cstheme="majorHAnsi"/>
        </w:rPr>
      </w:pPr>
      <w:r w:rsidRPr="00516038">
        <w:rPr>
          <w:rFonts w:asciiTheme="majorHAnsi" w:hAnsiTheme="majorHAnsi" w:cstheme="majorHAnsi"/>
        </w:rPr>
        <w:t xml:space="preserve">(...) remete a dois campos semânticos: um ligado às noções de regra, de ordem e de método, portanto, ao rigor e à submissão a regras; outro ligado à origem latina da palavra, que vem do latim </w:t>
      </w:r>
      <w:r w:rsidRPr="00516038">
        <w:rPr>
          <w:rFonts w:asciiTheme="majorHAnsi" w:hAnsiTheme="majorHAnsi" w:cstheme="majorHAnsi"/>
          <w:i/>
          <w:iCs/>
        </w:rPr>
        <w:t>discere</w:t>
      </w:r>
      <w:r w:rsidRPr="00516038">
        <w:rPr>
          <w:rFonts w:asciiTheme="majorHAnsi" w:hAnsiTheme="majorHAnsi" w:cstheme="majorHAnsi"/>
        </w:rPr>
        <w:t>, que significa “aprender”, correspondendo, portanto, ao aprendizado de um conjunto de conhecimentos, ao aprendizado de um recorte do saber.</w:t>
      </w:r>
    </w:p>
    <w:p w14:paraId="106E5984" w14:textId="0816FDB5" w:rsidR="00EE3346" w:rsidRDefault="00EE3346" w:rsidP="00516038">
      <w:pPr>
        <w:tabs>
          <w:tab w:val="clear" w:pos="1615"/>
        </w:tabs>
        <w:ind w:left="2268" w:right="849"/>
        <w:jc w:val="both"/>
        <w:rPr>
          <w:rFonts w:asciiTheme="majorHAnsi" w:hAnsiTheme="majorHAnsi" w:cstheme="majorHAnsi"/>
        </w:rPr>
      </w:pPr>
      <w:r w:rsidRPr="00516038">
        <w:rPr>
          <w:rFonts w:asciiTheme="majorHAnsi" w:hAnsiTheme="majorHAnsi" w:cstheme="majorHAnsi"/>
        </w:rPr>
        <w:t xml:space="preserve">Esse segundo campo semântico também remete ao conceito grego de </w:t>
      </w:r>
      <w:r w:rsidRPr="00516038">
        <w:rPr>
          <w:rFonts w:asciiTheme="majorHAnsi" w:hAnsiTheme="majorHAnsi" w:cstheme="majorHAnsi"/>
          <w:i/>
          <w:iCs/>
        </w:rPr>
        <w:t>mathema</w:t>
      </w:r>
      <w:r w:rsidRPr="00516038">
        <w:rPr>
          <w:rFonts w:asciiTheme="majorHAnsi" w:hAnsiTheme="majorHAnsi" w:cstheme="majorHAnsi"/>
        </w:rPr>
        <w:t>: tudo o que é objeto de aquisição de conhecimento. Portanto, podemos definir o recorte disciplinar do saber e o conceito de disciplina correspondente como sendo “o aprendizado ou o ensino de uma ciência, seguindo as regras e métodos da ciência a que corresponde” (Sommerman, 2003, p.45).</w:t>
      </w:r>
    </w:p>
    <w:p w14:paraId="750FD0AF" w14:textId="77777777" w:rsidR="00534671" w:rsidRPr="00516038" w:rsidRDefault="00534671" w:rsidP="00516038">
      <w:pPr>
        <w:tabs>
          <w:tab w:val="clear" w:pos="1615"/>
        </w:tabs>
        <w:ind w:left="2268" w:right="849"/>
        <w:jc w:val="both"/>
        <w:rPr>
          <w:rFonts w:asciiTheme="majorHAnsi" w:hAnsiTheme="majorHAnsi" w:cstheme="majorHAnsi"/>
        </w:rPr>
      </w:pPr>
    </w:p>
    <w:p w14:paraId="746CDB24" w14:textId="13EA3884" w:rsidR="00EE3346" w:rsidRPr="00534671" w:rsidRDefault="00EE3346" w:rsidP="00534671">
      <w:pPr>
        <w:tabs>
          <w:tab w:val="clear" w:pos="1615"/>
        </w:tabs>
        <w:spacing w:line="360" w:lineRule="auto"/>
        <w:ind w:firstLine="709"/>
        <w:jc w:val="both"/>
        <w:rPr>
          <w:rFonts w:asciiTheme="majorHAnsi" w:hAnsiTheme="majorHAnsi" w:cstheme="majorHAnsi"/>
          <w:sz w:val="24"/>
          <w:szCs w:val="24"/>
        </w:rPr>
      </w:pPr>
      <w:r w:rsidRPr="00534671">
        <w:rPr>
          <w:rFonts w:asciiTheme="majorHAnsi" w:hAnsiTheme="majorHAnsi" w:cstheme="majorHAnsi"/>
          <w:sz w:val="24"/>
          <w:szCs w:val="24"/>
        </w:rPr>
        <w:t>A exclusão de vários campos do saber das ciências técnicas, como a religião, no século XVIII e da filosofia e metafísica no século XIX, permitiu uma organização disciplinar crescente, tomando força no século XX, com arranjos lógicos e político-administrativos (OLIVEIRA e MOREIRA, 2017). Os estudos passaram a contemplar e a abordar diferentes conteúdos matemáticos, físicos, químicos, históricos etc., numa forma lógica de organização do conhecimento, com sua divisão em diferentes níveis organizacionais e o desenvolvimento, para cada um, de um arcabouço de conceitos, de premissas, de observações, de métodos e um avanço do pensamento científico e tecnológico do mundo. Essa fragmentação foi incentivada pelo interesse do capital e da indústria, diretamente beneficiados com esses avanços levando, de um lado a um desenvolvimento científico inquestionável e, de outro, a um aumento das diferenças sociais.</w:t>
      </w:r>
    </w:p>
    <w:p w14:paraId="0F1FEB24" w14:textId="1B86E5F0" w:rsidR="00EE3346" w:rsidRPr="00534671" w:rsidRDefault="00EE3346" w:rsidP="00534671">
      <w:pPr>
        <w:tabs>
          <w:tab w:val="clear" w:pos="1615"/>
        </w:tabs>
        <w:spacing w:line="360" w:lineRule="auto"/>
        <w:ind w:firstLine="709"/>
        <w:jc w:val="both"/>
        <w:rPr>
          <w:rFonts w:asciiTheme="majorHAnsi" w:hAnsiTheme="majorHAnsi" w:cstheme="majorHAnsi"/>
          <w:sz w:val="24"/>
          <w:szCs w:val="24"/>
        </w:rPr>
      </w:pPr>
      <w:r w:rsidRPr="00534671">
        <w:rPr>
          <w:rFonts w:asciiTheme="majorHAnsi" w:hAnsiTheme="majorHAnsi" w:cstheme="majorHAnsi"/>
          <w:sz w:val="24"/>
          <w:szCs w:val="24"/>
        </w:rPr>
        <w:t>Na organização curricular da escola, especialmente na Universidade, isso foi se acentuando e se transformando numa espécie de hiperespecialização disciplinar decorrente do crescimento exponencial dos conhecimentos e das tecnologias, aumentando essa fragmentação, que, em tese, deveria permitir que houvesse uma apropriação do todo a partir das partes analisadas isoladamente, mas que acabou se perdendo nela mesma e na própria impossibilidade de uma recomposição desse todo que ela buscava garantir.</w:t>
      </w:r>
    </w:p>
    <w:p w14:paraId="568C8FAE" w14:textId="212FF4B1" w:rsidR="00EE3346" w:rsidRPr="00534671" w:rsidRDefault="00EE3346" w:rsidP="00534671">
      <w:pPr>
        <w:tabs>
          <w:tab w:val="clear" w:pos="1615"/>
        </w:tabs>
        <w:spacing w:line="360" w:lineRule="auto"/>
        <w:ind w:firstLine="709"/>
        <w:jc w:val="both"/>
        <w:rPr>
          <w:rFonts w:asciiTheme="majorHAnsi" w:hAnsiTheme="majorHAnsi" w:cstheme="majorHAnsi"/>
          <w:sz w:val="24"/>
          <w:szCs w:val="24"/>
        </w:rPr>
      </w:pPr>
      <w:r w:rsidRPr="00534671">
        <w:rPr>
          <w:rFonts w:asciiTheme="majorHAnsi" w:hAnsiTheme="majorHAnsi" w:cstheme="majorHAnsi"/>
          <w:sz w:val="24"/>
          <w:szCs w:val="24"/>
        </w:rPr>
        <w:t>Na academia, isso resultou em divisão departamental, cátedra, em especializações crescentes e em organizações para congregar essas especializações e realizar a sua discussão e avanço. Esse modelo, apesar de eficiente em alguns aspectos, obviamente excluiu temas importantes como segurança, cidadania, relações interpessoais, sustentabilidade e outros ligados à compreensão do mundo, não regido de forma disciplinar.</w:t>
      </w:r>
    </w:p>
    <w:p w14:paraId="0BB48837" w14:textId="77777777" w:rsidR="00534671" w:rsidRDefault="00534671" w:rsidP="00516038">
      <w:pPr>
        <w:tabs>
          <w:tab w:val="clear" w:pos="1615"/>
        </w:tabs>
        <w:ind w:left="2268" w:right="849"/>
        <w:jc w:val="both"/>
        <w:rPr>
          <w:rFonts w:asciiTheme="majorHAnsi" w:hAnsiTheme="majorHAnsi" w:cstheme="majorHAnsi"/>
          <w:sz w:val="20"/>
          <w:szCs w:val="20"/>
          <w:shd w:val="clear" w:color="auto" w:fill="FFFFFF"/>
        </w:rPr>
      </w:pPr>
    </w:p>
    <w:p w14:paraId="6970EA9D" w14:textId="27DA59D5" w:rsidR="00EE3346" w:rsidRDefault="00EE3346" w:rsidP="00516038">
      <w:pPr>
        <w:tabs>
          <w:tab w:val="clear" w:pos="1615"/>
        </w:tabs>
        <w:ind w:left="2268" w:right="849"/>
        <w:jc w:val="both"/>
        <w:rPr>
          <w:rFonts w:asciiTheme="majorHAnsi" w:hAnsiTheme="majorHAnsi" w:cstheme="majorHAnsi"/>
          <w:sz w:val="20"/>
          <w:szCs w:val="20"/>
          <w:shd w:val="clear" w:color="auto" w:fill="FFFFFF"/>
        </w:rPr>
      </w:pPr>
      <w:r w:rsidRPr="00516038">
        <w:rPr>
          <w:rFonts w:asciiTheme="majorHAnsi" w:hAnsiTheme="majorHAnsi" w:cstheme="majorHAnsi"/>
          <w:sz w:val="20"/>
          <w:szCs w:val="20"/>
          <w:shd w:val="clear" w:color="auto" w:fill="FFFFFF"/>
        </w:rPr>
        <w:t>A especialização sem limites culminou numa fragmentação crescente do horizonte epistemológico. Chegamos a um ponto em que o especialista se reduziu ao indivíduo que, à custa de saber cada vez mais sobre cada vez menos, terminou por saber tudo (ou quase tudo) sobre o nada, em reação ao generalista que sabe quase nada sobre tudo. (Japiassu, 2006, p.1).</w:t>
      </w:r>
    </w:p>
    <w:p w14:paraId="7EB50E87" w14:textId="77777777" w:rsidR="00534671" w:rsidRPr="00516038" w:rsidRDefault="00534671" w:rsidP="00516038">
      <w:pPr>
        <w:tabs>
          <w:tab w:val="clear" w:pos="1615"/>
        </w:tabs>
        <w:ind w:left="2268" w:right="849"/>
        <w:jc w:val="both"/>
        <w:rPr>
          <w:rFonts w:asciiTheme="majorHAnsi" w:hAnsiTheme="majorHAnsi" w:cstheme="majorHAnsi"/>
          <w:sz w:val="20"/>
          <w:szCs w:val="20"/>
          <w:shd w:val="clear" w:color="auto" w:fill="FFFFFF"/>
        </w:rPr>
      </w:pPr>
    </w:p>
    <w:p w14:paraId="2BE57229" w14:textId="47CAEF3C" w:rsidR="00EE3346" w:rsidRPr="00DD3A94" w:rsidRDefault="00EE3346" w:rsidP="00DD3A94">
      <w:pPr>
        <w:tabs>
          <w:tab w:val="clear" w:pos="1615"/>
        </w:tabs>
        <w:spacing w:line="360" w:lineRule="auto"/>
        <w:ind w:firstLine="709"/>
        <w:jc w:val="both"/>
        <w:rPr>
          <w:rFonts w:asciiTheme="majorHAnsi" w:hAnsiTheme="majorHAnsi" w:cstheme="majorHAnsi"/>
          <w:sz w:val="24"/>
          <w:szCs w:val="24"/>
        </w:rPr>
      </w:pPr>
      <w:r w:rsidRPr="00DD3A94">
        <w:rPr>
          <w:rFonts w:asciiTheme="majorHAnsi" w:hAnsiTheme="majorHAnsi" w:cstheme="majorHAnsi"/>
          <w:sz w:val="24"/>
          <w:szCs w:val="24"/>
        </w:rPr>
        <w:t>O conhecimento monodisciplinar instituiu a divisão e a especialização do trabalho, limitando suas fronteiras, sua linguagem e seus conceitos e isolando uma disciplina da outra. Além disso, o avanço do conhecimento levou a sucessivas subdivisões e, assim, mais e mais disciplinas passaram a compor os currículos superiores de forma tão sólida, que, no Brasil, se estabeleceu um mínimo de carga horária necessária para dar conta dos conhecimentos acumulados em cada disciplina ou do conjunto delas, formando matérias que se organizavam para a estruturação dos currículos mínimos estabelecidos a partir do Conselho Federal de Educação e extintos apenas em 1996, com a sanção da Lei n. 9394/96 (BRASIL, 1996).</w:t>
      </w:r>
    </w:p>
    <w:p w14:paraId="1C5962AB" w14:textId="4F48AED5" w:rsidR="00EE3346" w:rsidRPr="00DD3A94" w:rsidRDefault="00EE3346" w:rsidP="00DD3A94">
      <w:pPr>
        <w:tabs>
          <w:tab w:val="clear" w:pos="1615"/>
        </w:tabs>
        <w:spacing w:line="360" w:lineRule="auto"/>
        <w:ind w:right="-1" w:firstLine="709"/>
        <w:jc w:val="both"/>
        <w:rPr>
          <w:rFonts w:asciiTheme="majorHAnsi" w:eastAsia="Times New Roman" w:hAnsiTheme="majorHAnsi" w:cstheme="majorHAnsi"/>
          <w:color w:val="333333"/>
          <w:sz w:val="24"/>
          <w:szCs w:val="24"/>
          <w:lang w:eastAsia="pt-BR"/>
        </w:rPr>
      </w:pPr>
      <w:r w:rsidRPr="00DD3A94">
        <w:rPr>
          <w:rFonts w:asciiTheme="majorHAnsi" w:hAnsiTheme="majorHAnsi" w:cstheme="majorHAnsi"/>
          <w:sz w:val="24"/>
          <w:szCs w:val="24"/>
          <w:shd w:val="clear" w:color="auto" w:fill="FFFFFF"/>
        </w:rPr>
        <w:t xml:space="preserve">No Regulamento de Graduação da Unicamp, consta que disciplina “é </w:t>
      </w:r>
      <w:r w:rsidRPr="00DD3A94">
        <w:rPr>
          <w:rFonts w:asciiTheme="majorHAnsi" w:eastAsia="Times New Roman" w:hAnsiTheme="majorHAnsi" w:cstheme="majorHAnsi"/>
          <w:color w:val="333333"/>
          <w:sz w:val="24"/>
          <w:szCs w:val="24"/>
          <w:lang w:eastAsia="pt-BR"/>
        </w:rPr>
        <w:t>o conjunto de atividades desenvolvidas em uma ou mais áreas de conhecimento” e é definida por diferentes parâmetros como ementa, carga horária, necessidade de pré-requisito, condições para aprovação etc. (UNICAMP, 2021). Isso também ocorre na maioria das Universidades e acaba sendo a base da estruturação dos currículos da educação básica e da educação superior.</w:t>
      </w:r>
    </w:p>
    <w:p w14:paraId="2C2AF072" w14:textId="77777777" w:rsidR="00EE3346" w:rsidRPr="00DD3A94" w:rsidRDefault="00EE3346" w:rsidP="00DD3A94">
      <w:pPr>
        <w:tabs>
          <w:tab w:val="clear" w:pos="1615"/>
        </w:tabs>
        <w:autoSpaceDE w:val="0"/>
        <w:autoSpaceDN w:val="0"/>
        <w:adjustRightInd w:val="0"/>
        <w:spacing w:line="360" w:lineRule="auto"/>
        <w:ind w:firstLine="709"/>
        <w:jc w:val="both"/>
        <w:rPr>
          <w:rFonts w:asciiTheme="majorHAnsi" w:hAnsiTheme="majorHAnsi" w:cstheme="majorHAnsi"/>
          <w:sz w:val="24"/>
          <w:szCs w:val="24"/>
        </w:rPr>
      </w:pPr>
      <w:r w:rsidRPr="00DD3A94">
        <w:rPr>
          <w:rFonts w:asciiTheme="majorHAnsi" w:eastAsia="Times New Roman" w:hAnsiTheme="majorHAnsi" w:cstheme="majorHAnsi"/>
          <w:color w:val="333333"/>
          <w:sz w:val="24"/>
          <w:szCs w:val="24"/>
          <w:lang w:eastAsia="pt-BR"/>
        </w:rPr>
        <w:t>Para conceituar disciplina de forma bastante objetiva e sucinta, nos apropriamos do conceito expresso por Japiassu (2006): “</w:t>
      </w:r>
      <w:r w:rsidRPr="00DD3A94">
        <w:rPr>
          <w:rFonts w:asciiTheme="majorHAnsi" w:eastAsia="Times New Roman" w:hAnsiTheme="majorHAnsi" w:cstheme="majorHAnsi"/>
          <w:b/>
          <w:color w:val="333333"/>
          <w:sz w:val="24"/>
          <w:szCs w:val="24"/>
          <w:lang w:eastAsia="pt-BR"/>
        </w:rPr>
        <w:t>DISCIPLINA é</w:t>
      </w:r>
      <w:r w:rsidRPr="00DD3A94">
        <w:rPr>
          <w:rFonts w:asciiTheme="majorHAnsi" w:hAnsiTheme="majorHAnsi" w:cstheme="majorHAnsi"/>
          <w:b/>
          <w:sz w:val="24"/>
          <w:szCs w:val="24"/>
        </w:rPr>
        <w:t xml:space="preserve"> um conjunto específico de conhecimentos com características próprias no campo do ensino, da formação, dos métodos, dos mecanismos e dos materiais”, </w:t>
      </w:r>
      <w:r w:rsidRPr="00DD3A94">
        <w:rPr>
          <w:rFonts w:asciiTheme="majorHAnsi" w:hAnsiTheme="majorHAnsi" w:cstheme="majorHAnsi"/>
          <w:sz w:val="24"/>
          <w:szCs w:val="24"/>
        </w:rPr>
        <w:t>com todas as suas implicações e consequências na organização pedagógica dos nossos currículos escolares.</w:t>
      </w:r>
    </w:p>
    <w:p w14:paraId="06571358" w14:textId="3267F9A5" w:rsidR="00EE3346" w:rsidRPr="00DD3A94" w:rsidRDefault="00EE3346" w:rsidP="00DD3A94">
      <w:pPr>
        <w:tabs>
          <w:tab w:val="clear" w:pos="1615"/>
        </w:tabs>
        <w:spacing w:line="360" w:lineRule="auto"/>
        <w:ind w:right="-1" w:firstLine="709"/>
        <w:jc w:val="both"/>
        <w:rPr>
          <w:rFonts w:asciiTheme="majorHAnsi" w:hAnsiTheme="majorHAnsi" w:cstheme="majorHAnsi"/>
          <w:sz w:val="24"/>
          <w:szCs w:val="32"/>
          <w:shd w:val="clear" w:color="auto" w:fill="FFFFFF"/>
        </w:rPr>
      </w:pPr>
      <w:r w:rsidRPr="00DD3A94">
        <w:rPr>
          <w:rFonts w:asciiTheme="majorHAnsi" w:hAnsiTheme="majorHAnsi" w:cstheme="majorHAnsi"/>
          <w:sz w:val="24"/>
          <w:szCs w:val="32"/>
          <w:shd w:val="clear" w:color="auto" w:fill="FFFFFF"/>
        </w:rPr>
        <w:t xml:space="preserve">Obviamente essa fragmentação crescente acabou levando ao estudo de um mesmo tema em diferentes disciplinas, já que as explicações de um mesmo fenômeno podem requerer diferentes abordagens disciplinares, nem sempre sincronizadas ou harmônicas, fazendo com que o tema passe a ser tratado em diferentes momentos, originando análises multidisciplinares. Assim, temas como o romantismo por exemplo, passa a ser estudado em disciplinas como história, literatura e artes, além de suas subdivisões de estudo geral e do Brasil. E essas abordagens podem ser realizadas de forma totalmente independente, em períodos diferentes ao longo da formação escolar, ou não ser realizado em todas essas áreas, originando lacunas de conhecimento que acabam por refletir numa análise menos apropriada do todo. Também a física pode estudar a eletricidade, que tem raízes na química e também ocorre em fenômenos biológicos, mas cada conhecimento acaba sendo abordado isolada e independentemente. São infindáveis os estudos que poderiam ser relacionados como multidisciplinares e que, na verdade, relacionam-se com o mesmo tipo de objeto, de evento ou de fenômeno natural. No ensino superior, essa situação só se amplifica, já que os estudos realizados são mais específicos. </w:t>
      </w:r>
    </w:p>
    <w:p w14:paraId="558DC6D9" w14:textId="59E107BB" w:rsidR="00EE3346" w:rsidRPr="00DD3A94" w:rsidRDefault="00EE3346" w:rsidP="00DD3A94">
      <w:pPr>
        <w:tabs>
          <w:tab w:val="clear" w:pos="1615"/>
        </w:tabs>
        <w:spacing w:line="360" w:lineRule="auto"/>
        <w:ind w:right="-1" w:firstLine="709"/>
        <w:jc w:val="both"/>
        <w:rPr>
          <w:rFonts w:asciiTheme="majorHAnsi" w:hAnsiTheme="majorHAnsi" w:cstheme="majorHAnsi"/>
          <w:sz w:val="24"/>
          <w:szCs w:val="32"/>
          <w:shd w:val="clear" w:color="auto" w:fill="FFFFFF"/>
        </w:rPr>
      </w:pPr>
      <w:r w:rsidRPr="00DD3A94">
        <w:rPr>
          <w:rFonts w:asciiTheme="majorHAnsi" w:hAnsiTheme="majorHAnsi" w:cstheme="majorHAnsi"/>
          <w:sz w:val="24"/>
          <w:szCs w:val="32"/>
          <w:shd w:val="clear" w:color="auto" w:fill="FFFFFF"/>
        </w:rPr>
        <w:t>Na engenharia, por exemplo, há conteúdos disciplinares que são denominados básicos e que, em teoria, darão suporte para os conteúdos específicos, mas que, de certa forma, se compartimentalizam a tal ponto que praticamente não se relacionam e, em alguns casos, pouco servem para aquilo que se propuseram, já que acabam ganhando “vida própria”.</w:t>
      </w:r>
    </w:p>
    <w:p w14:paraId="3B124F4B" w14:textId="28F27424" w:rsidR="00EE3346" w:rsidRPr="00DD3A94" w:rsidRDefault="00EE3346" w:rsidP="00DD3A94">
      <w:pPr>
        <w:tabs>
          <w:tab w:val="clear" w:pos="1615"/>
        </w:tabs>
        <w:spacing w:line="360" w:lineRule="auto"/>
        <w:ind w:right="-1" w:firstLine="709"/>
        <w:jc w:val="both"/>
        <w:rPr>
          <w:rFonts w:asciiTheme="majorHAnsi" w:hAnsiTheme="majorHAnsi" w:cstheme="majorHAnsi"/>
          <w:sz w:val="24"/>
          <w:szCs w:val="32"/>
          <w:shd w:val="clear" w:color="auto" w:fill="FFFFFF"/>
        </w:rPr>
      </w:pPr>
      <w:r w:rsidRPr="00DD3A94">
        <w:rPr>
          <w:rFonts w:asciiTheme="majorHAnsi" w:hAnsiTheme="majorHAnsi" w:cstheme="majorHAnsi"/>
          <w:sz w:val="24"/>
          <w:szCs w:val="32"/>
          <w:shd w:val="clear" w:color="auto" w:fill="FFFFFF"/>
        </w:rPr>
        <w:t>As abordagens multidisciplinares são realizadas, em muitos casos, a partir de uma somatória de conceitos fragmentados para deixar, a cargo do aluno, a sua junção para fazer a montagem e ter uma ideia do todo. Desse modo, a multidisciplinaridade costuma levar o estudante a não relacionar o todo a cada parte oferecida e, em muitos casos, se sentir incomodado com o excesso de repetição no trato do mesmo assunto em cada disciplina ao longo de sua formação.</w:t>
      </w:r>
    </w:p>
    <w:p w14:paraId="4878CFA1" w14:textId="785E4F6F" w:rsidR="00EE3346" w:rsidRPr="00DD3A94" w:rsidRDefault="00EE3346" w:rsidP="00DD3A94">
      <w:pPr>
        <w:tabs>
          <w:tab w:val="clear" w:pos="1615"/>
        </w:tabs>
        <w:spacing w:line="360" w:lineRule="auto"/>
        <w:ind w:right="-1" w:firstLine="709"/>
        <w:jc w:val="both"/>
        <w:rPr>
          <w:rFonts w:asciiTheme="majorHAnsi" w:hAnsiTheme="majorHAnsi" w:cstheme="majorHAnsi"/>
          <w:sz w:val="24"/>
          <w:szCs w:val="32"/>
          <w:shd w:val="clear" w:color="auto" w:fill="FFFFFF"/>
        </w:rPr>
      </w:pPr>
      <w:r w:rsidRPr="00DD3A94">
        <w:rPr>
          <w:rFonts w:asciiTheme="majorHAnsi" w:hAnsiTheme="majorHAnsi" w:cstheme="majorHAnsi"/>
          <w:sz w:val="24"/>
          <w:szCs w:val="32"/>
          <w:shd w:val="clear" w:color="auto" w:fill="FFFFFF"/>
        </w:rPr>
        <w:t>A estruturação curricular de boa parte das escolas tem uma organização disciplinar e a “organização da grade” pela qual o aluno integraliza seu curso pressupõe a construção do conhecimento global a partir de disciplinas que se relacionam por conta da existência de “pré-requisitos de conhecimento” ou até “requisitos parciais” que tentam garantir a apropriação dos saberes que não serão abordados depois, mas que são necessários para a compreensão do novo tema tratado na disciplina que se segue, muitas vezes no estudo do mesmo objeto. Nada mais apropriado para o conjunto de atividades desenvolvidas: grade curricular, que acaba por prender o estudante a uma formação que não leva em conta seus anseios nem tampouco a discussão global dos temas tratados.</w:t>
      </w:r>
    </w:p>
    <w:p w14:paraId="5DC23618" w14:textId="551A44AB" w:rsidR="00EE3346" w:rsidRPr="00DD3A94" w:rsidRDefault="00EE3346" w:rsidP="00DD3A94">
      <w:pPr>
        <w:tabs>
          <w:tab w:val="clear" w:pos="1615"/>
        </w:tabs>
        <w:spacing w:line="360" w:lineRule="auto"/>
        <w:ind w:right="-1" w:firstLine="709"/>
        <w:jc w:val="both"/>
        <w:rPr>
          <w:rFonts w:asciiTheme="majorHAnsi" w:hAnsiTheme="majorHAnsi" w:cstheme="majorHAnsi"/>
          <w:sz w:val="24"/>
          <w:szCs w:val="32"/>
          <w:shd w:val="clear" w:color="auto" w:fill="FFFFFF"/>
        </w:rPr>
      </w:pPr>
      <w:r w:rsidRPr="00DD3A94">
        <w:rPr>
          <w:rFonts w:asciiTheme="majorHAnsi" w:hAnsiTheme="majorHAnsi" w:cstheme="majorHAnsi"/>
          <w:sz w:val="24"/>
          <w:szCs w:val="32"/>
          <w:shd w:val="clear" w:color="auto" w:fill="FFFFFF"/>
        </w:rPr>
        <w:t>No campo da pesquisa, a especialização acabou levando a associações multidisciplinares para permitir uma melhor e mais eficiente abordagem de um determinado tema. Assim, ainda que a distribuição de tarefas na realização do projeto não leve obrigatoriamente à apropriação metodológica e de conhecimentos diferentes daqueles da especialidade, a discussão dos resultados e a elaboração escrita da produção acabam levando a uma visão mais abrangente do tema e pode, inclusive, levar à interdisciplinaridade.</w:t>
      </w:r>
    </w:p>
    <w:p w14:paraId="7EA2120E" w14:textId="21A63453" w:rsidR="00EE3346" w:rsidRPr="00DD3A94" w:rsidRDefault="00EE3346" w:rsidP="00DD3A94">
      <w:pPr>
        <w:tabs>
          <w:tab w:val="clear" w:pos="1615"/>
        </w:tabs>
        <w:spacing w:line="360" w:lineRule="auto"/>
        <w:ind w:right="-1" w:firstLine="709"/>
        <w:jc w:val="both"/>
        <w:rPr>
          <w:rFonts w:asciiTheme="majorHAnsi" w:hAnsiTheme="majorHAnsi" w:cstheme="majorHAnsi"/>
          <w:sz w:val="24"/>
          <w:szCs w:val="32"/>
          <w:shd w:val="clear" w:color="auto" w:fill="FFFFFF"/>
        </w:rPr>
      </w:pPr>
      <w:r w:rsidRPr="00DD3A94">
        <w:rPr>
          <w:rFonts w:asciiTheme="majorHAnsi" w:hAnsiTheme="majorHAnsi" w:cstheme="majorHAnsi"/>
          <w:sz w:val="24"/>
          <w:szCs w:val="32"/>
          <w:shd w:val="clear" w:color="auto" w:fill="FFFFFF"/>
        </w:rPr>
        <w:t xml:space="preserve">Desse modo, </w:t>
      </w:r>
      <w:r w:rsidRPr="00DD3A94">
        <w:rPr>
          <w:rFonts w:asciiTheme="majorHAnsi" w:hAnsiTheme="majorHAnsi" w:cstheme="majorHAnsi"/>
          <w:b/>
          <w:sz w:val="24"/>
          <w:szCs w:val="32"/>
          <w:shd w:val="clear" w:color="auto" w:fill="FFFFFF"/>
        </w:rPr>
        <w:t xml:space="preserve">MULTIDISCIPLINAR é a análise de um tema ou objeto a partir de seus diferentes recortes disciplinares. </w:t>
      </w:r>
      <w:r w:rsidRPr="00DD3A94">
        <w:rPr>
          <w:rFonts w:asciiTheme="majorHAnsi" w:hAnsiTheme="majorHAnsi" w:cstheme="majorHAnsi"/>
          <w:sz w:val="24"/>
          <w:szCs w:val="32"/>
          <w:shd w:val="clear" w:color="auto" w:fill="FFFFFF"/>
        </w:rPr>
        <w:t xml:space="preserve">Segundo Nicolescu (1999), trata-se de estudar um objeto inicialmente pertencente a uma disciplina, por várias disciplinas ao mesmo tempo, de modo a enriquecer e aprofundar o conhecimento que se tem do mesmo. </w:t>
      </w:r>
    </w:p>
    <w:p w14:paraId="00320ED3" w14:textId="77777777" w:rsidR="0013293B" w:rsidRPr="00516038" w:rsidRDefault="0013293B" w:rsidP="00516038">
      <w:pPr>
        <w:tabs>
          <w:tab w:val="clear" w:pos="1615"/>
        </w:tabs>
        <w:ind w:right="-1"/>
        <w:jc w:val="both"/>
        <w:rPr>
          <w:rFonts w:asciiTheme="majorHAnsi" w:hAnsiTheme="majorHAnsi" w:cstheme="majorHAnsi"/>
          <w:szCs w:val="28"/>
          <w:shd w:val="clear" w:color="auto" w:fill="FFFFFF"/>
        </w:rPr>
      </w:pPr>
    </w:p>
    <w:p w14:paraId="2A9B8D09" w14:textId="77777777" w:rsidR="00EE3346" w:rsidRPr="00516038" w:rsidRDefault="00EE3346" w:rsidP="0013293B">
      <w:pPr>
        <w:pStyle w:val="Ttulo2"/>
        <w:numPr>
          <w:ilvl w:val="1"/>
          <w:numId w:val="1"/>
        </w:numPr>
        <w:tabs>
          <w:tab w:val="clear" w:pos="1615"/>
        </w:tabs>
        <w:spacing w:before="0" w:after="0" w:line="360" w:lineRule="auto"/>
        <w:ind w:left="993"/>
        <w:rPr>
          <w:rFonts w:asciiTheme="majorHAnsi" w:hAnsiTheme="majorHAnsi" w:cstheme="majorHAnsi"/>
        </w:rPr>
      </w:pPr>
      <w:bookmarkStart w:id="44" w:name="_Toc89878046"/>
      <w:bookmarkStart w:id="45" w:name="_Toc102134981"/>
      <w:r w:rsidRPr="00516038">
        <w:rPr>
          <w:rFonts w:asciiTheme="majorHAnsi" w:hAnsiTheme="majorHAnsi" w:cstheme="majorHAnsi"/>
        </w:rPr>
        <w:t>INTERDISCIPLINARIDADE E TRANSDISCIPLINARIDADE</w:t>
      </w:r>
      <w:bookmarkEnd w:id="44"/>
      <w:bookmarkEnd w:id="45"/>
    </w:p>
    <w:p w14:paraId="2C7E661E" w14:textId="1F820D37" w:rsidR="00EE3346" w:rsidRPr="007C41F7" w:rsidRDefault="00EE3346" w:rsidP="007C41F7">
      <w:pPr>
        <w:tabs>
          <w:tab w:val="clear" w:pos="1615"/>
        </w:tabs>
        <w:spacing w:line="360" w:lineRule="auto"/>
        <w:ind w:right="-1" w:firstLine="709"/>
        <w:jc w:val="both"/>
        <w:rPr>
          <w:rFonts w:asciiTheme="majorHAnsi" w:hAnsiTheme="majorHAnsi" w:cstheme="majorHAnsi"/>
          <w:sz w:val="24"/>
          <w:szCs w:val="32"/>
          <w:shd w:val="clear" w:color="auto" w:fill="FFFFFF"/>
        </w:rPr>
      </w:pPr>
      <w:r w:rsidRPr="007C41F7">
        <w:rPr>
          <w:rFonts w:asciiTheme="majorHAnsi" w:hAnsiTheme="majorHAnsi" w:cstheme="majorHAnsi"/>
          <w:sz w:val="24"/>
          <w:szCs w:val="32"/>
          <w:shd w:val="clear" w:color="auto" w:fill="FFFFFF"/>
        </w:rPr>
        <w:t>Foi em oposição à organização disciplinar e fragmentada que começaram a surgir movimentos de interdisciplinarização, intensificados a partir dos anos 1960 na Europa, reivindicando uma maior integração de conhecimentos e não apenas a sua superposição (FAZENDA, 2021). Necessariamente, a abordagem interdisciplinar é sempre multidisciplinar apesar da recíproca não ser verdadeira.</w:t>
      </w:r>
    </w:p>
    <w:p w14:paraId="08204A32" w14:textId="5B41B58B" w:rsidR="00EE3346" w:rsidRPr="007C41F7" w:rsidRDefault="00EE3346" w:rsidP="007C41F7">
      <w:pPr>
        <w:tabs>
          <w:tab w:val="clear" w:pos="1615"/>
        </w:tabs>
        <w:spacing w:line="360" w:lineRule="auto"/>
        <w:ind w:right="-1" w:firstLine="709"/>
        <w:jc w:val="both"/>
        <w:rPr>
          <w:rFonts w:asciiTheme="majorHAnsi" w:hAnsiTheme="majorHAnsi" w:cstheme="majorHAnsi"/>
          <w:sz w:val="24"/>
          <w:szCs w:val="32"/>
          <w:shd w:val="clear" w:color="auto" w:fill="FFFFFF"/>
        </w:rPr>
      </w:pPr>
      <w:r w:rsidRPr="007C41F7">
        <w:rPr>
          <w:rFonts w:asciiTheme="majorHAnsi" w:hAnsiTheme="majorHAnsi" w:cstheme="majorHAnsi"/>
          <w:sz w:val="24"/>
          <w:szCs w:val="32"/>
          <w:shd w:val="clear" w:color="auto" w:fill="FFFFFF"/>
        </w:rPr>
        <w:t xml:space="preserve">A interdisciplinaridade implica no tratamento das questões que se encontram no limite das disciplinas e que, em muitos casos, representam intersecções das mesmas. E é nesse ponto que reside o maior risco de ela se transformar em algo apenas multidisciplinar, sem integração dos conhecimentos e das relações estabelecidas e, em alguns casos, gerar novas disciplinas que se destacam de suas origens e que acentuam os problemas de fragmentação já citados. É inegável que muitos cursos de graduação criados recentemente são fruto dessa fusão. Na área das engenharias, por exemplo, a despeito das Diretrizes Curriculares Nacionais continuarem abordando a formação em um único documento, a pulverização de formações leva hoje a dezenas de cursos e, em muitos casos, se distanciam do cerne da própria profissão com um excesso de foco formativo que mais se assemelha a um curso superior de tecnologia por conta dessa especificidade. </w:t>
      </w:r>
    </w:p>
    <w:p w14:paraId="59CB039B" w14:textId="3D482A37" w:rsidR="00EE3346" w:rsidRPr="007C41F7" w:rsidRDefault="00EE3346" w:rsidP="007C41F7">
      <w:pPr>
        <w:tabs>
          <w:tab w:val="clear" w:pos="1615"/>
        </w:tabs>
        <w:spacing w:line="360" w:lineRule="auto"/>
        <w:ind w:right="849" w:firstLine="709"/>
        <w:jc w:val="both"/>
        <w:rPr>
          <w:rFonts w:asciiTheme="majorHAnsi" w:hAnsiTheme="majorHAnsi" w:cstheme="majorHAnsi"/>
          <w:sz w:val="24"/>
          <w:szCs w:val="32"/>
          <w:shd w:val="clear" w:color="auto" w:fill="FFFFFF"/>
        </w:rPr>
      </w:pPr>
      <w:r w:rsidRPr="007C41F7">
        <w:rPr>
          <w:rFonts w:asciiTheme="majorHAnsi" w:hAnsiTheme="majorHAnsi" w:cstheme="majorHAnsi"/>
          <w:sz w:val="24"/>
          <w:szCs w:val="32"/>
          <w:shd w:val="clear" w:color="auto" w:fill="FFFFFF"/>
        </w:rPr>
        <w:t xml:space="preserve">Segundo Oliveira e Moreira (2017): </w:t>
      </w:r>
    </w:p>
    <w:p w14:paraId="14885C38" w14:textId="77777777" w:rsidR="00DD3A94" w:rsidRPr="00516038" w:rsidRDefault="00DD3A94" w:rsidP="00516038">
      <w:pPr>
        <w:tabs>
          <w:tab w:val="clear" w:pos="1615"/>
        </w:tabs>
        <w:ind w:right="849"/>
        <w:jc w:val="both"/>
        <w:rPr>
          <w:rFonts w:asciiTheme="majorHAnsi" w:hAnsiTheme="majorHAnsi" w:cstheme="majorHAnsi"/>
          <w:szCs w:val="28"/>
          <w:shd w:val="clear" w:color="auto" w:fill="FFFFFF"/>
        </w:rPr>
      </w:pPr>
    </w:p>
    <w:p w14:paraId="5C5627ED" w14:textId="4E469AD2" w:rsidR="00EE3346" w:rsidRDefault="00EE3346" w:rsidP="00516038">
      <w:pPr>
        <w:tabs>
          <w:tab w:val="clear" w:pos="1615"/>
        </w:tabs>
        <w:ind w:left="2268" w:right="849"/>
        <w:jc w:val="both"/>
        <w:rPr>
          <w:rFonts w:asciiTheme="majorHAnsi" w:hAnsiTheme="majorHAnsi" w:cstheme="majorHAnsi"/>
          <w:szCs w:val="28"/>
          <w:shd w:val="clear" w:color="auto" w:fill="FFFFFF"/>
        </w:rPr>
      </w:pPr>
      <w:r w:rsidRPr="00516038">
        <w:rPr>
          <w:rFonts w:asciiTheme="majorHAnsi" w:hAnsiTheme="majorHAnsi" w:cstheme="majorHAnsi"/>
          <w:szCs w:val="28"/>
          <w:shd w:val="clear" w:color="auto" w:fill="FFFFFF"/>
        </w:rPr>
        <w:t>O pensamento cartesiano que permitiu as especializações para dar conta dos problemas existentes favoreceu os exageros reducionistas das hiperespecializações, com riscos para a integração dos vários saberes e a cristalização das informações pela ausência de oxigenação vinda através de outros olhares. A departamentalização nas universidades mais antigas, de onde provém a maioria dos docentes e pesquisadores em atuação, matou a vocação natural da academia para o diálogo aberto e franco com atores diversos, conduzindo-a a uma nefasta reprodução do conhecimento voltado prioritariamente para o mercado de trabalho. O ensino ficou empobrecido ao ser tratado como mercadoria. (OLIVEIRA E MOREIRA, 2017, p. 3).</w:t>
      </w:r>
    </w:p>
    <w:p w14:paraId="05AE5943" w14:textId="77777777" w:rsidR="00DD3A94" w:rsidRPr="00516038" w:rsidRDefault="00DD3A94" w:rsidP="00516038">
      <w:pPr>
        <w:tabs>
          <w:tab w:val="clear" w:pos="1615"/>
        </w:tabs>
        <w:ind w:left="2268" w:right="849"/>
        <w:jc w:val="both"/>
        <w:rPr>
          <w:rFonts w:asciiTheme="majorHAnsi" w:hAnsiTheme="majorHAnsi" w:cstheme="majorHAnsi"/>
          <w:szCs w:val="28"/>
          <w:shd w:val="clear" w:color="auto" w:fill="FFFFFF"/>
        </w:rPr>
      </w:pPr>
    </w:p>
    <w:p w14:paraId="70468809" w14:textId="02DE890A" w:rsidR="00EE3346" w:rsidRPr="007C41F7" w:rsidRDefault="00EE3346" w:rsidP="007C41F7">
      <w:pPr>
        <w:tabs>
          <w:tab w:val="clear" w:pos="1615"/>
        </w:tabs>
        <w:spacing w:line="360" w:lineRule="auto"/>
        <w:ind w:right="-1" w:firstLine="709"/>
        <w:jc w:val="both"/>
        <w:rPr>
          <w:rFonts w:asciiTheme="majorHAnsi" w:hAnsiTheme="majorHAnsi" w:cstheme="majorHAnsi"/>
          <w:sz w:val="24"/>
          <w:szCs w:val="32"/>
          <w:shd w:val="clear" w:color="auto" w:fill="FFFFFF"/>
        </w:rPr>
      </w:pPr>
      <w:r w:rsidRPr="007C41F7">
        <w:rPr>
          <w:rFonts w:asciiTheme="majorHAnsi" w:hAnsiTheme="majorHAnsi" w:cstheme="majorHAnsi"/>
          <w:sz w:val="24"/>
          <w:szCs w:val="32"/>
          <w:shd w:val="clear" w:color="auto" w:fill="FFFFFF"/>
        </w:rPr>
        <w:t xml:space="preserve">A discussão e o estabelecimento do conceito de interdisciplinaridade tomaram corpo no debate sobre estrutura comparativa, relações e hierarquias entre as diferentes disciplinas científicas, com grande influência do físico romeno Basarab Nicolescu, atualmente na Universidade Pierre e Marie Curie em Paris e fundador do CIRET – Centre International de Recherches sur les études de transdisciplinarité. Segundo ele (NICOLESCU, 2012), podemos distinguir três graus de interdisciplinaridade: </w:t>
      </w:r>
    </w:p>
    <w:p w14:paraId="5CDDB269" w14:textId="77777777" w:rsidR="00EE3346" w:rsidRPr="007C41F7" w:rsidRDefault="00EE3346" w:rsidP="007C41F7">
      <w:pPr>
        <w:pStyle w:val="PargrafodaLista"/>
        <w:numPr>
          <w:ilvl w:val="0"/>
          <w:numId w:val="3"/>
        </w:numPr>
        <w:tabs>
          <w:tab w:val="clear" w:pos="1615"/>
        </w:tabs>
        <w:spacing w:line="360" w:lineRule="auto"/>
        <w:ind w:right="-1"/>
        <w:jc w:val="both"/>
        <w:rPr>
          <w:rFonts w:asciiTheme="majorHAnsi" w:hAnsiTheme="majorHAnsi" w:cstheme="majorHAnsi"/>
          <w:sz w:val="24"/>
          <w:szCs w:val="32"/>
          <w:shd w:val="clear" w:color="auto" w:fill="FFFFFF"/>
        </w:rPr>
      </w:pPr>
      <w:r w:rsidRPr="007C41F7">
        <w:rPr>
          <w:rFonts w:asciiTheme="majorHAnsi" w:hAnsiTheme="majorHAnsi" w:cstheme="majorHAnsi"/>
          <w:sz w:val="24"/>
          <w:szCs w:val="32"/>
          <w:shd w:val="clear" w:color="auto" w:fill="FFFFFF"/>
        </w:rPr>
        <w:t xml:space="preserve">Grau de aplicação: quando algum método de uma dada disciplina é transferido para outra área. Por exemplo, o uso de Raios-X para diagnóstico na área médica ou os raios </w:t>
      </w:r>
      <w:r w:rsidRPr="007C41F7">
        <w:rPr>
          <w:rFonts w:asciiTheme="majorHAnsi" w:hAnsiTheme="majorHAnsi" w:cstheme="majorHAnsi"/>
          <w:i/>
          <w:iCs/>
          <w:sz w:val="24"/>
          <w:szCs w:val="32"/>
          <w:shd w:val="clear" w:color="auto" w:fill="FFFFFF"/>
        </w:rPr>
        <w:t>laser</w:t>
      </w:r>
      <w:r w:rsidRPr="007C41F7">
        <w:rPr>
          <w:rFonts w:asciiTheme="majorHAnsi" w:hAnsiTheme="majorHAnsi" w:cstheme="majorHAnsi"/>
          <w:sz w:val="24"/>
          <w:szCs w:val="32"/>
          <w:shd w:val="clear" w:color="auto" w:fill="FFFFFF"/>
        </w:rPr>
        <w:t xml:space="preserve"> como ferramenta cirúrgica etc.;</w:t>
      </w:r>
    </w:p>
    <w:p w14:paraId="40124AC6" w14:textId="77777777" w:rsidR="00EE3346" w:rsidRPr="007C41F7" w:rsidRDefault="00EE3346" w:rsidP="007C41F7">
      <w:pPr>
        <w:pStyle w:val="PargrafodaLista"/>
        <w:numPr>
          <w:ilvl w:val="0"/>
          <w:numId w:val="3"/>
        </w:numPr>
        <w:tabs>
          <w:tab w:val="clear" w:pos="1615"/>
        </w:tabs>
        <w:spacing w:line="360" w:lineRule="auto"/>
        <w:ind w:right="-1"/>
        <w:jc w:val="both"/>
        <w:rPr>
          <w:rFonts w:asciiTheme="majorHAnsi" w:hAnsiTheme="majorHAnsi" w:cstheme="majorHAnsi"/>
          <w:sz w:val="24"/>
          <w:szCs w:val="32"/>
          <w:shd w:val="clear" w:color="auto" w:fill="FFFFFF"/>
        </w:rPr>
      </w:pPr>
      <w:r w:rsidRPr="007C41F7">
        <w:rPr>
          <w:rFonts w:asciiTheme="majorHAnsi" w:hAnsiTheme="majorHAnsi" w:cstheme="majorHAnsi"/>
          <w:sz w:val="24"/>
          <w:szCs w:val="32"/>
          <w:shd w:val="clear" w:color="auto" w:fill="FFFFFF"/>
        </w:rPr>
        <w:t>Grau epistemológico: quando epistemes de uma dada área ou disciplina são aplicados em outra, gerando análises que ampliam a compreensão dessa outra área, como, por exemplo a epistemologia genética de Piaget e sua influência na educação ou o uso de métodos científicos na estruturação de jurisprudência no direito penal etc.;</w:t>
      </w:r>
    </w:p>
    <w:p w14:paraId="18CB6599" w14:textId="77777777" w:rsidR="00EE3346" w:rsidRPr="007C41F7" w:rsidRDefault="00EE3346" w:rsidP="007C41F7">
      <w:pPr>
        <w:pStyle w:val="PargrafodaLista"/>
        <w:numPr>
          <w:ilvl w:val="0"/>
          <w:numId w:val="3"/>
        </w:numPr>
        <w:tabs>
          <w:tab w:val="clear" w:pos="1615"/>
        </w:tabs>
        <w:spacing w:line="360" w:lineRule="auto"/>
        <w:ind w:right="-1"/>
        <w:jc w:val="both"/>
        <w:rPr>
          <w:rFonts w:asciiTheme="majorHAnsi" w:hAnsiTheme="majorHAnsi" w:cstheme="majorHAnsi"/>
          <w:sz w:val="24"/>
          <w:szCs w:val="32"/>
          <w:shd w:val="clear" w:color="auto" w:fill="FFFFFF"/>
        </w:rPr>
      </w:pPr>
      <w:r w:rsidRPr="007C41F7">
        <w:rPr>
          <w:rFonts w:asciiTheme="majorHAnsi" w:hAnsiTheme="majorHAnsi" w:cstheme="majorHAnsi"/>
          <w:sz w:val="24"/>
          <w:szCs w:val="32"/>
          <w:shd w:val="clear" w:color="auto" w:fill="FFFFFF"/>
        </w:rPr>
        <w:t>Grau de geração de novas disciplinas: quando a transferência de métodos ou epistemes de uma disciplina interferem de tal maneira sobre a outra que criam um novo campo disciplinar: bioestatística, astrofísica, teoria do caos, cosmologia quântica etc. são exemplos que ilustram esse grau.</w:t>
      </w:r>
    </w:p>
    <w:p w14:paraId="4E0565FD" w14:textId="2E3BFB8F" w:rsidR="00EE3346" w:rsidRPr="007C41F7" w:rsidRDefault="00EE3346" w:rsidP="007C41F7">
      <w:pPr>
        <w:tabs>
          <w:tab w:val="clear" w:pos="1615"/>
        </w:tabs>
        <w:spacing w:line="360" w:lineRule="auto"/>
        <w:ind w:right="-1" w:firstLine="709"/>
        <w:jc w:val="both"/>
        <w:rPr>
          <w:rFonts w:asciiTheme="majorHAnsi" w:hAnsiTheme="majorHAnsi" w:cstheme="majorHAnsi"/>
          <w:sz w:val="24"/>
          <w:szCs w:val="32"/>
          <w:shd w:val="clear" w:color="auto" w:fill="FFFFFF"/>
        </w:rPr>
      </w:pPr>
      <w:r w:rsidRPr="007C41F7">
        <w:rPr>
          <w:rFonts w:asciiTheme="majorHAnsi" w:hAnsiTheme="majorHAnsi" w:cstheme="majorHAnsi"/>
          <w:sz w:val="24"/>
          <w:szCs w:val="32"/>
          <w:shd w:val="clear" w:color="auto" w:fill="FFFFFF"/>
        </w:rPr>
        <w:t>Dessa forma, percebe-se que, apesar da interdisciplinaridade ultrapassar os limites da multidisciplinaridade e da disciplinaridade, ela continua apresentando a mesma lógica referencial dessas últimas. Isso é corroborado pelo fato de que o diálogo entre os saberes ocorre sem que cada um perca suas características e especificidades (MORIN, 1995).</w:t>
      </w:r>
    </w:p>
    <w:p w14:paraId="402678B8" w14:textId="4E2E55E6" w:rsidR="00EE3346" w:rsidRPr="007C41F7" w:rsidRDefault="00EE3346" w:rsidP="007C41F7">
      <w:pPr>
        <w:tabs>
          <w:tab w:val="clear" w:pos="1615"/>
        </w:tabs>
        <w:spacing w:line="360" w:lineRule="auto"/>
        <w:ind w:right="-1" w:firstLine="709"/>
        <w:jc w:val="both"/>
        <w:rPr>
          <w:rFonts w:asciiTheme="majorHAnsi" w:hAnsiTheme="majorHAnsi" w:cstheme="majorHAnsi"/>
          <w:sz w:val="24"/>
          <w:szCs w:val="24"/>
        </w:rPr>
      </w:pPr>
      <w:r w:rsidRPr="007C41F7">
        <w:rPr>
          <w:rFonts w:asciiTheme="majorHAnsi" w:hAnsiTheme="majorHAnsi" w:cstheme="majorHAnsi"/>
          <w:sz w:val="24"/>
          <w:szCs w:val="32"/>
          <w:shd w:val="clear" w:color="auto" w:fill="FFFFFF"/>
        </w:rPr>
        <w:t>Assim, a</w:t>
      </w:r>
      <w:r w:rsidRPr="007C41F7">
        <w:rPr>
          <w:rFonts w:asciiTheme="majorHAnsi" w:hAnsiTheme="majorHAnsi" w:cstheme="majorHAnsi"/>
          <w:b/>
          <w:sz w:val="24"/>
          <w:szCs w:val="32"/>
          <w:shd w:val="clear" w:color="auto" w:fill="FFFFFF"/>
        </w:rPr>
        <w:t xml:space="preserve"> INTERDISCIPLINARIDADE ocorre na fronteira entre as diferentes disciplinas de diferentes áreas e pode se desprender dos limites de ambas, buscando </w:t>
      </w:r>
      <w:r w:rsidRPr="007C41F7">
        <w:rPr>
          <w:rFonts w:asciiTheme="majorHAnsi" w:hAnsiTheme="majorHAnsi" w:cstheme="majorHAnsi"/>
          <w:b/>
          <w:sz w:val="24"/>
          <w:szCs w:val="24"/>
        </w:rPr>
        <w:t>uma síntese ou um novo olhar sobre elas</w:t>
      </w:r>
      <w:r w:rsidRPr="007C41F7">
        <w:rPr>
          <w:rFonts w:asciiTheme="majorHAnsi" w:hAnsiTheme="majorHAnsi" w:cstheme="majorHAnsi"/>
          <w:sz w:val="24"/>
          <w:szCs w:val="24"/>
        </w:rPr>
        <w:t xml:space="preserve"> e, por isso, em muitos, casos acaba por fundir os domínios em uma nova disciplina, conforme já discutido anteriormente.</w:t>
      </w:r>
    </w:p>
    <w:p w14:paraId="1EF21492" w14:textId="62A224D4" w:rsidR="00EE3346" w:rsidRPr="007C41F7" w:rsidRDefault="00EE3346" w:rsidP="007C41F7">
      <w:pPr>
        <w:tabs>
          <w:tab w:val="clear" w:pos="1615"/>
        </w:tabs>
        <w:spacing w:line="360" w:lineRule="auto"/>
        <w:ind w:right="-1" w:firstLine="709"/>
        <w:jc w:val="both"/>
        <w:rPr>
          <w:rFonts w:asciiTheme="majorHAnsi" w:hAnsiTheme="majorHAnsi" w:cstheme="majorHAnsi"/>
          <w:sz w:val="24"/>
          <w:szCs w:val="24"/>
        </w:rPr>
      </w:pPr>
      <w:r w:rsidRPr="007C41F7">
        <w:rPr>
          <w:rFonts w:asciiTheme="majorHAnsi" w:hAnsiTheme="majorHAnsi" w:cstheme="majorHAnsi"/>
          <w:sz w:val="24"/>
          <w:szCs w:val="32"/>
          <w:shd w:val="clear" w:color="auto" w:fill="FFFFFF"/>
        </w:rPr>
        <w:t xml:space="preserve">Como se percebe, nem a disciplina nem a multidisciplinaridade nem tampouco a interdisciplinaridade dão conta da complexidade do que se transformou o conhecimento humano e suas inter-relações e significados reais. Por isso, atribui-se, ainda nos anos 1970, durante o I </w:t>
      </w:r>
      <w:r w:rsidRPr="007C41F7">
        <w:rPr>
          <w:rFonts w:asciiTheme="majorHAnsi" w:hAnsiTheme="majorHAnsi" w:cstheme="majorHAnsi"/>
          <w:sz w:val="24"/>
          <w:szCs w:val="24"/>
        </w:rPr>
        <w:t>Seminário Internacional sobre pluri e interdisciplinaridade, realizado na Universidade de Nice, na França, o surgimento do termo “transdisciplinaridade”, que teria sido utilizado por Jean Piaget e que se sobreporia à interdisciplinaridade, em trabalhos apresentados por ele nesse seminário, mas também por outros intelectuais, especialmente Edgar Morin e Eric Jantsch, que apostaram na transgressão das fronteiras impostas pelas disciplinas acadêmicas (SANTOS, 2008).</w:t>
      </w:r>
    </w:p>
    <w:p w14:paraId="480BE3D4" w14:textId="0CA31332" w:rsidR="00EE3346" w:rsidRPr="007C41F7" w:rsidRDefault="00EE3346" w:rsidP="007C41F7">
      <w:pPr>
        <w:tabs>
          <w:tab w:val="clear" w:pos="1615"/>
        </w:tabs>
        <w:spacing w:line="360" w:lineRule="auto"/>
        <w:ind w:right="-1" w:firstLine="709"/>
        <w:jc w:val="both"/>
        <w:rPr>
          <w:rFonts w:asciiTheme="majorHAnsi" w:hAnsiTheme="majorHAnsi" w:cstheme="majorHAnsi"/>
          <w:sz w:val="24"/>
          <w:szCs w:val="24"/>
        </w:rPr>
      </w:pPr>
      <w:r w:rsidRPr="007C41F7">
        <w:rPr>
          <w:rFonts w:asciiTheme="majorHAnsi" w:hAnsiTheme="majorHAnsi" w:cstheme="majorHAnsi"/>
          <w:sz w:val="24"/>
          <w:szCs w:val="24"/>
        </w:rPr>
        <w:t>Desse modo, e confirmado em diversos relatos da literatura, Piaget teria definido transdisciplinaridade em uma comunicação feita nesse Seminário:</w:t>
      </w:r>
    </w:p>
    <w:p w14:paraId="67240CF3" w14:textId="77777777" w:rsidR="00DD3A94" w:rsidRPr="00516038" w:rsidRDefault="00DD3A94" w:rsidP="00516038">
      <w:pPr>
        <w:tabs>
          <w:tab w:val="clear" w:pos="1615"/>
        </w:tabs>
        <w:ind w:right="-1"/>
        <w:jc w:val="both"/>
        <w:rPr>
          <w:rFonts w:asciiTheme="majorHAnsi" w:hAnsiTheme="majorHAnsi" w:cstheme="majorHAnsi"/>
        </w:rPr>
      </w:pPr>
    </w:p>
    <w:p w14:paraId="0B301E1A" w14:textId="6D11B16C" w:rsidR="00EE3346" w:rsidRDefault="00EE3346" w:rsidP="00516038">
      <w:pPr>
        <w:tabs>
          <w:tab w:val="clear" w:pos="1615"/>
        </w:tabs>
        <w:ind w:left="2268" w:right="-1"/>
        <w:jc w:val="both"/>
        <w:rPr>
          <w:rFonts w:asciiTheme="majorHAnsi" w:hAnsiTheme="majorHAnsi" w:cstheme="majorHAnsi"/>
          <w:sz w:val="20"/>
          <w:szCs w:val="20"/>
        </w:rPr>
      </w:pPr>
      <w:r w:rsidRPr="00516038">
        <w:rPr>
          <w:rFonts w:asciiTheme="majorHAnsi" w:hAnsiTheme="majorHAnsi" w:cstheme="majorHAnsi"/>
          <w:sz w:val="20"/>
          <w:szCs w:val="20"/>
        </w:rPr>
        <w:t>“(...) à etapa das relações interdisciplinares, podemos esperar ver sucedê-la uma etapa superior que seria ‘transdisciplinar’, que não se contentaria em encontrar interações ou reciprocidades entre pesquisas especializadas, mas situaria essas ligações no interior de um sistema total, sem fronteira estável entre essas disciplinas.”</w:t>
      </w:r>
      <w:r w:rsidRPr="00516038">
        <w:rPr>
          <w:rStyle w:val="Refdenotaderodap"/>
          <w:rFonts w:asciiTheme="majorHAnsi" w:hAnsiTheme="majorHAnsi" w:cstheme="majorHAnsi"/>
          <w:sz w:val="20"/>
          <w:szCs w:val="20"/>
        </w:rPr>
        <w:footnoteReference w:id="1"/>
      </w:r>
      <w:r w:rsidRPr="00516038">
        <w:rPr>
          <w:rFonts w:asciiTheme="majorHAnsi" w:hAnsiTheme="majorHAnsi" w:cstheme="majorHAnsi"/>
          <w:sz w:val="20"/>
          <w:szCs w:val="20"/>
        </w:rPr>
        <w:t xml:space="preserve"> (SOMMERMAN, 2003, p. 100).</w:t>
      </w:r>
    </w:p>
    <w:p w14:paraId="5AD072B2" w14:textId="77777777" w:rsidR="00DD3A94" w:rsidRPr="00516038" w:rsidRDefault="00DD3A94" w:rsidP="00516038">
      <w:pPr>
        <w:tabs>
          <w:tab w:val="clear" w:pos="1615"/>
        </w:tabs>
        <w:ind w:left="2268" w:right="-1"/>
        <w:jc w:val="both"/>
        <w:rPr>
          <w:rFonts w:asciiTheme="majorHAnsi" w:hAnsiTheme="majorHAnsi" w:cstheme="majorHAnsi"/>
          <w:sz w:val="20"/>
          <w:szCs w:val="20"/>
        </w:rPr>
      </w:pPr>
    </w:p>
    <w:p w14:paraId="4FFF7601" w14:textId="20F4D0F8" w:rsidR="00EE3346" w:rsidRPr="007C41F7" w:rsidRDefault="00EE3346" w:rsidP="007C41F7">
      <w:pPr>
        <w:tabs>
          <w:tab w:val="clear" w:pos="1615"/>
          <w:tab w:val="left" w:pos="1553"/>
        </w:tabs>
        <w:spacing w:line="360" w:lineRule="auto"/>
        <w:ind w:right="28" w:firstLine="709"/>
        <w:jc w:val="both"/>
        <w:rPr>
          <w:rFonts w:asciiTheme="majorHAnsi" w:hAnsiTheme="majorHAnsi" w:cstheme="majorHAnsi"/>
          <w:iCs/>
          <w:sz w:val="24"/>
          <w:szCs w:val="20"/>
          <w:shd w:val="clear" w:color="auto" w:fill="FFFFFF"/>
        </w:rPr>
      </w:pPr>
      <w:r w:rsidRPr="007C41F7">
        <w:rPr>
          <w:rFonts w:asciiTheme="majorHAnsi" w:hAnsiTheme="majorHAnsi" w:cstheme="majorHAnsi"/>
          <w:iCs/>
          <w:sz w:val="24"/>
          <w:szCs w:val="20"/>
          <w:shd w:val="clear" w:color="auto" w:fill="FFFFFF"/>
        </w:rPr>
        <w:t>Em 1994, o movimento realizou seu I Congresso Mundial da Transdisciplinaridade, no Convento da Arrábida, em Portugal, elaborando a “Carta da Transdisciplinaridade” (FREITAS, MORIN e NICOLESCU, 1994) com 15 artigos. O texto estabeleceu uma série de parâmetros para a sua caracterização, destacando o reconhecimento de diferentes níveis de realidade, com lógicas diferentes e a complementariedade da transdisciplinaridade com a abordagem disciplinar e não sua oposição, a partir da unificação semântica e operativa das acepções através e além das disciplinas; destacaram, ainda as características do rigor da argumentação, a abertura da aceitação do inesperado e imprevisível e a tolerância ao direito de ideias diferentes como características da transdisciplinaridade. Em 2005, foi realizado o II Congresso Mundial, em Vitória, ES, no Brasil, que reforçou a necessidade de articulação entre os saberes das ciências, artes, filosofia e os diferentes modos de percepção e descrição da realidade e do real, da pluralidade epistemológica da pesquisa transdisciplinar e da articulação da formação do ser humano e sua relação com o mundo (SOMMERMAN, MELLO e BARROS, 2005). Finalmente, o III Congresso Mundial, que estava previsto para 2020 na cidade do México, foi adiado para 2022 em função da Pandemia da COVID-19.</w:t>
      </w:r>
    </w:p>
    <w:p w14:paraId="165EE4CD" w14:textId="29523329" w:rsidR="00EE3346" w:rsidRDefault="00EE3346" w:rsidP="007C41F7">
      <w:pPr>
        <w:tabs>
          <w:tab w:val="clear" w:pos="1615"/>
          <w:tab w:val="left" w:pos="1553"/>
        </w:tabs>
        <w:spacing w:line="360" w:lineRule="auto"/>
        <w:ind w:right="28" w:firstLine="709"/>
        <w:jc w:val="both"/>
        <w:rPr>
          <w:rFonts w:asciiTheme="majorHAnsi" w:hAnsiTheme="majorHAnsi" w:cstheme="majorHAnsi"/>
          <w:iCs/>
          <w:sz w:val="24"/>
          <w:szCs w:val="20"/>
          <w:shd w:val="clear" w:color="auto" w:fill="FFFFFF"/>
        </w:rPr>
      </w:pPr>
      <w:r w:rsidRPr="007C41F7">
        <w:rPr>
          <w:rFonts w:asciiTheme="majorHAnsi" w:hAnsiTheme="majorHAnsi" w:cstheme="majorHAnsi"/>
          <w:iCs/>
          <w:sz w:val="24"/>
          <w:szCs w:val="20"/>
          <w:shd w:val="clear" w:color="auto" w:fill="FFFFFF"/>
        </w:rPr>
        <w:t>Também com importância e envolvimento do mesmo grupo (CIRET), foi realizado o Congresso de Locarno, em 1997, para a apresentação da síntese do relatório organizado por Madeleine Gobeil (UNESCO) e Basarab Nicolescu (CIRET), que teve, como um dos objetivos, alertar para a necessidade da Universidade evoluir para a sua missão de “estudo do universal”, hoje caracterizado por uma complexidade crescente. Foi também proposta a mudança do sistema de referência para a solução de problemas, conforme segue:</w:t>
      </w:r>
    </w:p>
    <w:p w14:paraId="5181631E" w14:textId="77777777" w:rsidR="007C41F7" w:rsidRPr="007C41F7" w:rsidRDefault="007C41F7" w:rsidP="007C41F7">
      <w:pPr>
        <w:tabs>
          <w:tab w:val="clear" w:pos="1615"/>
          <w:tab w:val="left" w:pos="1553"/>
        </w:tabs>
        <w:spacing w:line="360" w:lineRule="auto"/>
        <w:ind w:right="28" w:firstLine="709"/>
        <w:jc w:val="both"/>
        <w:rPr>
          <w:rFonts w:asciiTheme="majorHAnsi" w:hAnsiTheme="majorHAnsi" w:cstheme="majorHAnsi"/>
          <w:iCs/>
          <w:sz w:val="24"/>
          <w:szCs w:val="20"/>
          <w:shd w:val="clear" w:color="auto" w:fill="FFFFFF"/>
        </w:rPr>
      </w:pPr>
    </w:p>
    <w:p w14:paraId="517C372E" w14:textId="77777777" w:rsidR="00EE3346" w:rsidRPr="00516038" w:rsidRDefault="00EE3346" w:rsidP="00516038">
      <w:pPr>
        <w:pStyle w:val="PargrafodaLista"/>
        <w:numPr>
          <w:ilvl w:val="0"/>
          <w:numId w:val="4"/>
        </w:numPr>
        <w:shd w:val="clear" w:color="auto" w:fill="FFFFFF"/>
        <w:tabs>
          <w:tab w:val="clear" w:pos="1615"/>
        </w:tabs>
        <w:spacing w:after="0"/>
        <w:ind w:left="2268" w:right="849" w:firstLine="0"/>
        <w:jc w:val="both"/>
        <w:rPr>
          <w:rFonts w:asciiTheme="majorHAnsi" w:eastAsia="Times New Roman" w:hAnsiTheme="majorHAnsi" w:cstheme="majorHAnsi"/>
          <w:color w:val="000000"/>
          <w:szCs w:val="18"/>
          <w:lang w:eastAsia="pt-BR"/>
        </w:rPr>
      </w:pPr>
      <w:r w:rsidRPr="00516038">
        <w:rPr>
          <w:rFonts w:asciiTheme="majorHAnsi" w:eastAsia="Times New Roman" w:hAnsiTheme="majorHAnsi" w:cstheme="majorHAnsi"/>
          <w:color w:val="000000"/>
          <w:szCs w:val="18"/>
          <w:lang w:eastAsia="pt-BR"/>
        </w:rPr>
        <w:t>considerar cada problema não mais a partir de um único nível de realidade, mas situando-o simultaneamente no campo de </w:t>
      </w:r>
      <w:r w:rsidRPr="00516038">
        <w:rPr>
          <w:rFonts w:asciiTheme="majorHAnsi" w:eastAsia="Times New Roman" w:hAnsiTheme="majorHAnsi" w:cstheme="majorHAnsi"/>
          <w:b/>
          <w:bCs/>
          <w:color w:val="000000"/>
          <w:szCs w:val="18"/>
          <w:lang w:eastAsia="pt-BR"/>
        </w:rPr>
        <w:t xml:space="preserve">vários níveis de realidade; </w:t>
      </w:r>
    </w:p>
    <w:p w14:paraId="255DCE15" w14:textId="77777777" w:rsidR="00EE3346" w:rsidRPr="00516038" w:rsidRDefault="00EE3346" w:rsidP="00516038">
      <w:pPr>
        <w:pStyle w:val="PargrafodaLista"/>
        <w:numPr>
          <w:ilvl w:val="0"/>
          <w:numId w:val="4"/>
        </w:numPr>
        <w:shd w:val="clear" w:color="auto" w:fill="FFFFFF"/>
        <w:tabs>
          <w:tab w:val="clear" w:pos="1615"/>
        </w:tabs>
        <w:spacing w:after="0"/>
        <w:ind w:left="2268" w:right="849" w:firstLine="0"/>
        <w:jc w:val="both"/>
        <w:rPr>
          <w:rFonts w:asciiTheme="majorHAnsi" w:eastAsia="Times New Roman" w:hAnsiTheme="majorHAnsi" w:cstheme="majorHAnsi"/>
          <w:color w:val="000000"/>
          <w:szCs w:val="18"/>
          <w:lang w:eastAsia="pt-BR"/>
        </w:rPr>
      </w:pPr>
      <w:r w:rsidRPr="00516038">
        <w:rPr>
          <w:rFonts w:asciiTheme="majorHAnsi" w:eastAsia="Times New Roman" w:hAnsiTheme="majorHAnsi" w:cstheme="majorHAnsi"/>
          <w:color w:val="000000"/>
          <w:szCs w:val="18"/>
          <w:lang w:eastAsia="pt-BR"/>
        </w:rPr>
        <w:t>não mais esperar encontrar a solução de um problema nos termos de "verdadeiro" ou "falso" da lógica binária, mas recorrer a novas lógicas, particularmente a </w:t>
      </w:r>
      <w:r w:rsidRPr="00516038">
        <w:rPr>
          <w:rFonts w:asciiTheme="majorHAnsi" w:eastAsia="Times New Roman" w:hAnsiTheme="majorHAnsi" w:cstheme="majorHAnsi"/>
          <w:b/>
          <w:bCs/>
          <w:color w:val="000000"/>
          <w:szCs w:val="18"/>
          <w:lang w:eastAsia="pt-BR"/>
        </w:rPr>
        <w:t>lógica do terceiro termo incluso</w:t>
      </w:r>
      <w:r w:rsidRPr="00516038">
        <w:rPr>
          <w:rFonts w:asciiTheme="majorHAnsi" w:eastAsia="Times New Roman" w:hAnsiTheme="majorHAnsi" w:cstheme="majorHAnsi"/>
          <w:color w:val="000000"/>
          <w:szCs w:val="18"/>
          <w:lang w:eastAsia="pt-BR"/>
        </w:rPr>
        <w:t>: a solução de um problema só pode ser encontrada pela </w:t>
      </w:r>
      <w:r w:rsidRPr="00516038">
        <w:rPr>
          <w:rFonts w:asciiTheme="majorHAnsi" w:eastAsia="Times New Roman" w:hAnsiTheme="majorHAnsi" w:cstheme="majorHAnsi"/>
          <w:i/>
          <w:iCs/>
          <w:color w:val="000000"/>
          <w:szCs w:val="18"/>
          <w:lang w:eastAsia="pt-BR"/>
        </w:rPr>
        <w:t>conciliação temporária dos contraditórios</w:t>
      </w:r>
      <w:r w:rsidRPr="00516038">
        <w:rPr>
          <w:rFonts w:asciiTheme="majorHAnsi" w:eastAsia="Times New Roman" w:hAnsiTheme="majorHAnsi" w:cstheme="majorHAnsi"/>
          <w:color w:val="000000"/>
          <w:szCs w:val="18"/>
          <w:lang w:eastAsia="pt-BR"/>
        </w:rPr>
        <w:t xml:space="preserve">, ligando-os a um nível de realidade diferente daquele no qual esses contraditórios se manifestam; </w:t>
      </w:r>
    </w:p>
    <w:p w14:paraId="1AB7C476" w14:textId="0CA76074" w:rsidR="00EE3346" w:rsidRDefault="00EE3346" w:rsidP="00516038">
      <w:pPr>
        <w:pStyle w:val="PargrafodaLista"/>
        <w:numPr>
          <w:ilvl w:val="0"/>
          <w:numId w:val="4"/>
        </w:numPr>
        <w:shd w:val="clear" w:color="auto" w:fill="FFFFFF"/>
        <w:tabs>
          <w:tab w:val="clear" w:pos="1615"/>
        </w:tabs>
        <w:ind w:left="2268" w:right="851" w:firstLine="0"/>
        <w:jc w:val="both"/>
        <w:rPr>
          <w:rFonts w:asciiTheme="majorHAnsi" w:eastAsia="Times New Roman" w:hAnsiTheme="majorHAnsi" w:cstheme="majorHAnsi"/>
          <w:color w:val="000000"/>
          <w:szCs w:val="18"/>
          <w:lang w:eastAsia="pt-BR"/>
        </w:rPr>
      </w:pPr>
      <w:r w:rsidRPr="00516038">
        <w:rPr>
          <w:rFonts w:asciiTheme="majorHAnsi" w:eastAsia="Times New Roman" w:hAnsiTheme="majorHAnsi" w:cstheme="majorHAnsi"/>
          <w:color w:val="000000"/>
          <w:szCs w:val="18"/>
          <w:lang w:eastAsia="pt-BR"/>
        </w:rPr>
        <w:t>conhecer a complexidade intrínseca do problema, isto é, a impossibilidade da decomposição desse problema em partes simples, fundamentais. Na ausência de fundamentos, ausência que caracteriza o mundo atual, "mudar de sistema de referência" também quer dizer tomar como fundamento precisamente a ausência de fundamentos. Em outras palavras, substituir a noção de "fundamento" pela </w:t>
      </w:r>
      <w:r w:rsidRPr="00516038">
        <w:rPr>
          <w:rFonts w:asciiTheme="majorHAnsi" w:eastAsia="Times New Roman" w:hAnsiTheme="majorHAnsi" w:cstheme="majorHAnsi"/>
          <w:i/>
          <w:iCs/>
          <w:color w:val="000000"/>
          <w:szCs w:val="18"/>
          <w:lang w:eastAsia="pt-BR"/>
        </w:rPr>
        <w:t>coerência </w:t>
      </w:r>
      <w:r w:rsidRPr="00516038">
        <w:rPr>
          <w:rFonts w:asciiTheme="majorHAnsi" w:eastAsia="Times New Roman" w:hAnsiTheme="majorHAnsi" w:cstheme="majorHAnsi"/>
          <w:color w:val="000000"/>
          <w:szCs w:val="18"/>
          <w:lang w:eastAsia="pt-BR"/>
        </w:rPr>
        <w:t>deste mundo multidimensional e multirreferencial. (NICOLESCU, 1997).</w:t>
      </w:r>
    </w:p>
    <w:p w14:paraId="0C2BEEBA" w14:textId="77777777" w:rsidR="007C41F7" w:rsidRPr="00516038" w:rsidRDefault="007C41F7" w:rsidP="007C41F7">
      <w:pPr>
        <w:pStyle w:val="PargrafodaLista"/>
        <w:shd w:val="clear" w:color="auto" w:fill="FFFFFF"/>
        <w:tabs>
          <w:tab w:val="clear" w:pos="1615"/>
        </w:tabs>
        <w:ind w:left="2268" w:right="851"/>
        <w:jc w:val="both"/>
        <w:rPr>
          <w:rFonts w:asciiTheme="majorHAnsi" w:eastAsia="Times New Roman" w:hAnsiTheme="majorHAnsi" w:cstheme="majorHAnsi"/>
          <w:color w:val="000000"/>
          <w:szCs w:val="18"/>
          <w:lang w:eastAsia="pt-BR"/>
        </w:rPr>
      </w:pPr>
    </w:p>
    <w:p w14:paraId="16F8ABA0" w14:textId="306DDBDF" w:rsidR="00EE3346" w:rsidRPr="007C41F7" w:rsidRDefault="00EE3346" w:rsidP="007C41F7">
      <w:pPr>
        <w:tabs>
          <w:tab w:val="clear" w:pos="1615"/>
          <w:tab w:val="left" w:pos="1553"/>
        </w:tabs>
        <w:spacing w:line="360" w:lineRule="auto"/>
        <w:ind w:right="28" w:firstLine="709"/>
        <w:jc w:val="both"/>
        <w:rPr>
          <w:rFonts w:asciiTheme="majorHAnsi" w:hAnsiTheme="majorHAnsi" w:cstheme="majorHAnsi"/>
          <w:sz w:val="24"/>
          <w:szCs w:val="24"/>
        </w:rPr>
      </w:pPr>
      <w:r w:rsidRPr="007C41F7">
        <w:rPr>
          <w:rFonts w:asciiTheme="majorHAnsi" w:hAnsiTheme="majorHAnsi" w:cstheme="majorHAnsi"/>
          <w:iCs/>
          <w:sz w:val="24"/>
          <w:szCs w:val="24"/>
          <w:shd w:val="clear" w:color="auto" w:fill="FFFFFF"/>
        </w:rPr>
        <w:t xml:space="preserve">Para Santos (2008), transdisciplinaridade significa “transgredir a lógica </w:t>
      </w:r>
      <w:r w:rsidRPr="007C41F7">
        <w:rPr>
          <w:rFonts w:asciiTheme="majorHAnsi" w:hAnsiTheme="majorHAnsi" w:cstheme="majorHAnsi"/>
          <w:sz w:val="24"/>
          <w:szCs w:val="24"/>
        </w:rPr>
        <w:t>da não contradição, articulando os contrários: sujeito e objeto, subjetividade e objetividade, matéria e consciência, simplicidade e complexidade, unidade e diversidade.” Ela indica, ao mesmo tempo, o saber que está entre, através e além das disciplinas.</w:t>
      </w:r>
    </w:p>
    <w:p w14:paraId="5CDCDAE9" w14:textId="5B72A860" w:rsidR="00EE3346" w:rsidRDefault="00EE3346" w:rsidP="007C41F7">
      <w:pPr>
        <w:tabs>
          <w:tab w:val="clear" w:pos="1615"/>
          <w:tab w:val="left" w:pos="1553"/>
        </w:tabs>
        <w:spacing w:line="360" w:lineRule="auto"/>
        <w:ind w:right="28" w:firstLine="709"/>
        <w:jc w:val="both"/>
        <w:rPr>
          <w:rFonts w:asciiTheme="majorHAnsi" w:hAnsiTheme="majorHAnsi" w:cstheme="majorHAnsi"/>
          <w:sz w:val="24"/>
          <w:szCs w:val="24"/>
        </w:rPr>
      </w:pPr>
      <w:r w:rsidRPr="007C41F7">
        <w:rPr>
          <w:rFonts w:asciiTheme="majorHAnsi" w:hAnsiTheme="majorHAnsi" w:cstheme="majorHAnsi"/>
          <w:sz w:val="24"/>
          <w:szCs w:val="24"/>
        </w:rPr>
        <w:t>Ainda sobre o tema, Almeida Filho (1997) discute a transdisciplinaridade na saúde coletiva, apresentando uma revisão histórica e exemplos do significado do que é multidisciplinaridade, pluridisciplinaridade, interdisciplinaridade auxiliar, metadisciplinaridade, interdisciplinaridade e transdisciplinaridade, No trabalho, o autor explica formas de atuação de estudos transdisciplinares e a trajetória que a saída do enciclopedismo do renascimento e iluminismo foi cedendo lugar à fragmentação e especialização desse conhecimento e a necessidade moderna de uma volta ao enciclopedismo, mas em outros termos. Para o autor:</w:t>
      </w:r>
    </w:p>
    <w:p w14:paraId="58B24B9B" w14:textId="77777777" w:rsidR="007C41F7" w:rsidRPr="007C41F7" w:rsidRDefault="007C41F7" w:rsidP="007C41F7">
      <w:pPr>
        <w:tabs>
          <w:tab w:val="clear" w:pos="1615"/>
          <w:tab w:val="left" w:pos="1553"/>
        </w:tabs>
        <w:spacing w:line="360" w:lineRule="auto"/>
        <w:ind w:right="28" w:firstLine="709"/>
        <w:jc w:val="both"/>
        <w:rPr>
          <w:rFonts w:asciiTheme="majorHAnsi" w:hAnsiTheme="majorHAnsi" w:cstheme="majorHAnsi"/>
          <w:sz w:val="24"/>
          <w:szCs w:val="24"/>
        </w:rPr>
      </w:pPr>
    </w:p>
    <w:p w14:paraId="1FC708EB" w14:textId="4B0B6641" w:rsidR="00EE3346" w:rsidRDefault="00EE3346" w:rsidP="00516038">
      <w:pPr>
        <w:tabs>
          <w:tab w:val="clear" w:pos="1615"/>
          <w:tab w:val="left" w:pos="1553"/>
        </w:tabs>
        <w:ind w:left="2268" w:right="28"/>
        <w:jc w:val="both"/>
        <w:rPr>
          <w:rFonts w:asciiTheme="majorHAnsi" w:hAnsiTheme="majorHAnsi" w:cstheme="majorHAnsi"/>
          <w:sz w:val="20"/>
          <w:szCs w:val="20"/>
          <w:shd w:val="clear" w:color="auto" w:fill="FFFFFF"/>
        </w:rPr>
      </w:pPr>
      <w:r w:rsidRPr="00516038">
        <w:rPr>
          <w:rFonts w:asciiTheme="majorHAnsi" w:hAnsiTheme="majorHAnsi" w:cstheme="majorHAnsi"/>
          <w:sz w:val="20"/>
          <w:szCs w:val="20"/>
        </w:rPr>
        <w:t xml:space="preserve">“(...) </w:t>
      </w:r>
      <w:r w:rsidRPr="00516038">
        <w:rPr>
          <w:rFonts w:asciiTheme="majorHAnsi" w:hAnsiTheme="majorHAnsi" w:cstheme="majorHAnsi"/>
          <w:sz w:val="20"/>
          <w:szCs w:val="20"/>
          <w:shd w:val="clear" w:color="auto" w:fill="FFFFFF"/>
        </w:rPr>
        <w:t>devemos procurar não um enciclopedismo com base na genialidade de sujeitos individuais como na Renascença ou no Iluminismo, e sim uma forma renovada de enciclopedismo construído coletivamente. Cada vez mais, o processo de produção do conhecimento científico será social, político-institucional, matricial, amplificado. Nesse cenário, a produção competente da ciência viabilizará abordagens totalizantes, apesar de parciais e provisórias, sínteses transdisciplinares dos objetos da complexidade.” (ALMEIDA FILHO, 1997, p. 19).</w:t>
      </w:r>
    </w:p>
    <w:p w14:paraId="0F5EA980" w14:textId="77777777" w:rsidR="007C41F7" w:rsidRPr="00516038" w:rsidRDefault="007C41F7" w:rsidP="00516038">
      <w:pPr>
        <w:tabs>
          <w:tab w:val="clear" w:pos="1615"/>
          <w:tab w:val="left" w:pos="1553"/>
        </w:tabs>
        <w:ind w:left="2268" w:right="28"/>
        <w:jc w:val="both"/>
        <w:rPr>
          <w:rFonts w:asciiTheme="majorHAnsi" w:hAnsiTheme="majorHAnsi" w:cstheme="majorHAnsi"/>
          <w:sz w:val="20"/>
          <w:szCs w:val="20"/>
        </w:rPr>
      </w:pPr>
    </w:p>
    <w:p w14:paraId="31ADE4E8" w14:textId="3C6DD839" w:rsidR="00EE3346" w:rsidRDefault="00EE3346" w:rsidP="007C41F7">
      <w:pPr>
        <w:tabs>
          <w:tab w:val="clear" w:pos="1615"/>
        </w:tabs>
        <w:autoSpaceDE w:val="0"/>
        <w:autoSpaceDN w:val="0"/>
        <w:adjustRightInd w:val="0"/>
        <w:spacing w:line="360" w:lineRule="auto"/>
        <w:ind w:firstLine="708"/>
        <w:jc w:val="both"/>
        <w:rPr>
          <w:rFonts w:asciiTheme="majorHAnsi" w:hAnsiTheme="majorHAnsi" w:cstheme="majorHAnsi"/>
          <w:sz w:val="24"/>
        </w:rPr>
      </w:pPr>
      <w:r w:rsidRPr="007C41F7">
        <w:rPr>
          <w:rFonts w:asciiTheme="majorHAnsi" w:hAnsiTheme="majorHAnsi" w:cstheme="majorHAnsi"/>
          <w:sz w:val="24"/>
        </w:rPr>
        <w:t xml:space="preserve">Assim, a </w:t>
      </w:r>
      <w:r w:rsidRPr="007C41F7">
        <w:rPr>
          <w:rFonts w:asciiTheme="majorHAnsi" w:hAnsiTheme="majorHAnsi" w:cstheme="majorHAnsi"/>
          <w:b/>
          <w:sz w:val="24"/>
        </w:rPr>
        <w:t>TRANSDISCIPLINARIDADE é um modo de abordagem do real, que não apenas ultrapassa e supera os recortes disciplinares, mas que possui abordagem totalizante e construída coletivamente</w:t>
      </w:r>
      <w:r w:rsidRPr="007C41F7">
        <w:rPr>
          <w:rFonts w:asciiTheme="majorHAnsi" w:hAnsiTheme="majorHAnsi" w:cstheme="majorHAnsi"/>
          <w:sz w:val="24"/>
        </w:rPr>
        <w:t>, sem hierarquização entre as diferentes formas de problematização ou experimentação.</w:t>
      </w:r>
    </w:p>
    <w:p w14:paraId="5D0CC577" w14:textId="77777777" w:rsidR="007C41F7" w:rsidRPr="007C41F7" w:rsidRDefault="007C41F7" w:rsidP="007C41F7">
      <w:pPr>
        <w:tabs>
          <w:tab w:val="clear" w:pos="1615"/>
        </w:tabs>
        <w:autoSpaceDE w:val="0"/>
        <w:autoSpaceDN w:val="0"/>
        <w:adjustRightInd w:val="0"/>
        <w:spacing w:line="360" w:lineRule="auto"/>
        <w:ind w:firstLine="708"/>
        <w:jc w:val="both"/>
        <w:rPr>
          <w:rFonts w:asciiTheme="majorHAnsi" w:hAnsiTheme="majorHAnsi" w:cstheme="majorHAnsi"/>
          <w:sz w:val="24"/>
        </w:rPr>
      </w:pPr>
    </w:p>
    <w:p w14:paraId="77336155" w14:textId="77777777" w:rsidR="00EE3346" w:rsidRPr="00516038" w:rsidRDefault="00EE3346" w:rsidP="007C41F7">
      <w:pPr>
        <w:pStyle w:val="Ttulo2"/>
        <w:numPr>
          <w:ilvl w:val="1"/>
          <w:numId w:val="1"/>
        </w:numPr>
        <w:tabs>
          <w:tab w:val="clear" w:pos="1615"/>
        </w:tabs>
        <w:spacing w:before="0" w:after="0" w:line="360" w:lineRule="auto"/>
        <w:ind w:left="993"/>
        <w:rPr>
          <w:rFonts w:asciiTheme="majorHAnsi" w:hAnsiTheme="majorHAnsi" w:cstheme="majorHAnsi"/>
        </w:rPr>
      </w:pPr>
      <w:bookmarkStart w:id="46" w:name="_Toc89878047"/>
      <w:bookmarkStart w:id="47" w:name="_Toc102134982"/>
      <w:r w:rsidRPr="00516038">
        <w:rPr>
          <w:rFonts w:asciiTheme="majorHAnsi" w:hAnsiTheme="majorHAnsi" w:cstheme="majorHAnsi"/>
        </w:rPr>
        <w:t>REFLEXÕES COMPLEMENTARES</w:t>
      </w:r>
      <w:bookmarkEnd w:id="46"/>
      <w:bookmarkEnd w:id="47"/>
    </w:p>
    <w:p w14:paraId="0929FDE8" w14:textId="5AA3164E" w:rsidR="00EE3346" w:rsidRPr="007C41F7" w:rsidRDefault="00EE3346" w:rsidP="007C41F7">
      <w:pPr>
        <w:tabs>
          <w:tab w:val="clear" w:pos="1615"/>
          <w:tab w:val="left" w:pos="1553"/>
        </w:tabs>
        <w:spacing w:line="360" w:lineRule="auto"/>
        <w:ind w:right="28" w:firstLine="709"/>
        <w:jc w:val="both"/>
        <w:rPr>
          <w:rFonts w:asciiTheme="majorHAnsi" w:hAnsiTheme="majorHAnsi" w:cstheme="majorHAnsi"/>
          <w:iCs/>
          <w:sz w:val="24"/>
          <w:szCs w:val="20"/>
          <w:shd w:val="clear" w:color="auto" w:fill="FFFFFF"/>
        </w:rPr>
      </w:pPr>
      <w:r w:rsidRPr="007C41F7">
        <w:rPr>
          <w:rFonts w:asciiTheme="majorHAnsi" w:hAnsiTheme="majorHAnsi" w:cstheme="majorHAnsi"/>
          <w:iCs/>
          <w:sz w:val="24"/>
          <w:szCs w:val="20"/>
          <w:shd w:val="clear" w:color="auto" w:fill="FFFFFF"/>
        </w:rPr>
        <w:t>Não cabe neste relatório uma abordagem aprofundada sobre a origem disciplinar dos currículos escolares, mas é importante deixar registrada a necessidade de levar em conta as considerações aqui expressas e, especialmente, considerar a abordagem de Nicolescu (1997) que retrata o conhecimento como um arco, que utiliza quatro flechas: a disciplinaridade, a pluridisciplinaridade, a interdisciplinaridade e a transdisciplinaridade.</w:t>
      </w:r>
    </w:p>
    <w:p w14:paraId="2AFE62DB" w14:textId="3D9B83AE" w:rsidR="00EE3346" w:rsidRPr="007C41F7" w:rsidRDefault="00EE3346" w:rsidP="007C41F7">
      <w:pPr>
        <w:tabs>
          <w:tab w:val="clear" w:pos="1615"/>
        </w:tabs>
        <w:spacing w:line="360" w:lineRule="auto"/>
        <w:ind w:right="-1" w:firstLine="709"/>
        <w:jc w:val="both"/>
        <w:rPr>
          <w:rFonts w:asciiTheme="majorHAnsi" w:hAnsiTheme="majorHAnsi" w:cstheme="majorHAnsi"/>
          <w:sz w:val="24"/>
          <w:szCs w:val="32"/>
          <w:shd w:val="clear" w:color="auto" w:fill="FFFFFF"/>
        </w:rPr>
      </w:pPr>
      <w:r w:rsidRPr="007C41F7">
        <w:rPr>
          <w:rFonts w:asciiTheme="majorHAnsi" w:hAnsiTheme="majorHAnsi" w:cstheme="majorHAnsi"/>
          <w:sz w:val="24"/>
          <w:szCs w:val="32"/>
          <w:shd w:val="clear" w:color="auto" w:fill="FFFFFF"/>
        </w:rPr>
        <w:t xml:space="preserve">A discussão do desenvolvimento dos cursos na área de ciências exatas também tem gerado muita polêmica e levou no início dos anos 2000 ao movimento denominado “educação STEM”, como um acrônimo para as iniciais em inglês das palavras Ciência, Tecnologia, Engenharia e Matemática, gerado após relatório da Academia de Ciências, Engenharia e Medicina dos Estados Unidos e que foi idealizada a partir de dois problemas que a área enfrentava no início dos anos 2000: o primeiro, referia-se à falta de mão de obra qualificada, já que o mundo tecnológico em que vivemos requer, mais do que nunca, esse tipo de profissional; o segundo, talvez uma das causas do primeiro, referia-se à falta de interesse dos estudantes pela área, com um modelo de ensino muitas vezes obsoleto ou dissociado da necessária renovação tecnológica que se propõe a ensinar. Segundo consta no site da Fundação Instituto de Administração de São Paulo, o livro </w:t>
      </w:r>
      <w:r w:rsidRPr="007C41F7">
        <w:rPr>
          <w:rFonts w:asciiTheme="majorHAnsi" w:hAnsiTheme="majorHAnsi" w:cstheme="majorHAnsi"/>
          <w:i/>
          <w:sz w:val="24"/>
          <w:szCs w:val="32"/>
          <w:shd w:val="clear" w:color="auto" w:fill="FFFFFF"/>
        </w:rPr>
        <w:t xml:space="preserve">The Case for STEM Education: Challenges and Opportunities </w:t>
      </w:r>
      <w:r w:rsidRPr="007C41F7">
        <w:rPr>
          <w:rFonts w:asciiTheme="majorHAnsi" w:hAnsiTheme="majorHAnsi" w:cstheme="majorHAnsi"/>
          <w:sz w:val="24"/>
          <w:szCs w:val="32"/>
          <w:shd w:val="clear" w:color="auto" w:fill="FFFFFF"/>
        </w:rPr>
        <w:t>de Rodger Bybee (FIA, 2021) explica que a abordagem STEM se baseia em três pressupostos: a) desenvolvimento de sociedade com conhecimento atualizado e capacitação na área; b) formação de alunos e professores; c) fomento à pesquisa e ao desenvolvimento voltado para a inovação. Assim, estão previstas abordagens que iniciam no ensino fundamental e despertam a curiosidade dos alunos para a área, completando uma formação mais prática e abrangente no ensino médio.</w:t>
      </w:r>
    </w:p>
    <w:p w14:paraId="7C234086" w14:textId="12178B3F" w:rsidR="00EE3346" w:rsidRPr="007C41F7" w:rsidRDefault="00EE3346" w:rsidP="007C41F7">
      <w:pPr>
        <w:tabs>
          <w:tab w:val="clear" w:pos="1615"/>
        </w:tabs>
        <w:spacing w:line="360" w:lineRule="auto"/>
        <w:ind w:right="-1" w:firstLine="709"/>
        <w:jc w:val="both"/>
        <w:rPr>
          <w:rFonts w:asciiTheme="majorHAnsi" w:hAnsiTheme="majorHAnsi" w:cstheme="majorHAnsi"/>
          <w:sz w:val="24"/>
          <w:szCs w:val="24"/>
        </w:rPr>
      </w:pPr>
      <w:r w:rsidRPr="007C41F7">
        <w:rPr>
          <w:rFonts w:asciiTheme="majorHAnsi" w:hAnsiTheme="majorHAnsi" w:cstheme="majorHAnsi"/>
          <w:sz w:val="24"/>
          <w:szCs w:val="24"/>
        </w:rPr>
        <w:t xml:space="preserve">Segundo Hoeg e Bencze (2017), o movimento STEM tem todos os indícios de uma reforma neoliberal promovida pelos setores interessados no aumento da oferta de pessoal formado na área e, portanto, mais interessado em sua própria disseminação nos sistemas educacionais do mundo do que propriamente em realizar uma efetiva abordagem que leve em conta o desenvolvimento humano, ético e cognitivo das crianças e dos adolescentes no início de sua educação escolar. Entretanto, algumas ações e programas financiados por essas políticas podem obter resultados que contribuem para uma melhoria do ensino de Ciências e Matemática de forma geral, o que pode diminuir o preconceito de parte dos jovens com relação a ela e às ciências em geral, aumentando o interesse pelos cursos superiores da área. </w:t>
      </w:r>
    </w:p>
    <w:p w14:paraId="6F6F5421" w14:textId="2C45ABFB" w:rsidR="00EE3346" w:rsidRPr="007C41F7" w:rsidRDefault="00EE3346" w:rsidP="007C41F7">
      <w:pPr>
        <w:tabs>
          <w:tab w:val="clear" w:pos="1615"/>
        </w:tabs>
        <w:spacing w:line="360" w:lineRule="auto"/>
        <w:ind w:right="-1" w:firstLine="709"/>
        <w:jc w:val="both"/>
        <w:rPr>
          <w:rFonts w:asciiTheme="majorHAnsi" w:hAnsiTheme="majorHAnsi" w:cstheme="majorHAnsi"/>
          <w:sz w:val="24"/>
          <w:szCs w:val="24"/>
        </w:rPr>
      </w:pPr>
      <w:r w:rsidRPr="007C41F7">
        <w:rPr>
          <w:rFonts w:asciiTheme="majorHAnsi" w:hAnsiTheme="majorHAnsi" w:cstheme="majorHAnsi"/>
          <w:sz w:val="24"/>
          <w:szCs w:val="24"/>
        </w:rPr>
        <w:t xml:space="preserve">Bem antes do surgimento do movimento STEM, nos anos 1970, alguns docentes da Universidade de Berkeley na Califórnia criaram o </w:t>
      </w:r>
      <w:r w:rsidRPr="007C41F7">
        <w:rPr>
          <w:rFonts w:asciiTheme="majorHAnsi" w:hAnsiTheme="majorHAnsi" w:cstheme="majorHAnsi"/>
          <w:i/>
          <w:sz w:val="24"/>
          <w:szCs w:val="24"/>
        </w:rPr>
        <w:t>Mathematics, Enginnering and Science Achievement</w:t>
      </w:r>
      <w:r w:rsidRPr="007C41F7">
        <w:rPr>
          <w:rFonts w:asciiTheme="majorHAnsi" w:hAnsiTheme="majorHAnsi" w:cstheme="majorHAnsi"/>
          <w:sz w:val="24"/>
          <w:szCs w:val="24"/>
        </w:rPr>
        <w:t xml:space="preserve"> — MESA, visando à inclusão de negros, de latinos e de indígenas no ingresso e na manutenção em carreiras da área STEM. O programa se expandiu e foi assumido pelo governo de Barak Obama como política de estado, incluindo mulheres e imigrantes asiáticos e africanos, que também teriam maior dificuldade para a opção e para conclusão de cursos na área. No Brasil, a CAPES chegou a financiar projeto em 2014, no âmbito do programa Observatório da Educação (OBEDUC), de 2008. O programa, denominado Aprendizagem e Ciências na Escola (ACES) era desenvolvido pela Unicamp, mantinha interação com o MESA americano, e pretendia realizar ações em escolas públicas de Campinas utilizando novas metodologias para o ensino de Matemática e Ciências. Com os cortes de verbas para financiamento de projetos na CAPES e CNPq a partir de 2016, o ACES encerrou suas atividades em 2017 (PUGLIESI, 2017).  </w:t>
      </w:r>
    </w:p>
    <w:p w14:paraId="1CFB7525" w14:textId="07E38997" w:rsidR="00EE3346" w:rsidRPr="007C41F7" w:rsidRDefault="00EE3346" w:rsidP="007C41F7">
      <w:pPr>
        <w:tabs>
          <w:tab w:val="clear" w:pos="1615"/>
        </w:tabs>
        <w:spacing w:line="360" w:lineRule="auto"/>
        <w:ind w:right="-1" w:firstLine="709"/>
        <w:jc w:val="both"/>
        <w:rPr>
          <w:rFonts w:asciiTheme="majorHAnsi" w:hAnsiTheme="majorHAnsi" w:cstheme="majorHAnsi"/>
          <w:sz w:val="24"/>
          <w:szCs w:val="32"/>
          <w:shd w:val="clear" w:color="auto" w:fill="FFFFFF"/>
        </w:rPr>
      </w:pPr>
      <w:r w:rsidRPr="007C41F7">
        <w:rPr>
          <w:rFonts w:asciiTheme="majorHAnsi" w:hAnsiTheme="majorHAnsi" w:cstheme="majorHAnsi"/>
          <w:sz w:val="24"/>
          <w:szCs w:val="24"/>
        </w:rPr>
        <w:t xml:space="preserve">Dessa forma, ainda há muita controvérsia com relação ao movimento STEM. De um lado, algumas características como a incorporação de tecnologias de informação e comunicação (TICs) no currículo, uso de situações-problema ligadas à sustentabilidade e a outros problemas globais levam a crer que ele fica muito próximo do modelo pedagógico CTS (Ciência, Tecnologia e Sociedade), segundo Zeidler (2016). A mesma autora, entretanto, reflete que as demandas que o setor econômico acaba imprimindo, com uma formação profissionalizante, o aproxima do modelo tecnicista. Ainda segundo a autora, a educação STEM falha por não dar uma atenção explícita às perspectivas sociocientíficas e socioculturais, pois não tem preocupação centrada nas questões éticas e sociais da ciência e da construção do conhecimento científico. Com isso, acaba sendo algo que traz elementos do cotidiano para o aluno apenas para tornar as aulas mais interessantes, mas o papel social, que teria importância no modelo CTS, passa a ser apenas figurativo (PUGLIESI, 2020). Assim, estudos na área das STEM sem a exploração de suas dimensões sociais podem levar à falsa ideia da compreensão da mesma como se ela estivesse sempre a serviço do bem e do desenvolvimento, camuflando ou omitindo os interesses econômicos associados dos que desejam manter o </w:t>
      </w:r>
      <w:r w:rsidRPr="007C41F7">
        <w:rPr>
          <w:rFonts w:asciiTheme="majorHAnsi" w:hAnsiTheme="majorHAnsi" w:cstheme="majorHAnsi"/>
          <w:i/>
          <w:sz w:val="24"/>
          <w:szCs w:val="24"/>
        </w:rPr>
        <w:t xml:space="preserve">status quo </w:t>
      </w:r>
      <w:r w:rsidRPr="007C41F7">
        <w:rPr>
          <w:rFonts w:asciiTheme="majorHAnsi" w:hAnsiTheme="majorHAnsi" w:cstheme="majorHAnsi"/>
          <w:sz w:val="24"/>
          <w:szCs w:val="24"/>
        </w:rPr>
        <w:t xml:space="preserve">(SANTOS e MORTIMER, 2002). Apesar dessas características, ainda são escassos os artigos que tratam do movimento STEM no Brasil </w:t>
      </w:r>
      <w:r w:rsidRPr="007C41F7">
        <w:rPr>
          <w:rFonts w:asciiTheme="majorHAnsi" w:hAnsiTheme="majorHAnsi" w:cstheme="majorHAnsi"/>
          <w:sz w:val="24"/>
          <w:szCs w:val="32"/>
          <w:shd w:val="clear" w:color="auto" w:fill="FFFFFF"/>
        </w:rPr>
        <w:t xml:space="preserve">(SILVA e PRADO, 2020) e há nele um aspecto positivo inegável: o tratamento interdisciplinar da área das Ciências e da Matemática, inserindo ainda as TICs como elemento integrante da aprendizagem. </w:t>
      </w:r>
    </w:p>
    <w:p w14:paraId="75C9C95B" w14:textId="3F220B52" w:rsidR="00EE3346" w:rsidRPr="007C41F7" w:rsidRDefault="00EE3346" w:rsidP="007C41F7">
      <w:pPr>
        <w:tabs>
          <w:tab w:val="clear" w:pos="1615"/>
        </w:tabs>
        <w:spacing w:line="360" w:lineRule="auto"/>
        <w:ind w:right="-1" w:firstLine="709"/>
        <w:jc w:val="both"/>
        <w:rPr>
          <w:rFonts w:asciiTheme="majorHAnsi" w:hAnsiTheme="majorHAnsi" w:cstheme="majorHAnsi"/>
          <w:sz w:val="24"/>
          <w:szCs w:val="32"/>
          <w:shd w:val="clear" w:color="auto" w:fill="FFFFFF"/>
        </w:rPr>
      </w:pPr>
      <w:r w:rsidRPr="007C41F7">
        <w:rPr>
          <w:rFonts w:asciiTheme="majorHAnsi" w:hAnsiTheme="majorHAnsi" w:cstheme="majorHAnsi"/>
          <w:sz w:val="24"/>
          <w:szCs w:val="32"/>
          <w:shd w:val="clear" w:color="auto" w:fill="FFFFFF"/>
        </w:rPr>
        <w:t xml:space="preserve">A formação de estudantes para a área, conforme discutido acima, não pode ficar restrita apenas a um modelo tecnicista descomprometido com outros aspectos relevantes dos problemas da sociedade moderna, em muitos casos decorrentes desse próprio modelo. A abordagem crítica de um modelo de crescimento justificado em si mesmo deve dar lugar à discussão das questões da ética e da responsabilidade social, do desenvolvimento sustentável, inclusivo e promotor da justiça e da paz. </w:t>
      </w:r>
    </w:p>
    <w:p w14:paraId="593E9BBF" w14:textId="18191BBD" w:rsidR="00EE3346" w:rsidRPr="007C41F7" w:rsidRDefault="00EE3346" w:rsidP="007C41F7">
      <w:pPr>
        <w:tabs>
          <w:tab w:val="clear" w:pos="1615"/>
        </w:tabs>
        <w:spacing w:line="360" w:lineRule="auto"/>
        <w:ind w:right="-1" w:firstLine="709"/>
        <w:jc w:val="both"/>
        <w:rPr>
          <w:rFonts w:asciiTheme="majorHAnsi" w:eastAsia="Times New Roman" w:hAnsiTheme="majorHAnsi" w:cstheme="majorHAnsi"/>
          <w:color w:val="202124"/>
          <w:sz w:val="24"/>
          <w:szCs w:val="44"/>
          <w:lang w:val="pt-PT" w:eastAsia="pt-BR"/>
        </w:rPr>
      </w:pPr>
      <w:r w:rsidRPr="007C41F7">
        <w:rPr>
          <w:rFonts w:asciiTheme="majorHAnsi" w:hAnsiTheme="majorHAnsi" w:cstheme="majorHAnsi"/>
          <w:sz w:val="24"/>
          <w:szCs w:val="32"/>
          <w:shd w:val="clear" w:color="auto" w:fill="FFFFFF"/>
        </w:rPr>
        <w:t>O Relatório do Futuro do Emprego do Fórum Econômico Mundial mostra que o mundo da segurança cibernética vai requerer muitos profissionais para dar conta da 4.</w:t>
      </w:r>
      <w:r w:rsidRPr="007C41F7">
        <w:rPr>
          <w:rFonts w:asciiTheme="majorHAnsi" w:hAnsiTheme="majorHAnsi" w:cstheme="majorHAnsi"/>
          <w:sz w:val="24"/>
          <w:szCs w:val="32"/>
          <w:shd w:val="clear" w:color="auto" w:fill="FFFFFF"/>
          <w:vertAlign w:val="superscript"/>
        </w:rPr>
        <w:t>a</w:t>
      </w:r>
      <w:r w:rsidRPr="007C41F7">
        <w:rPr>
          <w:rFonts w:asciiTheme="majorHAnsi" w:hAnsiTheme="majorHAnsi" w:cstheme="majorHAnsi"/>
          <w:sz w:val="24"/>
          <w:szCs w:val="32"/>
          <w:shd w:val="clear" w:color="auto" w:fill="FFFFFF"/>
        </w:rPr>
        <w:t xml:space="preserve"> revolução industrial e que esses profissionais deverão ter características que passam por habilidades mais ligadas às humanidades do que aos conhecimentos técnicos sobre computação ou engenharia. Criatividade, resolução de problemas especialmente decorrentes das implicações jurídicas e políticas dessa segurança, liderança e gestão de pessoas, e pensamento crítico para prever os usos dos materiais desenvolvidos, principalmente os indevidos, são apontadas como quatro características imprescindíveis para o sucesso na área. Dixon e Jordan (2018) salientam que, e</w:t>
      </w:r>
      <w:r w:rsidRPr="007C41F7">
        <w:rPr>
          <w:rFonts w:asciiTheme="majorHAnsi" w:eastAsia="Times New Roman" w:hAnsiTheme="majorHAnsi" w:cstheme="majorHAnsi"/>
          <w:color w:val="202124"/>
          <w:sz w:val="24"/>
          <w:szCs w:val="44"/>
          <w:lang w:val="pt-PT" w:eastAsia="pt-BR"/>
        </w:rPr>
        <w:t>mbora a segurança cibernética exija consciência e habilidades técnicas, “a necessidade de habilidades ‘humanas’ valorizará a necessidade de nos ajudar a enfrentar novos desafios e abordá-los de uma forma que as máquinas simplesmente não conseguem”.</w:t>
      </w:r>
    </w:p>
    <w:p w14:paraId="51E9D99C" w14:textId="1B3A7B1E" w:rsidR="00EE3346"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 xml:space="preserve">Nesse mesmo sentido, recente artigo de autoria dos diretores da Escola de Humanidades, Artes e Ciências Sociais e da Escola de Arquitetura e Planejamento do MIT, destaca que </w:t>
      </w:r>
    </w:p>
    <w:p w14:paraId="2D91F468" w14:textId="77777777" w:rsidR="007C41F7" w:rsidRPr="007C41F7" w:rsidRDefault="007C41F7" w:rsidP="007C41F7">
      <w:pPr>
        <w:tabs>
          <w:tab w:val="clear" w:pos="1615"/>
        </w:tabs>
        <w:spacing w:line="360" w:lineRule="auto"/>
        <w:ind w:firstLine="709"/>
        <w:jc w:val="both"/>
        <w:rPr>
          <w:rFonts w:asciiTheme="majorHAnsi" w:hAnsiTheme="majorHAnsi" w:cstheme="majorHAnsi"/>
          <w:sz w:val="24"/>
          <w:szCs w:val="24"/>
        </w:rPr>
      </w:pPr>
    </w:p>
    <w:p w14:paraId="134E0CBE" w14:textId="535A10B2" w:rsidR="00EE3346" w:rsidRDefault="00EE3346" w:rsidP="00516038">
      <w:pPr>
        <w:tabs>
          <w:tab w:val="clear" w:pos="1615"/>
        </w:tabs>
        <w:ind w:left="2268" w:right="849"/>
        <w:jc w:val="both"/>
        <w:rPr>
          <w:rFonts w:asciiTheme="majorHAnsi" w:hAnsiTheme="majorHAnsi" w:cstheme="majorHAnsi"/>
          <w:sz w:val="20"/>
          <w:szCs w:val="20"/>
        </w:rPr>
      </w:pPr>
      <w:r w:rsidRPr="00516038">
        <w:rPr>
          <w:rFonts w:asciiTheme="majorHAnsi" w:hAnsiTheme="majorHAnsi" w:cstheme="majorHAnsi"/>
          <w:sz w:val="20"/>
          <w:szCs w:val="20"/>
        </w:rPr>
        <w:t>As percepções da ciência e da engenharia são, obviamente, cruciais para resolver muitos dos problemas mais urgentes do mundo. Mas esses campos operam dentro das sociedades humanas e podem servir melhor ao mundo quando informados pelas complexidades culturais, políticas, espaciais e econômicas da existência humana, crenças e formas de habitar a Terra (Tradução livre, RAYO e SARKIS, 2021).</w:t>
      </w:r>
    </w:p>
    <w:p w14:paraId="413F717A" w14:textId="77777777" w:rsidR="007C41F7" w:rsidRPr="00516038" w:rsidRDefault="007C41F7" w:rsidP="00516038">
      <w:pPr>
        <w:tabs>
          <w:tab w:val="clear" w:pos="1615"/>
        </w:tabs>
        <w:ind w:left="2268" w:right="849"/>
        <w:jc w:val="both"/>
        <w:rPr>
          <w:rFonts w:asciiTheme="majorHAnsi" w:hAnsiTheme="majorHAnsi" w:cstheme="majorHAnsi"/>
          <w:sz w:val="20"/>
          <w:szCs w:val="20"/>
        </w:rPr>
      </w:pPr>
    </w:p>
    <w:p w14:paraId="344B8B0C" w14:textId="29F28C58" w:rsidR="00EE3346" w:rsidRPr="007C41F7" w:rsidRDefault="00EE3346" w:rsidP="007C41F7">
      <w:pPr>
        <w:tabs>
          <w:tab w:val="clear" w:pos="1615"/>
        </w:tabs>
        <w:spacing w:line="360" w:lineRule="auto"/>
        <w:ind w:right="-1" w:firstLine="709"/>
        <w:jc w:val="both"/>
        <w:rPr>
          <w:rFonts w:asciiTheme="majorHAnsi" w:hAnsiTheme="majorHAnsi" w:cstheme="majorHAnsi"/>
          <w:sz w:val="24"/>
          <w:szCs w:val="24"/>
        </w:rPr>
      </w:pPr>
      <w:r w:rsidRPr="007C41F7">
        <w:rPr>
          <w:rFonts w:asciiTheme="majorHAnsi" w:hAnsiTheme="majorHAnsi" w:cstheme="majorHAnsi"/>
          <w:sz w:val="24"/>
          <w:szCs w:val="24"/>
        </w:rPr>
        <w:t>O artigo mostra, ainda, que 100% dos alunos do MIT (Massachusetts Institute of Technology) frequentam disciplinas de artes e humanidades, que perfazem cerca de 25% da matriz curricular dos cursos. Além dessas disciplinas obrigatórias, são feitas outras, por opção do estudante e isso acaba contribuindo para que boa parte deles, inclusive das áreas STEM, acabem concluindo um segundo curso e se formem em arquitetura, design, história, línguas, linguística, literatura, música, filosofia ou teatro. Os dois diretores ainda salientam a importância das abordagens que incluem a ética, responsabilidade e justiça sociais, redução da pobreza e da desinformação com a democratização das diferentes mídias, mobilidade urbana etc. (RAYO e SARKIS, 2021).</w:t>
      </w:r>
    </w:p>
    <w:p w14:paraId="512223C6" w14:textId="23B8C6BC" w:rsidR="00EE3346" w:rsidRDefault="00EE3346" w:rsidP="007C41F7">
      <w:pPr>
        <w:tabs>
          <w:tab w:val="clear" w:pos="1615"/>
        </w:tabs>
        <w:autoSpaceDE w:val="0"/>
        <w:autoSpaceDN w:val="0"/>
        <w:adjustRightInd w:val="0"/>
        <w:spacing w:line="360" w:lineRule="auto"/>
        <w:ind w:firstLine="709"/>
        <w:jc w:val="both"/>
        <w:rPr>
          <w:rFonts w:asciiTheme="majorHAnsi" w:hAnsiTheme="majorHAnsi" w:cstheme="majorHAnsi"/>
          <w:sz w:val="24"/>
          <w:lang w:eastAsia="pt-BR"/>
        </w:rPr>
      </w:pPr>
      <w:r w:rsidRPr="007C41F7">
        <w:rPr>
          <w:rFonts w:asciiTheme="majorHAnsi" w:hAnsiTheme="majorHAnsi" w:cstheme="majorHAnsi"/>
          <w:sz w:val="24"/>
          <w:lang w:eastAsia="pt-BR"/>
        </w:rPr>
        <w:t xml:space="preserve">Como complemento, a fim de verificar se as Universidades de melhor desempenho no </w:t>
      </w:r>
      <w:r w:rsidRPr="007C41F7">
        <w:rPr>
          <w:rFonts w:asciiTheme="majorHAnsi" w:hAnsiTheme="majorHAnsi" w:cstheme="majorHAnsi"/>
          <w:i/>
          <w:iCs/>
          <w:sz w:val="24"/>
          <w:lang w:eastAsia="pt-BR"/>
        </w:rPr>
        <w:t>ranking</w:t>
      </w:r>
      <w:r w:rsidRPr="007C41F7">
        <w:rPr>
          <w:rFonts w:asciiTheme="majorHAnsi" w:hAnsiTheme="majorHAnsi" w:cstheme="majorHAnsi"/>
          <w:sz w:val="24"/>
          <w:lang w:eastAsia="pt-BR"/>
        </w:rPr>
        <w:t xml:space="preserve"> elaborado pelo Times High Education, como o MIT, também apresentam bons resultados em todas as áreas de sua atuação, foram verificados os resultados referentes à última análise realizada (para o ano de 2021), colocando-se as dez universidades de melhor colocação geral e analisando sua performance quando os </w:t>
      </w:r>
      <w:r w:rsidRPr="007C41F7">
        <w:rPr>
          <w:rFonts w:asciiTheme="majorHAnsi" w:hAnsiTheme="majorHAnsi" w:cstheme="majorHAnsi"/>
          <w:i/>
          <w:iCs/>
          <w:sz w:val="24"/>
          <w:lang w:eastAsia="pt-BR"/>
        </w:rPr>
        <w:t>rankings</w:t>
      </w:r>
      <w:r w:rsidRPr="007C41F7">
        <w:rPr>
          <w:rFonts w:asciiTheme="majorHAnsi" w:hAnsiTheme="majorHAnsi" w:cstheme="majorHAnsi"/>
          <w:sz w:val="24"/>
          <w:lang w:eastAsia="pt-BR"/>
        </w:rPr>
        <w:t xml:space="preserve"> são realizados em áreas específicas, a saber: Área de exatas e tecnologias — Ciências da Computação (CC), Engenharias (Eng), Física (Fis); Área de Ciências Biológicas e da Saúde — Ciências da Vida (CV), Medicina e Saúde (MS) e Psicologia (Psi); Área de Artes e Humanidades — Arte e Humanidades pp dita (AH), Ciências Sociais (CS), Educação (Ed) e Direito (Dir); e Área da Gestão — Administração e Economia (AE). O exercício mostrou que, quando ocorre a oferta, os resultados de uma boa avaliação são praticamente os mesmos para todas elas. Isso mostra que a qualidade, de certa forma, está mais associada ao todo institucional e não apenas à concentração de excelência em uma dada área do conhecimento (Tabela 5).</w:t>
      </w:r>
    </w:p>
    <w:p w14:paraId="02ACE754" w14:textId="77777777" w:rsidR="007C41F7" w:rsidRPr="007C41F7" w:rsidRDefault="007C41F7" w:rsidP="007C41F7">
      <w:pPr>
        <w:tabs>
          <w:tab w:val="clear" w:pos="1615"/>
        </w:tabs>
        <w:autoSpaceDE w:val="0"/>
        <w:autoSpaceDN w:val="0"/>
        <w:adjustRightInd w:val="0"/>
        <w:spacing w:line="360" w:lineRule="auto"/>
        <w:ind w:firstLine="709"/>
        <w:jc w:val="both"/>
        <w:rPr>
          <w:rFonts w:asciiTheme="majorHAnsi" w:hAnsiTheme="majorHAnsi" w:cstheme="majorHAnsi"/>
          <w:sz w:val="24"/>
          <w:lang w:eastAsia="pt-BR"/>
        </w:rPr>
      </w:pPr>
    </w:p>
    <w:p w14:paraId="25C349A9" w14:textId="77777777" w:rsidR="00EE3346" w:rsidRPr="00516038" w:rsidRDefault="00EE3346" w:rsidP="008A364C">
      <w:pPr>
        <w:pStyle w:val="Legenda"/>
      </w:pPr>
      <w:r w:rsidRPr="00516038">
        <w:t xml:space="preserve">Tabela </w:t>
      </w:r>
      <w:r w:rsidRPr="00516038">
        <w:rPr>
          <w:noProof/>
        </w:rPr>
        <w:t>5</w:t>
      </w:r>
      <w:r w:rsidRPr="00516038">
        <w:t xml:space="preserve"> – Resultado do </w:t>
      </w:r>
      <w:r w:rsidRPr="00516038">
        <w:rPr>
          <w:i/>
        </w:rPr>
        <w:t>ranking</w:t>
      </w:r>
      <w:r w:rsidRPr="00516038">
        <w:t xml:space="preserve"> THE para 2022 contendo o desempenho geral e em diferentes áreas (THE, 2021)</w:t>
      </w: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0"/>
        <w:gridCol w:w="485"/>
        <w:gridCol w:w="651"/>
        <w:gridCol w:w="446"/>
        <w:gridCol w:w="456"/>
        <w:gridCol w:w="446"/>
        <w:gridCol w:w="446"/>
        <w:gridCol w:w="446"/>
        <w:gridCol w:w="405"/>
        <w:gridCol w:w="446"/>
        <w:gridCol w:w="446"/>
        <w:gridCol w:w="380"/>
        <w:gridCol w:w="446"/>
        <w:gridCol w:w="391"/>
      </w:tblGrid>
      <w:tr w:rsidR="00EE3346" w:rsidRPr="00516038" w14:paraId="4DFEEBAE" w14:textId="77777777" w:rsidTr="001F6376">
        <w:trPr>
          <w:trHeight w:val="283"/>
          <w:jc w:val="center"/>
        </w:trPr>
        <w:tc>
          <w:tcPr>
            <w:tcW w:w="0" w:type="auto"/>
            <w:tcBorders>
              <w:top w:val="single" w:sz="4" w:space="0" w:color="auto"/>
              <w:bottom w:val="single" w:sz="4" w:space="0" w:color="auto"/>
            </w:tcBorders>
            <w:vAlign w:val="center"/>
          </w:tcPr>
          <w:p w14:paraId="4FED8CFE" w14:textId="77777777" w:rsidR="00EE3346" w:rsidRPr="00516038" w:rsidRDefault="00EE3346" w:rsidP="00516038">
            <w:pPr>
              <w:tabs>
                <w:tab w:val="clear" w:pos="1615"/>
              </w:tabs>
              <w:rPr>
                <w:rFonts w:asciiTheme="majorHAnsi" w:hAnsiTheme="majorHAnsi" w:cstheme="majorHAnsi"/>
                <w:b/>
                <w:sz w:val="18"/>
                <w:szCs w:val="16"/>
              </w:rPr>
            </w:pPr>
            <w:r w:rsidRPr="00516038">
              <w:rPr>
                <w:rFonts w:asciiTheme="majorHAnsi" w:hAnsiTheme="majorHAnsi" w:cstheme="majorHAnsi"/>
                <w:b/>
                <w:sz w:val="18"/>
                <w:szCs w:val="16"/>
              </w:rPr>
              <w:t>Instituição</w:t>
            </w:r>
          </w:p>
        </w:tc>
        <w:tc>
          <w:tcPr>
            <w:tcW w:w="0" w:type="auto"/>
            <w:tcBorders>
              <w:top w:val="single" w:sz="4" w:space="0" w:color="auto"/>
              <w:bottom w:val="single" w:sz="4" w:space="0" w:color="auto"/>
            </w:tcBorders>
            <w:vAlign w:val="center"/>
          </w:tcPr>
          <w:p w14:paraId="6746D9BE" w14:textId="77777777" w:rsidR="00EE3346" w:rsidRPr="00516038" w:rsidRDefault="00EE3346" w:rsidP="00516038">
            <w:pPr>
              <w:tabs>
                <w:tab w:val="clear" w:pos="1615"/>
              </w:tabs>
              <w:jc w:val="center"/>
              <w:rPr>
                <w:rFonts w:asciiTheme="majorHAnsi" w:hAnsiTheme="majorHAnsi" w:cstheme="majorHAnsi"/>
                <w:b/>
                <w:sz w:val="16"/>
                <w:szCs w:val="16"/>
              </w:rPr>
            </w:pPr>
            <w:r w:rsidRPr="00516038">
              <w:rPr>
                <w:rFonts w:asciiTheme="majorHAnsi" w:hAnsiTheme="majorHAnsi" w:cstheme="majorHAnsi"/>
                <w:b/>
                <w:sz w:val="16"/>
                <w:szCs w:val="16"/>
              </w:rPr>
              <w:t>País</w:t>
            </w:r>
          </w:p>
        </w:tc>
        <w:tc>
          <w:tcPr>
            <w:tcW w:w="0" w:type="auto"/>
            <w:tcBorders>
              <w:top w:val="single" w:sz="4" w:space="0" w:color="auto"/>
              <w:bottom w:val="single" w:sz="4" w:space="0" w:color="auto"/>
            </w:tcBorders>
            <w:vAlign w:val="center"/>
          </w:tcPr>
          <w:p w14:paraId="241C3653" w14:textId="77777777" w:rsidR="00EE3346" w:rsidRPr="00516038" w:rsidRDefault="00EE3346" w:rsidP="00516038">
            <w:pPr>
              <w:tabs>
                <w:tab w:val="clear" w:pos="1615"/>
              </w:tabs>
              <w:jc w:val="center"/>
              <w:rPr>
                <w:rFonts w:asciiTheme="majorHAnsi" w:hAnsiTheme="majorHAnsi" w:cstheme="majorHAnsi"/>
                <w:b/>
                <w:sz w:val="16"/>
                <w:szCs w:val="16"/>
              </w:rPr>
            </w:pPr>
            <w:r w:rsidRPr="00516038">
              <w:rPr>
                <w:rFonts w:asciiTheme="majorHAnsi" w:hAnsiTheme="majorHAnsi" w:cstheme="majorHAnsi"/>
                <w:b/>
                <w:sz w:val="16"/>
                <w:szCs w:val="16"/>
              </w:rPr>
              <w:t>GERAL</w:t>
            </w:r>
          </w:p>
        </w:tc>
        <w:tc>
          <w:tcPr>
            <w:tcW w:w="0" w:type="auto"/>
            <w:tcBorders>
              <w:top w:val="single" w:sz="4" w:space="0" w:color="auto"/>
              <w:bottom w:val="single" w:sz="4" w:space="0" w:color="auto"/>
            </w:tcBorders>
            <w:vAlign w:val="center"/>
          </w:tcPr>
          <w:p w14:paraId="695CE1FF" w14:textId="77777777" w:rsidR="00EE3346" w:rsidRPr="00516038" w:rsidRDefault="00EE3346" w:rsidP="00516038">
            <w:pPr>
              <w:tabs>
                <w:tab w:val="clear" w:pos="1615"/>
              </w:tabs>
              <w:jc w:val="center"/>
              <w:rPr>
                <w:rFonts w:asciiTheme="majorHAnsi" w:hAnsiTheme="majorHAnsi" w:cstheme="majorHAnsi"/>
                <w:b/>
                <w:sz w:val="16"/>
                <w:szCs w:val="16"/>
              </w:rPr>
            </w:pPr>
            <w:r w:rsidRPr="00516038">
              <w:rPr>
                <w:rFonts w:asciiTheme="majorHAnsi" w:hAnsiTheme="majorHAnsi" w:cstheme="majorHAnsi"/>
                <w:b/>
                <w:sz w:val="16"/>
                <w:szCs w:val="16"/>
              </w:rPr>
              <w:t>CC</w:t>
            </w:r>
          </w:p>
        </w:tc>
        <w:tc>
          <w:tcPr>
            <w:tcW w:w="0" w:type="auto"/>
            <w:tcBorders>
              <w:top w:val="single" w:sz="4" w:space="0" w:color="auto"/>
              <w:bottom w:val="single" w:sz="4" w:space="0" w:color="auto"/>
            </w:tcBorders>
            <w:vAlign w:val="center"/>
          </w:tcPr>
          <w:p w14:paraId="2B56D74B" w14:textId="77777777" w:rsidR="00EE3346" w:rsidRPr="00516038" w:rsidRDefault="00EE3346" w:rsidP="00516038">
            <w:pPr>
              <w:tabs>
                <w:tab w:val="clear" w:pos="1615"/>
              </w:tabs>
              <w:jc w:val="center"/>
              <w:rPr>
                <w:rFonts w:asciiTheme="majorHAnsi" w:hAnsiTheme="majorHAnsi" w:cstheme="majorHAnsi"/>
                <w:b/>
                <w:sz w:val="16"/>
                <w:szCs w:val="16"/>
              </w:rPr>
            </w:pPr>
            <w:r w:rsidRPr="00516038">
              <w:rPr>
                <w:rFonts w:asciiTheme="majorHAnsi" w:hAnsiTheme="majorHAnsi" w:cstheme="majorHAnsi"/>
                <w:b/>
                <w:sz w:val="16"/>
                <w:szCs w:val="16"/>
              </w:rPr>
              <w:t>Eng</w:t>
            </w:r>
          </w:p>
        </w:tc>
        <w:tc>
          <w:tcPr>
            <w:tcW w:w="0" w:type="auto"/>
            <w:tcBorders>
              <w:top w:val="single" w:sz="4" w:space="0" w:color="auto"/>
              <w:bottom w:val="single" w:sz="4" w:space="0" w:color="auto"/>
            </w:tcBorders>
            <w:vAlign w:val="center"/>
          </w:tcPr>
          <w:p w14:paraId="3D8E220D" w14:textId="77777777" w:rsidR="00EE3346" w:rsidRPr="00516038" w:rsidRDefault="00EE3346" w:rsidP="00516038">
            <w:pPr>
              <w:tabs>
                <w:tab w:val="clear" w:pos="1615"/>
              </w:tabs>
              <w:jc w:val="center"/>
              <w:rPr>
                <w:rFonts w:asciiTheme="majorHAnsi" w:hAnsiTheme="majorHAnsi" w:cstheme="majorHAnsi"/>
                <w:b/>
                <w:sz w:val="16"/>
                <w:szCs w:val="16"/>
              </w:rPr>
            </w:pPr>
            <w:r w:rsidRPr="00516038">
              <w:rPr>
                <w:rFonts w:asciiTheme="majorHAnsi" w:hAnsiTheme="majorHAnsi" w:cstheme="majorHAnsi"/>
                <w:b/>
                <w:sz w:val="16"/>
                <w:szCs w:val="16"/>
              </w:rPr>
              <w:t>Fís</w:t>
            </w:r>
          </w:p>
        </w:tc>
        <w:tc>
          <w:tcPr>
            <w:tcW w:w="0" w:type="auto"/>
            <w:tcBorders>
              <w:top w:val="single" w:sz="4" w:space="0" w:color="auto"/>
              <w:bottom w:val="single" w:sz="4" w:space="0" w:color="auto"/>
            </w:tcBorders>
            <w:vAlign w:val="center"/>
          </w:tcPr>
          <w:p w14:paraId="10BD2358" w14:textId="77777777" w:rsidR="00EE3346" w:rsidRPr="00516038" w:rsidRDefault="00EE3346" w:rsidP="00516038">
            <w:pPr>
              <w:tabs>
                <w:tab w:val="clear" w:pos="1615"/>
              </w:tabs>
              <w:jc w:val="center"/>
              <w:rPr>
                <w:rFonts w:asciiTheme="majorHAnsi" w:hAnsiTheme="majorHAnsi" w:cstheme="majorHAnsi"/>
                <w:b/>
                <w:sz w:val="16"/>
                <w:szCs w:val="16"/>
              </w:rPr>
            </w:pPr>
            <w:r w:rsidRPr="00516038">
              <w:rPr>
                <w:rFonts w:asciiTheme="majorHAnsi" w:hAnsiTheme="majorHAnsi" w:cstheme="majorHAnsi"/>
                <w:b/>
                <w:sz w:val="16"/>
                <w:szCs w:val="16"/>
              </w:rPr>
              <w:t>CV</w:t>
            </w:r>
          </w:p>
        </w:tc>
        <w:tc>
          <w:tcPr>
            <w:tcW w:w="0" w:type="auto"/>
            <w:tcBorders>
              <w:top w:val="single" w:sz="4" w:space="0" w:color="auto"/>
              <w:bottom w:val="single" w:sz="4" w:space="0" w:color="auto"/>
            </w:tcBorders>
            <w:vAlign w:val="center"/>
          </w:tcPr>
          <w:p w14:paraId="4301998C" w14:textId="77777777" w:rsidR="00EE3346" w:rsidRPr="00516038" w:rsidRDefault="00EE3346" w:rsidP="00516038">
            <w:pPr>
              <w:tabs>
                <w:tab w:val="clear" w:pos="1615"/>
              </w:tabs>
              <w:jc w:val="center"/>
              <w:rPr>
                <w:rFonts w:asciiTheme="majorHAnsi" w:hAnsiTheme="majorHAnsi" w:cstheme="majorHAnsi"/>
                <w:b/>
                <w:sz w:val="16"/>
                <w:szCs w:val="16"/>
              </w:rPr>
            </w:pPr>
            <w:r w:rsidRPr="00516038">
              <w:rPr>
                <w:rFonts w:asciiTheme="majorHAnsi" w:hAnsiTheme="majorHAnsi" w:cstheme="majorHAnsi"/>
                <w:b/>
                <w:sz w:val="16"/>
                <w:szCs w:val="16"/>
              </w:rPr>
              <w:t>MS</w:t>
            </w:r>
          </w:p>
        </w:tc>
        <w:tc>
          <w:tcPr>
            <w:tcW w:w="0" w:type="auto"/>
            <w:tcBorders>
              <w:top w:val="single" w:sz="4" w:space="0" w:color="auto"/>
              <w:bottom w:val="single" w:sz="4" w:space="0" w:color="auto"/>
            </w:tcBorders>
            <w:vAlign w:val="center"/>
          </w:tcPr>
          <w:p w14:paraId="2F6C5AA4" w14:textId="77777777" w:rsidR="00EE3346" w:rsidRPr="00516038" w:rsidRDefault="00EE3346" w:rsidP="00516038">
            <w:pPr>
              <w:tabs>
                <w:tab w:val="clear" w:pos="1615"/>
              </w:tabs>
              <w:jc w:val="center"/>
              <w:rPr>
                <w:rFonts w:asciiTheme="majorHAnsi" w:hAnsiTheme="majorHAnsi" w:cstheme="majorHAnsi"/>
                <w:b/>
                <w:sz w:val="16"/>
                <w:szCs w:val="16"/>
              </w:rPr>
            </w:pPr>
            <w:r w:rsidRPr="00516038">
              <w:rPr>
                <w:rFonts w:asciiTheme="majorHAnsi" w:hAnsiTheme="majorHAnsi" w:cstheme="majorHAnsi"/>
                <w:b/>
                <w:sz w:val="16"/>
                <w:szCs w:val="16"/>
              </w:rPr>
              <w:t>Psi</w:t>
            </w:r>
          </w:p>
        </w:tc>
        <w:tc>
          <w:tcPr>
            <w:tcW w:w="0" w:type="auto"/>
            <w:tcBorders>
              <w:top w:val="single" w:sz="4" w:space="0" w:color="auto"/>
              <w:bottom w:val="single" w:sz="4" w:space="0" w:color="auto"/>
            </w:tcBorders>
            <w:vAlign w:val="center"/>
          </w:tcPr>
          <w:p w14:paraId="6ADE03B1" w14:textId="77777777" w:rsidR="00EE3346" w:rsidRPr="00516038" w:rsidRDefault="00EE3346" w:rsidP="00516038">
            <w:pPr>
              <w:tabs>
                <w:tab w:val="clear" w:pos="1615"/>
              </w:tabs>
              <w:jc w:val="center"/>
              <w:rPr>
                <w:rFonts w:asciiTheme="majorHAnsi" w:hAnsiTheme="majorHAnsi" w:cstheme="majorHAnsi"/>
                <w:b/>
                <w:sz w:val="16"/>
                <w:szCs w:val="16"/>
              </w:rPr>
            </w:pPr>
            <w:r w:rsidRPr="00516038">
              <w:rPr>
                <w:rFonts w:asciiTheme="majorHAnsi" w:hAnsiTheme="majorHAnsi" w:cstheme="majorHAnsi"/>
                <w:b/>
                <w:sz w:val="16"/>
                <w:szCs w:val="16"/>
              </w:rPr>
              <w:t>AH</w:t>
            </w:r>
          </w:p>
        </w:tc>
        <w:tc>
          <w:tcPr>
            <w:tcW w:w="0" w:type="auto"/>
            <w:tcBorders>
              <w:top w:val="single" w:sz="4" w:space="0" w:color="auto"/>
              <w:bottom w:val="single" w:sz="4" w:space="0" w:color="auto"/>
            </w:tcBorders>
            <w:vAlign w:val="center"/>
          </w:tcPr>
          <w:p w14:paraId="62408D64" w14:textId="77777777" w:rsidR="00EE3346" w:rsidRPr="00516038" w:rsidRDefault="00EE3346" w:rsidP="00516038">
            <w:pPr>
              <w:tabs>
                <w:tab w:val="clear" w:pos="1615"/>
              </w:tabs>
              <w:jc w:val="center"/>
              <w:rPr>
                <w:rFonts w:asciiTheme="majorHAnsi" w:hAnsiTheme="majorHAnsi" w:cstheme="majorHAnsi"/>
                <w:b/>
                <w:sz w:val="16"/>
                <w:szCs w:val="16"/>
              </w:rPr>
            </w:pPr>
            <w:r w:rsidRPr="00516038">
              <w:rPr>
                <w:rFonts w:asciiTheme="majorHAnsi" w:hAnsiTheme="majorHAnsi" w:cstheme="majorHAnsi"/>
                <w:b/>
                <w:sz w:val="16"/>
                <w:szCs w:val="16"/>
              </w:rPr>
              <w:t>CS</w:t>
            </w:r>
          </w:p>
        </w:tc>
        <w:tc>
          <w:tcPr>
            <w:tcW w:w="0" w:type="auto"/>
            <w:tcBorders>
              <w:top w:val="single" w:sz="4" w:space="0" w:color="auto"/>
              <w:bottom w:val="single" w:sz="4" w:space="0" w:color="auto"/>
            </w:tcBorders>
            <w:vAlign w:val="center"/>
          </w:tcPr>
          <w:p w14:paraId="617D2B57" w14:textId="77777777" w:rsidR="00EE3346" w:rsidRPr="00516038" w:rsidRDefault="00EE3346" w:rsidP="00516038">
            <w:pPr>
              <w:tabs>
                <w:tab w:val="clear" w:pos="1615"/>
              </w:tabs>
              <w:jc w:val="center"/>
              <w:rPr>
                <w:rFonts w:asciiTheme="majorHAnsi" w:hAnsiTheme="majorHAnsi" w:cstheme="majorHAnsi"/>
                <w:b/>
                <w:sz w:val="16"/>
                <w:szCs w:val="16"/>
              </w:rPr>
            </w:pPr>
            <w:r w:rsidRPr="00516038">
              <w:rPr>
                <w:rFonts w:asciiTheme="majorHAnsi" w:hAnsiTheme="majorHAnsi" w:cstheme="majorHAnsi"/>
                <w:b/>
                <w:sz w:val="16"/>
                <w:szCs w:val="16"/>
              </w:rPr>
              <w:t>Ed</w:t>
            </w:r>
          </w:p>
        </w:tc>
        <w:tc>
          <w:tcPr>
            <w:tcW w:w="0" w:type="auto"/>
            <w:tcBorders>
              <w:top w:val="single" w:sz="4" w:space="0" w:color="auto"/>
              <w:bottom w:val="single" w:sz="4" w:space="0" w:color="auto"/>
            </w:tcBorders>
            <w:vAlign w:val="center"/>
          </w:tcPr>
          <w:p w14:paraId="19F485AB" w14:textId="77777777" w:rsidR="00EE3346" w:rsidRPr="00516038" w:rsidRDefault="00EE3346" w:rsidP="00516038">
            <w:pPr>
              <w:tabs>
                <w:tab w:val="clear" w:pos="1615"/>
              </w:tabs>
              <w:jc w:val="center"/>
              <w:rPr>
                <w:rFonts w:asciiTheme="majorHAnsi" w:hAnsiTheme="majorHAnsi" w:cstheme="majorHAnsi"/>
                <w:b/>
                <w:sz w:val="16"/>
                <w:szCs w:val="16"/>
              </w:rPr>
            </w:pPr>
            <w:r w:rsidRPr="00516038">
              <w:rPr>
                <w:rFonts w:asciiTheme="majorHAnsi" w:hAnsiTheme="majorHAnsi" w:cstheme="majorHAnsi"/>
                <w:b/>
                <w:sz w:val="16"/>
                <w:szCs w:val="16"/>
              </w:rPr>
              <w:t>Dir</w:t>
            </w:r>
          </w:p>
        </w:tc>
        <w:tc>
          <w:tcPr>
            <w:tcW w:w="0" w:type="auto"/>
            <w:tcBorders>
              <w:top w:val="single" w:sz="4" w:space="0" w:color="auto"/>
              <w:bottom w:val="single" w:sz="4" w:space="0" w:color="auto"/>
            </w:tcBorders>
            <w:vAlign w:val="center"/>
          </w:tcPr>
          <w:p w14:paraId="54B8BB86" w14:textId="77777777" w:rsidR="00EE3346" w:rsidRPr="00516038" w:rsidRDefault="00EE3346" w:rsidP="00516038">
            <w:pPr>
              <w:tabs>
                <w:tab w:val="clear" w:pos="1615"/>
              </w:tabs>
              <w:jc w:val="center"/>
              <w:rPr>
                <w:rFonts w:asciiTheme="majorHAnsi" w:hAnsiTheme="majorHAnsi" w:cstheme="majorHAnsi"/>
                <w:b/>
                <w:sz w:val="16"/>
                <w:szCs w:val="16"/>
              </w:rPr>
            </w:pPr>
            <w:r w:rsidRPr="00516038">
              <w:rPr>
                <w:rFonts w:asciiTheme="majorHAnsi" w:hAnsiTheme="majorHAnsi" w:cstheme="majorHAnsi"/>
                <w:b/>
                <w:sz w:val="16"/>
                <w:szCs w:val="16"/>
              </w:rPr>
              <w:t>AE</w:t>
            </w:r>
          </w:p>
        </w:tc>
      </w:tr>
      <w:tr w:rsidR="00EE3346" w:rsidRPr="00516038" w14:paraId="2182E523" w14:textId="77777777" w:rsidTr="001F6376">
        <w:trPr>
          <w:trHeight w:val="295"/>
          <w:jc w:val="center"/>
        </w:trPr>
        <w:tc>
          <w:tcPr>
            <w:tcW w:w="0" w:type="auto"/>
            <w:tcBorders>
              <w:top w:val="single" w:sz="4" w:space="0" w:color="auto"/>
            </w:tcBorders>
            <w:shd w:val="clear" w:color="auto" w:fill="auto"/>
            <w:vAlign w:val="center"/>
          </w:tcPr>
          <w:p w14:paraId="47A4508C" w14:textId="77777777" w:rsidR="00EE3346" w:rsidRPr="00516038" w:rsidRDefault="00EE3346" w:rsidP="00516038">
            <w:pPr>
              <w:tabs>
                <w:tab w:val="clear" w:pos="1615"/>
              </w:tabs>
              <w:rPr>
                <w:rFonts w:asciiTheme="majorHAnsi" w:hAnsiTheme="majorHAnsi" w:cstheme="majorHAnsi"/>
                <w:b/>
                <w:sz w:val="18"/>
              </w:rPr>
            </w:pPr>
            <w:r w:rsidRPr="00516038">
              <w:rPr>
                <w:rFonts w:asciiTheme="majorHAnsi" w:hAnsiTheme="majorHAnsi" w:cstheme="majorHAnsi"/>
                <w:b/>
                <w:sz w:val="18"/>
              </w:rPr>
              <w:t>University of Oxford</w:t>
            </w:r>
          </w:p>
        </w:tc>
        <w:tc>
          <w:tcPr>
            <w:tcW w:w="0" w:type="auto"/>
            <w:tcBorders>
              <w:top w:val="single" w:sz="4" w:space="0" w:color="auto"/>
            </w:tcBorders>
            <w:shd w:val="clear" w:color="auto" w:fill="auto"/>
            <w:vAlign w:val="center"/>
          </w:tcPr>
          <w:p w14:paraId="05B2D8A4"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UK</w:t>
            </w:r>
          </w:p>
        </w:tc>
        <w:tc>
          <w:tcPr>
            <w:tcW w:w="0" w:type="auto"/>
            <w:tcBorders>
              <w:top w:val="single" w:sz="4" w:space="0" w:color="auto"/>
            </w:tcBorders>
            <w:shd w:val="clear" w:color="auto" w:fill="FFFFFF" w:themeFill="background1"/>
            <w:vAlign w:val="center"/>
          </w:tcPr>
          <w:p w14:paraId="392DAD85" w14:textId="77777777" w:rsidR="00EE3346" w:rsidRPr="00516038" w:rsidRDefault="00EE3346" w:rsidP="00516038">
            <w:pPr>
              <w:tabs>
                <w:tab w:val="clear" w:pos="1615"/>
              </w:tabs>
              <w:spacing w:before="60"/>
              <w:jc w:val="center"/>
              <w:rPr>
                <w:rFonts w:asciiTheme="majorHAnsi" w:hAnsiTheme="majorHAnsi" w:cstheme="majorHAnsi"/>
                <w:b/>
                <w:sz w:val="16"/>
              </w:rPr>
            </w:pPr>
            <w:r w:rsidRPr="00516038">
              <w:rPr>
                <w:rFonts w:asciiTheme="majorHAnsi" w:hAnsiTheme="majorHAnsi" w:cstheme="majorHAnsi"/>
                <w:b/>
                <w:sz w:val="16"/>
              </w:rPr>
              <w:t>1º</w:t>
            </w:r>
          </w:p>
        </w:tc>
        <w:tc>
          <w:tcPr>
            <w:tcW w:w="0" w:type="auto"/>
            <w:tcBorders>
              <w:top w:val="single" w:sz="4" w:space="0" w:color="auto"/>
            </w:tcBorders>
            <w:shd w:val="clear" w:color="auto" w:fill="FFFFFF" w:themeFill="background1"/>
            <w:vAlign w:val="center"/>
          </w:tcPr>
          <w:p w14:paraId="2866AC06"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1º</w:t>
            </w:r>
          </w:p>
        </w:tc>
        <w:tc>
          <w:tcPr>
            <w:tcW w:w="0" w:type="auto"/>
            <w:tcBorders>
              <w:top w:val="single" w:sz="4" w:space="0" w:color="auto"/>
            </w:tcBorders>
            <w:shd w:val="clear" w:color="auto" w:fill="FFFFFF" w:themeFill="background1"/>
            <w:vAlign w:val="center"/>
          </w:tcPr>
          <w:p w14:paraId="05E21A74"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6º</w:t>
            </w:r>
          </w:p>
        </w:tc>
        <w:tc>
          <w:tcPr>
            <w:tcW w:w="0" w:type="auto"/>
            <w:tcBorders>
              <w:top w:val="single" w:sz="4" w:space="0" w:color="auto"/>
            </w:tcBorders>
            <w:shd w:val="clear" w:color="auto" w:fill="FFFFFF" w:themeFill="background1"/>
            <w:vAlign w:val="center"/>
          </w:tcPr>
          <w:p w14:paraId="4E1D976D"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8º</w:t>
            </w:r>
          </w:p>
        </w:tc>
        <w:tc>
          <w:tcPr>
            <w:tcW w:w="0" w:type="auto"/>
            <w:tcBorders>
              <w:top w:val="single" w:sz="4" w:space="0" w:color="auto"/>
            </w:tcBorders>
            <w:shd w:val="clear" w:color="auto" w:fill="FFFFFF" w:themeFill="background1"/>
            <w:vAlign w:val="center"/>
          </w:tcPr>
          <w:p w14:paraId="60470EC8"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3º</w:t>
            </w:r>
          </w:p>
        </w:tc>
        <w:tc>
          <w:tcPr>
            <w:tcW w:w="0" w:type="auto"/>
            <w:tcBorders>
              <w:top w:val="single" w:sz="4" w:space="0" w:color="auto"/>
            </w:tcBorders>
            <w:shd w:val="clear" w:color="auto" w:fill="FFFFFF" w:themeFill="background1"/>
            <w:vAlign w:val="center"/>
          </w:tcPr>
          <w:p w14:paraId="210EF4DC"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1º</w:t>
            </w:r>
          </w:p>
        </w:tc>
        <w:tc>
          <w:tcPr>
            <w:tcW w:w="0" w:type="auto"/>
            <w:tcBorders>
              <w:top w:val="single" w:sz="4" w:space="0" w:color="auto"/>
            </w:tcBorders>
            <w:shd w:val="clear" w:color="auto" w:fill="A6A6A6" w:themeFill="background1" w:themeFillShade="A6"/>
            <w:vAlign w:val="center"/>
          </w:tcPr>
          <w:p w14:paraId="55D46C78" w14:textId="77777777" w:rsidR="00EE3346" w:rsidRPr="00516038" w:rsidRDefault="00EE3346" w:rsidP="00516038">
            <w:pPr>
              <w:tabs>
                <w:tab w:val="clear" w:pos="1615"/>
              </w:tabs>
              <w:spacing w:before="60"/>
              <w:jc w:val="center"/>
              <w:rPr>
                <w:rFonts w:asciiTheme="majorHAnsi" w:hAnsiTheme="majorHAnsi" w:cstheme="majorHAnsi"/>
                <w:sz w:val="16"/>
              </w:rPr>
            </w:pPr>
          </w:p>
        </w:tc>
        <w:tc>
          <w:tcPr>
            <w:tcW w:w="0" w:type="auto"/>
            <w:tcBorders>
              <w:top w:val="single" w:sz="4" w:space="0" w:color="auto"/>
            </w:tcBorders>
            <w:shd w:val="clear" w:color="auto" w:fill="FFFFFF" w:themeFill="background1"/>
            <w:vAlign w:val="center"/>
          </w:tcPr>
          <w:p w14:paraId="51521B8C"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4º</w:t>
            </w:r>
          </w:p>
        </w:tc>
        <w:tc>
          <w:tcPr>
            <w:tcW w:w="0" w:type="auto"/>
            <w:tcBorders>
              <w:top w:val="single" w:sz="4" w:space="0" w:color="auto"/>
            </w:tcBorders>
            <w:shd w:val="clear" w:color="auto" w:fill="FFFFFF" w:themeFill="background1"/>
            <w:vAlign w:val="center"/>
          </w:tcPr>
          <w:p w14:paraId="55F7AF89"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1º</w:t>
            </w:r>
          </w:p>
        </w:tc>
        <w:tc>
          <w:tcPr>
            <w:tcW w:w="0" w:type="auto"/>
            <w:tcBorders>
              <w:top w:val="single" w:sz="4" w:space="0" w:color="auto"/>
            </w:tcBorders>
            <w:shd w:val="clear" w:color="auto" w:fill="FFFFFF" w:themeFill="background1"/>
            <w:vAlign w:val="center"/>
          </w:tcPr>
          <w:p w14:paraId="1A160745"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4º</w:t>
            </w:r>
          </w:p>
        </w:tc>
        <w:tc>
          <w:tcPr>
            <w:tcW w:w="0" w:type="auto"/>
            <w:tcBorders>
              <w:top w:val="single" w:sz="4" w:space="0" w:color="auto"/>
            </w:tcBorders>
            <w:shd w:val="clear" w:color="auto" w:fill="FFFFFF" w:themeFill="background1"/>
            <w:vAlign w:val="center"/>
          </w:tcPr>
          <w:p w14:paraId="5A219624"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4º</w:t>
            </w:r>
          </w:p>
        </w:tc>
        <w:tc>
          <w:tcPr>
            <w:tcW w:w="0" w:type="auto"/>
            <w:tcBorders>
              <w:top w:val="single" w:sz="4" w:space="0" w:color="auto"/>
            </w:tcBorders>
            <w:shd w:val="clear" w:color="auto" w:fill="FFFFFF" w:themeFill="background1"/>
            <w:vAlign w:val="center"/>
          </w:tcPr>
          <w:p w14:paraId="5589C622"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4º</w:t>
            </w:r>
          </w:p>
        </w:tc>
      </w:tr>
      <w:tr w:rsidR="00EE3346" w:rsidRPr="00516038" w14:paraId="2DCA0B13" w14:textId="77777777" w:rsidTr="001F6376">
        <w:trPr>
          <w:trHeight w:val="295"/>
          <w:jc w:val="center"/>
        </w:trPr>
        <w:tc>
          <w:tcPr>
            <w:tcW w:w="0" w:type="auto"/>
            <w:shd w:val="clear" w:color="auto" w:fill="auto"/>
            <w:vAlign w:val="center"/>
          </w:tcPr>
          <w:p w14:paraId="359D40F0" w14:textId="77777777" w:rsidR="00EE3346" w:rsidRPr="00516038" w:rsidRDefault="00EE3346" w:rsidP="00516038">
            <w:pPr>
              <w:tabs>
                <w:tab w:val="clear" w:pos="1615"/>
              </w:tabs>
              <w:rPr>
                <w:rFonts w:asciiTheme="majorHAnsi" w:hAnsiTheme="majorHAnsi" w:cstheme="majorHAnsi"/>
                <w:b/>
                <w:sz w:val="18"/>
              </w:rPr>
            </w:pPr>
            <w:r w:rsidRPr="00516038">
              <w:rPr>
                <w:rFonts w:asciiTheme="majorHAnsi" w:hAnsiTheme="majorHAnsi" w:cstheme="majorHAnsi"/>
                <w:b/>
                <w:sz w:val="18"/>
              </w:rPr>
              <w:t>Harvard University</w:t>
            </w:r>
          </w:p>
        </w:tc>
        <w:tc>
          <w:tcPr>
            <w:tcW w:w="0" w:type="auto"/>
            <w:shd w:val="clear" w:color="auto" w:fill="auto"/>
            <w:vAlign w:val="center"/>
          </w:tcPr>
          <w:p w14:paraId="6CD10D21"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USA</w:t>
            </w:r>
          </w:p>
        </w:tc>
        <w:tc>
          <w:tcPr>
            <w:tcW w:w="0" w:type="auto"/>
            <w:shd w:val="clear" w:color="auto" w:fill="FFFFFF" w:themeFill="background1"/>
            <w:vAlign w:val="center"/>
          </w:tcPr>
          <w:p w14:paraId="2AF191F1" w14:textId="77777777" w:rsidR="00EE3346" w:rsidRPr="00516038" w:rsidRDefault="00EE3346" w:rsidP="00516038">
            <w:pPr>
              <w:tabs>
                <w:tab w:val="clear" w:pos="1615"/>
              </w:tabs>
              <w:spacing w:before="60"/>
              <w:jc w:val="center"/>
              <w:rPr>
                <w:rFonts w:asciiTheme="majorHAnsi" w:hAnsiTheme="majorHAnsi" w:cstheme="majorHAnsi"/>
                <w:b/>
                <w:sz w:val="16"/>
              </w:rPr>
            </w:pPr>
            <w:r w:rsidRPr="00516038">
              <w:rPr>
                <w:rFonts w:asciiTheme="majorHAnsi" w:hAnsiTheme="majorHAnsi" w:cstheme="majorHAnsi"/>
                <w:b/>
                <w:sz w:val="16"/>
              </w:rPr>
              <w:t>2º</w:t>
            </w:r>
          </w:p>
        </w:tc>
        <w:tc>
          <w:tcPr>
            <w:tcW w:w="0" w:type="auto"/>
            <w:shd w:val="clear" w:color="auto" w:fill="FFFFFF" w:themeFill="background1"/>
            <w:vAlign w:val="center"/>
          </w:tcPr>
          <w:p w14:paraId="10789435"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7º</w:t>
            </w:r>
          </w:p>
        </w:tc>
        <w:tc>
          <w:tcPr>
            <w:tcW w:w="0" w:type="auto"/>
            <w:shd w:val="clear" w:color="auto" w:fill="FFFFFF" w:themeFill="background1"/>
            <w:vAlign w:val="center"/>
          </w:tcPr>
          <w:p w14:paraId="7CDA7DEE"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1º</w:t>
            </w:r>
          </w:p>
        </w:tc>
        <w:tc>
          <w:tcPr>
            <w:tcW w:w="0" w:type="auto"/>
            <w:shd w:val="clear" w:color="auto" w:fill="FFFFFF" w:themeFill="background1"/>
            <w:vAlign w:val="center"/>
          </w:tcPr>
          <w:p w14:paraId="651E1B01"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6º</w:t>
            </w:r>
          </w:p>
        </w:tc>
        <w:tc>
          <w:tcPr>
            <w:tcW w:w="0" w:type="auto"/>
            <w:shd w:val="clear" w:color="auto" w:fill="FFFFFF" w:themeFill="background1"/>
            <w:vAlign w:val="center"/>
          </w:tcPr>
          <w:p w14:paraId="4EFEE5D4"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1º</w:t>
            </w:r>
          </w:p>
        </w:tc>
        <w:tc>
          <w:tcPr>
            <w:tcW w:w="0" w:type="auto"/>
            <w:shd w:val="clear" w:color="auto" w:fill="FFFFFF" w:themeFill="background1"/>
            <w:vAlign w:val="center"/>
          </w:tcPr>
          <w:p w14:paraId="23C3E882"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2º</w:t>
            </w:r>
          </w:p>
        </w:tc>
        <w:tc>
          <w:tcPr>
            <w:tcW w:w="0" w:type="auto"/>
            <w:shd w:val="clear" w:color="auto" w:fill="FFFFFF" w:themeFill="background1"/>
            <w:vAlign w:val="center"/>
          </w:tcPr>
          <w:p w14:paraId="2DBB8BAF"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4º</w:t>
            </w:r>
          </w:p>
        </w:tc>
        <w:tc>
          <w:tcPr>
            <w:tcW w:w="0" w:type="auto"/>
            <w:shd w:val="clear" w:color="auto" w:fill="FFFFFF" w:themeFill="background1"/>
            <w:vAlign w:val="center"/>
          </w:tcPr>
          <w:p w14:paraId="0EEA84DB"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6º</w:t>
            </w:r>
          </w:p>
        </w:tc>
        <w:tc>
          <w:tcPr>
            <w:tcW w:w="0" w:type="auto"/>
            <w:shd w:val="clear" w:color="auto" w:fill="FFFFFF" w:themeFill="background1"/>
            <w:vAlign w:val="center"/>
          </w:tcPr>
          <w:p w14:paraId="55F77596"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4º</w:t>
            </w:r>
          </w:p>
        </w:tc>
        <w:tc>
          <w:tcPr>
            <w:tcW w:w="0" w:type="auto"/>
            <w:shd w:val="clear" w:color="auto" w:fill="FFFFFF" w:themeFill="background1"/>
            <w:vAlign w:val="center"/>
          </w:tcPr>
          <w:p w14:paraId="1166E5E5"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3º</w:t>
            </w:r>
          </w:p>
        </w:tc>
        <w:tc>
          <w:tcPr>
            <w:tcW w:w="0" w:type="auto"/>
            <w:shd w:val="clear" w:color="auto" w:fill="FFFFFF" w:themeFill="background1"/>
            <w:vAlign w:val="center"/>
          </w:tcPr>
          <w:p w14:paraId="338E32F9"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7º</w:t>
            </w:r>
          </w:p>
        </w:tc>
        <w:tc>
          <w:tcPr>
            <w:tcW w:w="0" w:type="auto"/>
            <w:shd w:val="clear" w:color="auto" w:fill="FFFFFF" w:themeFill="background1"/>
            <w:vAlign w:val="center"/>
          </w:tcPr>
          <w:p w14:paraId="71463772"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5º</w:t>
            </w:r>
          </w:p>
        </w:tc>
      </w:tr>
      <w:tr w:rsidR="00EE3346" w:rsidRPr="00516038" w14:paraId="471E177E" w14:textId="77777777" w:rsidTr="001F6376">
        <w:trPr>
          <w:trHeight w:val="295"/>
          <w:jc w:val="center"/>
        </w:trPr>
        <w:tc>
          <w:tcPr>
            <w:tcW w:w="0" w:type="auto"/>
            <w:shd w:val="clear" w:color="auto" w:fill="auto"/>
            <w:vAlign w:val="center"/>
          </w:tcPr>
          <w:p w14:paraId="3B1798B7" w14:textId="77777777" w:rsidR="00EE3346" w:rsidRPr="00516038" w:rsidRDefault="00EE3346" w:rsidP="00516038">
            <w:pPr>
              <w:tabs>
                <w:tab w:val="clear" w:pos="1615"/>
              </w:tabs>
              <w:rPr>
                <w:rFonts w:asciiTheme="majorHAnsi" w:hAnsiTheme="majorHAnsi" w:cstheme="majorHAnsi"/>
                <w:b/>
                <w:sz w:val="18"/>
              </w:rPr>
            </w:pPr>
            <w:r w:rsidRPr="00516038">
              <w:rPr>
                <w:rFonts w:asciiTheme="majorHAnsi" w:hAnsiTheme="majorHAnsi" w:cstheme="majorHAnsi"/>
                <w:b/>
                <w:sz w:val="18"/>
              </w:rPr>
              <w:t>California Institute of Technology</w:t>
            </w:r>
          </w:p>
        </w:tc>
        <w:tc>
          <w:tcPr>
            <w:tcW w:w="0" w:type="auto"/>
            <w:shd w:val="clear" w:color="auto" w:fill="auto"/>
            <w:vAlign w:val="center"/>
          </w:tcPr>
          <w:p w14:paraId="134A82E5"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USA</w:t>
            </w:r>
          </w:p>
        </w:tc>
        <w:tc>
          <w:tcPr>
            <w:tcW w:w="0" w:type="auto"/>
            <w:shd w:val="clear" w:color="auto" w:fill="FFFFFF" w:themeFill="background1"/>
            <w:vAlign w:val="center"/>
          </w:tcPr>
          <w:p w14:paraId="2C8C3993" w14:textId="77777777" w:rsidR="00EE3346" w:rsidRPr="00516038" w:rsidRDefault="00EE3346" w:rsidP="00516038">
            <w:pPr>
              <w:tabs>
                <w:tab w:val="clear" w:pos="1615"/>
              </w:tabs>
              <w:spacing w:before="60"/>
              <w:jc w:val="center"/>
              <w:rPr>
                <w:rFonts w:asciiTheme="majorHAnsi" w:hAnsiTheme="majorHAnsi" w:cstheme="majorHAnsi"/>
                <w:b/>
                <w:sz w:val="16"/>
              </w:rPr>
            </w:pPr>
            <w:r w:rsidRPr="00516038">
              <w:rPr>
                <w:rFonts w:asciiTheme="majorHAnsi" w:hAnsiTheme="majorHAnsi" w:cstheme="majorHAnsi"/>
                <w:b/>
                <w:sz w:val="16"/>
              </w:rPr>
              <w:t>3º</w:t>
            </w:r>
          </w:p>
        </w:tc>
        <w:tc>
          <w:tcPr>
            <w:tcW w:w="0" w:type="auto"/>
            <w:shd w:val="clear" w:color="auto" w:fill="FDFD7F"/>
            <w:vAlign w:val="center"/>
          </w:tcPr>
          <w:p w14:paraId="1A898097"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13º</w:t>
            </w:r>
          </w:p>
        </w:tc>
        <w:tc>
          <w:tcPr>
            <w:tcW w:w="0" w:type="auto"/>
            <w:shd w:val="clear" w:color="auto" w:fill="FFFFFF" w:themeFill="background1"/>
            <w:vAlign w:val="center"/>
          </w:tcPr>
          <w:p w14:paraId="2816DF92"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8º</w:t>
            </w:r>
          </w:p>
        </w:tc>
        <w:tc>
          <w:tcPr>
            <w:tcW w:w="0" w:type="auto"/>
            <w:shd w:val="clear" w:color="auto" w:fill="FFFFFF" w:themeFill="background1"/>
            <w:vAlign w:val="center"/>
          </w:tcPr>
          <w:p w14:paraId="108BBF28"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2º</w:t>
            </w:r>
          </w:p>
        </w:tc>
        <w:tc>
          <w:tcPr>
            <w:tcW w:w="0" w:type="auto"/>
            <w:shd w:val="clear" w:color="auto" w:fill="FFFFFF" w:themeFill="background1"/>
            <w:vAlign w:val="center"/>
          </w:tcPr>
          <w:p w14:paraId="5C311036"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2º</w:t>
            </w:r>
          </w:p>
        </w:tc>
        <w:tc>
          <w:tcPr>
            <w:tcW w:w="0" w:type="auto"/>
            <w:shd w:val="clear" w:color="auto" w:fill="A6A6A6" w:themeFill="background1" w:themeFillShade="A6"/>
            <w:vAlign w:val="center"/>
          </w:tcPr>
          <w:p w14:paraId="6147C7AC" w14:textId="77777777" w:rsidR="00EE3346" w:rsidRPr="00516038" w:rsidRDefault="00EE3346" w:rsidP="00516038">
            <w:pPr>
              <w:tabs>
                <w:tab w:val="clear" w:pos="1615"/>
              </w:tabs>
              <w:spacing w:before="60"/>
              <w:jc w:val="center"/>
              <w:rPr>
                <w:rFonts w:asciiTheme="majorHAnsi" w:hAnsiTheme="majorHAnsi" w:cstheme="majorHAnsi"/>
                <w:sz w:val="16"/>
              </w:rPr>
            </w:pPr>
          </w:p>
        </w:tc>
        <w:tc>
          <w:tcPr>
            <w:tcW w:w="0" w:type="auto"/>
            <w:shd w:val="clear" w:color="auto" w:fill="A6A6A6" w:themeFill="background1" w:themeFillShade="A6"/>
            <w:vAlign w:val="center"/>
          </w:tcPr>
          <w:p w14:paraId="19C40C72" w14:textId="77777777" w:rsidR="00EE3346" w:rsidRPr="00516038" w:rsidRDefault="00EE3346" w:rsidP="00516038">
            <w:pPr>
              <w:tabs>
                <w:tab w:val="clear" w:pos="1615"/>
              </w:tabs>
              <w:spacing w:before="60"/>
              <w:jc w:val="center"/>
              <w:rPr>
                <w:rFonts w:asciiTheme="majorHAnsi" w:hAnsiTheme="majorHAnsi" w:cstheme="majorHAnsi"/>
                <w:sz w:val="16"/>
              </w:rPr>
            </w:pPr>
          </w:p>
        </w:tc>
        <w:tc>
          <w:tcPr>
            <w:tcW w:w="0" w:type="auto"/>
            <w:shd w:val="clear" w:color="auto" w:fill="A6A6A6" w:themeFill="background1" w:themeFillShade="A6"/>
            <w:vAlign w:val="center"/>
          </w:tcPr>
          <w:p w14:paraId="111E27AA" w14:textId="77777777" w:rsidR="00EE3346" w:rsidRPr="00516038" w:rsidRDefault="00EE3346" w:rsidP="00516038">
            <w:pPr>
              <w:tabs>
                <w:tab w:val="clear" w:pos="1615"/>
              </w:tabs>
              <w:spacing w:before="60"/>
              <w:jc w:val="center"/>
              <w:rPr>
                <w:rFonts w:asciiTheme="majorHAnsi" w:hAnsiTheme="majorHAnsi" w:cstheme="majorHAnsi"/>
                <w:sz w:val="16"/>
              </w:rPr>
            </w:pPr>
          </w:p>
        </w:tc>
        <w:tc>
          <w:tcPr>
            <w:tcW w:w="0" w:type="auto"/>
            <w:shd w:val="clear" w:color="auto" w:fill="A6A6A6" w:themeFill="background1" w:themeFillShade="A6"/>
            <w:vAlign w:val="center"/>
          </w:tcPr>
          <w:p w14:paraId="4CE46BB7" w14:textId="77777777" w:rsidR="00EE3346" w:rsidRPr="00516038" w:rsidRDefault="00EE3346" w:rsidP="00516038">
            <w:pPr>
              <w:tabs>
                <w:tab w:val="clear" w:pos="1615"/>
              </w:tabs>
              <w:spacing w:before="60"/>
              <w:jc w:val="center"/>
              <w:rPr>
                <w:rFonts w:asciiTheme="majorHAnsi" w:hAnsiTheme="majorHAnsi" w:cstheme="majorHAnsi"/>
                <w:sz w:val="16"/>
              </w:rPr>
            </w:pPr>
          </w:p>
        </w:tc>
        <w:tc>
          <w:tcPr>
            <w:tcW w:w="0" w:type="auto"/>
            <w:shd w:val="clear" w:color="auto" w:fill="A6A6A6" w:themeFill="background1" w:themeFillShade="A6"/>
            <w:vAlign w:val="center"/>
          </w:tcPr>
          <w:p w14:paraId="720525D7" w14:textId="77777777" w:rsidR="00EE3346" w:rsidRPr="00516038" w:rsidRDefault="00EE3346" w:rsidP="00516038">
            <w:pPr>
              <w:tabs>
                <w:tab w:val="clear" w:pos="1615"/>
              </w:tabs>
              <w:spacing w:before="60"/>
              <w:jc w:val="center"/>
              <w:rPr>
                <w:rFonts w:asciiTheme="majorHAnsi" w:hAnsiTheme="majorHAnsi" w:cstheme="majorHAnsi"/>
                <w:sz w:val="16"/>
              </w:rPr>
            </w:pPr>
          </w:p>
        </w:tc>
        <w:tc>
          <w:tcPr>
            <w:tcW w:w="0" w:type="auto"/>
            <w:shd w:val="clear" w:color="auto" w:fill="A6A6A6" w:themeFill="background1" w:themeFillShade="A6"/>
            <w:vAlign w:val="center"/>
          </w:tcPr>
          <w:p w14:paraId="4A89AB8E" w14:textId="77777777" w:rsidR="00EE3346" w:rsidRPr="00516038" w:rsidRDefault="00EE3346" w:rsidP="00516038">
            <w:pPr>
              <w:tabs>
                <w:tab w:val="clear" w:pos="1615"/>
              </w:tabs>
              <w:spacing w:before="60"/>
              <w:jc w:val="center"/>
              <w:rPr>
                <w:rFonts w:asciiTheme="majorHAnsi" w:hAnsiTheme="majorHAnsi" w:cstheme="majorHAnsi"/>
                <w:sz w:val="16"/>
              </w:rPr>
            </w:pPr>
          </w:p>
        </w:tc>
        <w:tc>
          <w:tcPr>
            <w:tcW w:w="0" w:type="auto"/>
            <w:shd w:val="clear" w:color="auto" w:fill="A6A6A6" w:themeFill="background1" w:themeFillShade="A6"/>
            <w:vAlign w:val="center"/>
          </w:tcPr>
          <w:p w14:paraId="1E874992" w14:textId="77777777" w:rsidR="00EE3346" w:rsidRPr="00516038" w:rsidRDefault="00EE3346" w:rsidP="00516038">
            <w:pPr>
              <w:tabs>
                <w:tab w:val="clear" w:pos="1615"/>
              </w:tabs>
              <w:spacing w:before="60"/>
              <w:jc w:val="center"/>
              <w:rPr>
                <w:rFonts w:asciiTheme="majorHAnsi" w:hAnsiTheme="majorHAnsi" w:cstheme="majorHAnsi"/>
                <w:sz w:val="16"/>
              </w:rPr>
            </w:pPr>
          </w:p>
        </w:tc>
      </w:tr>
      <w:tr w:rsidR="00EE3346" w:rsidRPr="00516038" w14:paraId="557FE8DE" w14:textId="77777777" w:rsidTr="001F6376">
        <w:trPr>
          <w:trHeight w:val="295"/>
          <w:jc w:val="center"/>
        </w:trPr>
        <w:tc>
          <w:tcPr>
            <w:tcW w:w="0" w:type="auto"/>
            <w:shd w:val="clear" w:color="auto" w:fill="auto"/>
            <w:vAlign w:val="center"/>
          </w:tcPr>
          <w:p w14:paraId="6878121D" w14:textId="77777777" w:rsidR="00EE3346" w:rsidRPr="00516038" w:rsidRDefault="00EE3346" w:rsidP="00516038">
            <w:pPr>
              <w:tabs>
                <w:tab w:val="clear" w:pos="1615"/>
              </w:tabs>
              <w:rPr>
                <w:rFonts w:asciiTheme="majorHAnsi" w:hAnsiTheme="majorHAnsi" w:cstheme="majorHAnsi"/>
                <w:b/>
                <w:sz w:val="18"/>
              </w:rPr>
            </w:pPr>
            <w:r w:rsidRPr="00516038">
              <w:rPr>
                <w:rFonts w:asciiTheme="majorHAnsi" w:hAnsiTheme="majorHAnsi" w:cstheme="majorHAnsi"/>
                <w:b/>
                <w:sz w:val="18"/>
              </w:rPr>
              <w:t>Stanford University</w:t>
            </w:r>
          </w:p>
        </w:tc>
        <w:tc>
          <w:tcPr>
            <w:tcW w:w="0" w:type="auto"/>
            <w:shd w:val="clear" w:color="auto" w:fill="auto"/>
            <w:vAlign w:val="center"/>
          </w:tcPr>
          <w:p w14:paraId="615BDE77"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USA</w:t>
            </w:r>
          </w:p>
        </w:tc>
        <w:tc>
          <w:tcPr>
            <w:tcW w:w="0" w:type="auto"/>
            <w:shd w:val="clear" w:color="auto" w:fill="FFFFFF" w:themeFill="background1"/>
            <w:vAlign w:val="center"/>
          </w:tcPr>
          <w:p w14:paraId="1C7265B5" w14:textId="77777777" w:rsidR="00EE3346" w:rsidRPr="00516038" w:rsidRDefault="00EE3346" w:rsidP="00516038">
            <w:pPr>
              <w:tabs>
                <w:tab w:val="clear" w:pos="1615"/>
              </w:tabs>
              <w:spacing w:before="60"/>
              <w:jc w:val="center"/>
              <w:rPr>
                <w:rFonts w:asciiTheme="majorHAnsi" w:hAnsiTheme="majorHAnsi" w:cstheme="majorHAnsi"/>
                <w:b/>
                <w:sz w:val="16"/>
              </w:rPr>
            </w:pPr>
            <w:r w:rsidRPr="00516038">
              <w:rPr>
                <w:rFonts w:asciiTheme="majorHAnsi" w:hAnsiTheme="majorHAnsi" w:cstheme="majorHAnsi"/>
                <w:b/>
                <w:sz w:val="16"/>
              </w:rPr>
              <w:t>4º</w:t>
            </w:r>
          </w:p>
        </w:tc>
        <w:tc>
          <w:tcPr>
            <w:tcW w:w="0" w:type="auto"/>
            <w:shd w:val="clear" w:color="auto" w:fill="FFFFFF" w:themeFill="background1"/>
            <w:vAlign w:val="center"/>
          </w:tcPr>
          <w:p w14:paraId="6BB48880"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2º</w:t>
            </w:r>
          </w:p>
        </w:tc>
        <w:tc>
          <w:tcPr>
            <w:tcW w:w="0" w:type="auto"/>
            <w:shd w:val="clear" w:color="auto" w:fill="FFFFFF" w:themeFill="background1"/>
            <w:vAlign w:val="center"/>
          </w:tcPr>
          <w:p w14:paraId="07E575BD"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2º</w:t>
            </w:r>
          </w:p>
        </w:tc>
        <w:tc>
          <w:tcPr>
            <w:tcW w:w="0" w:type="auto"/>
            <w:shd w:val="clear" w:color="auto" w:fill="FFFFFF" w:themeFill="background1"/>
            <w:vAlign w:val="center"/>
          </w:tcPr>
          <w:p w14:paraId="08E2820B"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5º</w:t>
            </w:r>
          </w:p>
        </w:tc>
        <w:tc>
          <w:tcPr>
            <w:tcW w:w="0" w:type="auto"/>
            <w:shd w:val="clear" w:color="auto" w:fill="FFFFFF" w:themeFill="background1"/>
            <w:vAlign w:val="center"/>
          </w:tcPr>
          <w:p w14:paraId="74A3A42E"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7º</w:t>
            </w:r>
          </w:p>
        </w:tc>
        <w:tc>
          <w:tcPr>
            <w:tcW w:w="0" w:type="auto"/>
            <w:shd w:val="clear" w:color="auto" w:fill="FFFFFF" w:themeFill="background1"/>
            <w:vAlign w:val="center"/>
          </w:tcPr>
          <w:p w14:paraId="44DE5DCA"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6º</w:t>
            </w:r>
          </w:p>
        </w:tc>
        <w:tc>
          <w:tcPr>
            <w:tcW w:w="0" w:type="auto"/>
            <w:shd w:val="clear" w:color="auto" w:fill="FFFFFF" w:themeFill="background1"/>
            <w:vAlign w:val="center"/>
          </w:tcPr>
          <w:p w14:paraId="21C0E993"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2º</w:t>
            </w:r>
          </w:p>
        </w:tc>
        <w:tc>
          <w:tcPr>
            <w:tcW w:w="0" w:type="auto"/>
            <w:shd w:val="clear" w:color="auto" w:fill="FFFFFF" w:themeFill="background1"/>
            <w:vAlign w:val="center"/>
          </w:tcPr>
          <w:p w14:paraId="00CD620E"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1º</w:t>
            </w:r>
          </w:p>
        </w:tc>
        <w:tc>
          <w:tcPr>
            <w:tcW w:w="0" w:type="auto"/>
            <w:shd w:val="clear" w:color="auto" w:fill="FFFFFF" w:themeFill="background1"/>
            <w:vAlign w:val="center"/>
          </w:tcPr>
          <w:p w14:paraId="623768A8"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3º</w:t>
            </w:r>
          </w:p>
        </w:tc>
        <w:tc>
          <w:tcPr>
            <w:tcW w:w="0" w:type="auto"/>
            <w:shd w:val="clear" w:color="auto" w:fill="FFFFFF" w:themeFill="background1"/>
            <w:vAlign w:val="center"/>
          </w:tcPr>
          <w:p w14:paraId="02B6F05E"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1º</w:t>
            </w:r>
          </w:p>
        </w:tc>
        <w:tc>
          <w:tcPr>
            <w:tcW w:w="0" w:type="auto"/>
            <w:shd w:val="clear" w:color="auto" w:fill="FFFFFF" w:themeFill="background1"/>
            <w:vAlign w:val="center"/>
          </w:tcPr>
          <w:p w14:paraId="3F300457"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1º</w:t>
            </w:r>
          </w:p>
        </w:tc>
        <w:tc>
          <w:tcPr>
            <w:tcW w:w="0" w:type="auto"/>
            <w:shd w:val="clear" w:color="auto" w:fill="FFFFFF" w:themeFill="background1"/>
            <w:vAlign w:val="center"/>
          </w:tcPr>
          <w:p w14:paraId="30234E4F"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1º</w:t>
            </w:r>
          </w:p>
        </w:tc>
      </w:tr>
      <w:tr w:rsidR="00EE3346" w:rsidRPr="00516038" w14:paraId="678A65A0" w14:textId="77777777" w:rsidTr="001F6376">
        <w:trPr>
          <w:trHeight w:val="295"/>
          <w:jc w:val="center"/>
        </w:trPr>
        <w:tc>
          <w:tcPr>
            <w:tcW w:w="0" w:type="auto"/>
            <w:shd w:val="clear" w:color="auto" w:fill="auto"/>
            <w:vAlign w:val="center"/>
          </w:tcPr>
          <w:p w14:paraId="27156105" w14:textId="77777777" w:rsidR="00EE3346" w:rsidRPr="00516038" w:rsidRDefault="00EE3346" w:rsidP="00516038">
            <w:pPr>
              <w:tabs>
                <w:tab w:val="clear" w:pos="1615"/>
              </w:tabs>
              <w:rPr>
                <w:rFonts w:asciiTheme="majorHAnsi" w:hAnsiTheme="majorHAnsi" w:cstheme="majorHAnsi"/>
                <w:b/>
                <w:sz w:val="18"/>
              </w:rPr>
            </w:pPr>
            <w:r w:rsidRPr="00516038">
              <w:rPr>
                <w:rFonts w:asciiTheme="majorHAnsi" w:hAnsiTheme="majorHAnsi" w:cstheme="majorHAnsi"/>
                <w:b/>
                <w:sz w:val="18"/>
                <w:szCs w:val="16"/>
              </w:rPr>
              <w:t>Massachusetts Institute of Technology</w:t>
            </w:r>
          </w:p>
        </w:tc>
        <w:tc>
          <w:tcPr>
            <w:tcW w:w="0" w:type="auto"/>
            <w:shd w:val="clear" w:color="auto" w:fill="auto"/>
            <w:vAlign w:val="center"/>
          </w:tcPr>
          <w:p w14:paraId="7A37C485"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USA</w:t>
            </w:r>
          </w:p>
        </w:tc>
        <w:tc>
          <w:tcPr>
            <w:tcW w:w="0" w:type="auto"/>
            <w:shd w:val="clear" w:color="auto" w:fill="FFFFFF" w:themeFill="background1"/>
            <w:vAlign w:val="center"/>
          </w:tcPr>
          <w:p w14:paraId="487B1C00" w14:textId="77777777" w:rsidR="00EE3346" w:rsidRPr="00516038" w:rsidRDefault="00EE3346" w:rsidP="00516038">
            <w:pPr>
              <w:tabs>
                <w:tab w:val="clear" w:pos="1615"/>
              </w:tabs>
              <w:spacing w:before="60"/>
              <w:jc w:val="center"/>
              <w:rPr>
                <w:rFonts w:asciiTheme="majorHAnsi" w:hAnsiTheme="majorHAnsi" w:cstheme="majorHAnsi"/>
                <w:b/>
                <w:sz w:val="16"/>
              </w:rPr>
            </w:pPr>
            <w:r w:rsidRPr="00516038">
              <w:rPr>
                <w:rFonts w:asciiTheme="majorHAnsi" w:hAnsiTheme="majorHAnsi" w:cstheme="majorHAnsi"/>
                <w:b/>
                <w:sz w:val="16"/>
              </w:rPr>
              <w:t>5º</w:t>
            </w:r>
          </w:p>
        </w:tc>
        <w:tc>
          <w:tcPr>
            <w:tcW w:w="0" w:type="auto"/>
            <w:shd w:val="clear" w:color="auto" w:fill="FFFFFF" w:themeFill="background1"/>
            <w:vAlign w:val="center"/>
          </w:tcPr>
          <w:p w14:paraId="35EE053E"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3º</w:t>
            </w:r>
          </w:p>
        </w:tc>
        <w:tc>
          <w:tcPr>
            <w:tcW w:w="0" w:type="auto"/>
            <w:shd w:val="clear" w:color="auto" w:fill="FFFFFF" w:themeFill="background1"/>
            <w:vAlign w:val="center"/>
          </w:tcPr>
          <w:p w14:paraId="074BDBD1"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4º</w:t>
            </w:r>
          </w:p>
        </w:tc>
        <w:tc>
          <w:tcPr>
            <w:tcW w:w="0" w:type="auto"/>
            <w:shd w:val="clear" w:color="auto" w:fill="FFFFFF" w:themeFill="background1"/>
            <w:vAlign w:val="center"/>
          </w:tcPr>
          <w:p w14:paraId="043C8E90"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4º</w:t>
            </w:r>
          </w:p>
        </w:tc>
        <w:tc>
          <w:tcPr>
            <w:tcW w:w="0" w:type="auto"/>
            <w:shd w:val="clear" w:color="auto" w:fill="FFFFFF" w:themeFill="background1"/>
            <w:vAlign w:val="center"/>
          </w:tcPr>
          <w:p w14:paraId="2235CF2E"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3º</w:t>
            </w:r>
          </w:p>
        </w:tc>
        <w:tc>
          <w:tcPr>
            <w:tcW w:w="0" w:type="auto"/>
            <w:shd w:val="clear" w:color="auto" w:fill="A6A6A6" w:themeFill="background1" w:themeFillShade="A6"/>
            <w:vAlign w:val="center"/>
          </w:tcPr>
          <w:p w14:paraId="0559D947" w14:textId="77777777" w:rsidR="00EE3346" w:rsidRPr="00516038" w:rsidRDefault="00EE3346" w:rsidP="00516038">
            <w:pPr>
              <w:tabs>
                <w:tab w:val="clear" w:pos="1615"/>
              </w:tabs>
              <w:spacing w:before="60"/>
              <w:jc w:val="center"/>
              <w:rPr>
                <w:rFonts w:asciiTheme="majorHAnsi" w:hAnsiTheme="majorHAnsi" w:cstheme="majorHAnsi"/>
                <w:sz w:val="16"/>
              </w:rPr>
            </w:pPr>
          </w:p>
        </w:tc>
        <w:tc>
          <w:tcPr>
            <w:tcW w:w="0" w:type="auto"/>
            <w:shd w:val="clear" w:color="auto" w:fill="A6A6A6" w:themeFill="background1" w:themeFillShade="A6"/>
            <w:vAlign w:val="center"/>
          </w:tcPr>
          <w:p w14:paraId="62F129CB" w14:textId="77777777" w:rsidR="00EE3346" w:rsidRPr="00516038" w:rsidRDefault="00EE3346" w:rsidP="00516038">
            <w:pPr>
              <w:tabs>
                <w:tab w:val="clear" w:pos="1615"/>
              </w:tabs>
              <w:spacing w:before="60"/>
              <w:jc w:val="center"/>
              <w:rPr>
                <w:rFonts w:asciiTheme="majorHAnsi" w:hAnsiTheme="majorHAnsi" w:cstheme="majorHAnsi"/>
                <w:sz w:val="16"/>
              </w:rPr>
            </w:pPr>
          </w:p>
        </w:tc>
        <w:tc>
          <w:tcPr>
            <w:tcW w:w="0" w:type="auto"/>
            <w:shd w:val="clear" w:color="auto" w:fill="FFFFFF" w:themeFill="background1"/>
            <w:vAlign w:val="center"/>
          </w:tcPr>
          <w:p w14:paraId="58DD4901"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2º</w:t>
            </w:r>
          </w:p>
        </w:tc>
        <w:tc>
          <w:tcPr>
            <w:tcW w:w="0" w:type="auto"/>
            <w:shd w:val="clear" w:color="auto" w:fill="FFFFFF" w:themeFill="background1"/>
            <w:vAlign w:val="center"/>
          </w:tcPr>
          <w:p w14:paraId="3C4699A9"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2º</w:t>
            </w:r>
          </w:p>
        </w:tc>
        <w:tc>
          <w:tcPr>
            <w:tcW w:w="0" w:type="auto"/>
            <w:shd w:val="clear" w:color="auto" w:fill="A6A6A6" w:themeFill="background1" w:themeFillShade="A6"/>
            <w:vAlign w:val="center"/>
          </w:tcPr>
          <w:p w14:paraId="7B81AA41" w14:textId="77777777" w:rsidR="00EE3346" w:rsidRPr="00516038" w:rsidRDefault="00EE3346" w:rsidP="00516038">
            <w:pPr>
              <w:tabs>
                <w:tab w:val="clear" w:pos="1615"/>
              </w:tabs>
              <w:spacing w:before="60"/>
              <w:jc w:val="center"/>
              <w:rPr>
                <w:rFonts w:asciiTheme="majorHAnsi" w:hAnsiTheme="majorHAnsi" w:cstheme="majorHAnsi"/>
                <w:sz w:val="16"/>
              </w:rPr>
            </w:pPr>
          </w:p>
        </w:tc>
        <w:tc>
          <w:tcPr>
            <w:tcW w:w="0" w:type="auto"/>
            <w:shd w:val="clear" w:color="auto" w:fill="A6A6A6" w:themeFill="background1" w:themeFillShade="A6"/>
            <w:vAlign w:val="center"/>
          </w:tcPr>
          <w:p w14:paraId="386D72DB" w14:textId="77777777" w:rsidR="00EE3346" w:rsidRPr="00516038" w:rsidRDefault="00EE3346" w:rsidP="00516038">
            <w:pPr>
              <w:tabs>
                <w:tab w:val="clear" w:pos="1615"/>
              </w:tabs>
              <w:spacing w:before="60"/>
              <w:jc w:val="center"/>
              <w:rPr>
                <w:rFonts w:asciiTheme="majorHAnsi" w:hAnsiTheme="majorHAnsi" w:cstheme="majorHAnsi"/>
                <w:sz w:val="16"/>
              </w:rPr>
            </w:pPr>
          </w:p>
        </w:tc>
        <w:tc>
          <w:tcPr>
            <w:tcW w:w="0" w:type="auto"/>
            <w:shd w:val="clear" w:color="auto" w:fill="auto"/>
            <w:vAlign w:val="center"/>
          </w:tcPr>
          <w:p w14:paraId="59DBFD1F"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1º</w:t>
            </w:r>
          </w:p>
        </w:tc>
      </w:tr>
      <w:tr w:rsidR="00EE3346" w:rsidRPr="00516038" w14:paraId="74FAC521" w14:textId="77777777" w:rsidTr="001F6376">
        <w:trPr>
          <w:trHeight w:val="295"/>
          <w:jc w:val="center"/>
        </w:trPr>
        <w:tc>
          <w:tcPr>
            <w:tcW w:w="0" w:type="auto"/>
            <w:shd w:val="clear" w:color="auto" w:fill="auto"/>
            <w:vAlign w:val="center"/>
          </w:tcPr>
          <w:p w14:paraId="4369A363" w14:textId="77777777" w:rsidR="00EE3346" w:rsidRPr="00516038" w:rsidRDefault="00EE3346" w:rsidP="00516038">
            <w:pPr>
              <w:tabs>
                <w:tab w:val="clear" w:pos="1615"/>
              </w:tabs>
              <w:rPr>
                <w:rFonts w:asciiTheme="majorHAnsi" w:hAnsiTheme="majorHAnsi" w:cstheme="majorHAnsi"/>
                <w:b/>
                <w:sz w:val="18"/>
              </w:rPr>
            </w:pPr>
            <w:r w:rsidRPr="00516038">
              <w:rPr>
                <w:rFonts w:asciiTheme="majorHAnsi" w:hAnsiTheme="majorHAnsi" w:cstheme="majorHAnsi"/>
                <w:b/>
                <w:sz w:val="18"/>
              </w:rPr>
              <w:t>University of Cambridge</w:t>
            </w:r>
          </w:p>
        </w:tc>
        <w:tc>
          <w:tcPr>
            <w:tcW w:w="0" w:type="auto"/>
            <w:shd w:val="clear" w:color="auto" w:fill="auto"/>
            <w:vAlign w:val="center"/>
          </w:tcPr>
          <w:p w14:paraId="46ADD4E5"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UK</w:t>
            </w:r>
          </w:p>
        </w:tc>
        <w:tc>
          <w:tcPr>
            <w:tcW w:w="0" w:type="auto"/>
            <w:shd w:val="clear" w:color="auto" w:fill="FFFFFF" w:themeFill="background1"/>
            <w:vAlign w:val="center"/>
          </w:tcPr>
          <w:p w14:paraId="15CD3D6B" w14:textId="77777777" w:rsidR="00EE3346" w:rsidRPr="00516038" w:rsidRDefault="00EE3346" w:rsidP="00516038">
            <w:pPr>
              <w:tabs>
                <w:tab w:val="clear" w:pos="1615"/>
              </w:tabs>
              <w:spacing w:before="60"/>
              <w:jc w:val="center"/>
              <w:rPr>
                <w:rFonts w:asciiTheme="majorHAnsi" w:hAnsiTheme="majorHAnsi" w:cstheme="majorHAnsi"/>
                <w:b/>
                <w:sz w:val="16"/>
              </w:rPr>
            </w:pPr>
            <w:r w:rsidRPr="00516038">
              <w:rPr>
                <w:rFonts w:asciiTheme="majorHAnsi" w:hAnsiTheme="majorHAnsi" w:cstheme="majorHAnsi"/>
                <w:b/>
                <w:sz w:val="16"/>
              </w:rPr>
              <w:t>5º</w:t>
            </w:r>
          </w:p>
        </w:tc>
        <w:tc>
          <w:tcPr>
            <w:tcW w:w="0" w:type="auto"/>
            <w:shd w:val="clear" w:color="auto" w:fill="FFFFFF" w:themeFill="background1"/>
            <w:vAlign w:val="center"/>
          </w:tcPr>
          <w:p w14:paraId="7DB9FEBE"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4º</w:t>
            </w:r>
          </w:p>
        </w:tc>
        <w:tc>
          <w:tcPr>
            <w:tcW w:w="0" w:type="auto"/>
            <w:shd w:val="clear" w:color="auto" w:fill="FFFFFF" w:themeFill="background1"/>
            <w:vAlign w:val="center"/>
          </w:tcPr>
          <w:p w14:paraId="636ECD29"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5º</w:t>
            </w:r>
          </w:p>
        </w:tc>
        <w:tc>
          <w:tcPr>
            <w:tcW w:w="0" w:type="auto"/>
            <w:shd w:val="clear" w:color="auto" w:fill="FFFFFF" w:themeFill="background1"/>
            <w:vAlign w:val="center"/>
          </w:tcPr>
          <w:p w14:paraId="2CC18DC4"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7º</w:t>
            </w:r>
          </w:p>
        </w:tc>
        <w:tc>
          <w:tcPr>
            <w:tcW w:w="0" w:type="auto"/>
            <w:shd w:val="clear" w:color="auto" w:fill="FFFFFF" w:themeFill="background1"/>
            <w:vAlign w:val="center"/>
          </w:tcPr>
          <w:p w14:paraId="186852F3"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2º</w:t>
            </w:r>
          </w:p>
        </w:tc>
        <w:tc>
          <w:tcPr>
            <w:tcW w:w="446" w:type="dxa"/>
            <w:shd w:val="clear" w:color="auto" w:fill="FFFFFF" w:themeFill="background1"/>
            <w:vAlign w:val="center"/>
          </w:tcPr>
          <w:p w14:paraId="7542F756"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4º</w:t>
            </w:r>
          </w:p>
        </w:tc>
        <w:tc>
          <w:tcPr>
            <w:tcW w:w="405" w:type="dxa"/>
            <w:shd w:val="clear" w:color="auto" w:fill="FFFFFF" w:themeFill="background1"/>
            <w:vAlign w:val="center"/>
          </w:tcPr>
          <w:p w14:paraId="25178DE3"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1º</w:t>
            </w:r>
          </w:p>
        </w:tc>
        <w:tc>
          <w:tcPr>
            <w:tcW w:w="0" w:type="auto"/>
            <w:shd w:val="clear" w:color="auto" w:fill="FFFFFF" w:themeFill="background1"/>
            <w:vAlign w:val="center"/>
          </w:tcPr>
          <w:p w14:paraId="13AB09D2"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3º</w:t>
            </w:r>
          </w:p>
        </w:tc>
        <w:tc>
          <w:tcPr>
            <w:tcW w:w="0" w:type="auto"/>
            <w:shd w:val="clear" w:color="auto" w:fill="FFFFFF" w:themeFill="background1"/>
            <w:vAlign w:val="center"/>
          </w:tcPr>
          <w:p w14:paraId="23A4744A"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8º</w:t>
            </w:r>
          </w:p>
        </w:tc>
        <w:tc>
          <w:tcPr>
            <w:tcW w:w="0" w:type="auto"/>
            <w:shd w:val="clear" w:color="auto" w:fill="FFFFFF" w:themeFill="background1"/>
            <w:vAlign w:val="center"/>
          </w:tcPr>
          <w:p w14:paraId="770DFACB"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5º</w:t>
            </w:r>
          </w:p>
        </w:tc>
        <w:tc>
          <w:tcPr>
            <w:tcW w:w="0" w:type="auto"/>
            <w:shd w:val="clear" w:color="auto" w:fill="FFFFFF" w:themeFill="background1"/>
            <w:vAlign w:val="center"/>
          </w:tcPr>
          <w:p w14:paraId="6E5B3BA0"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2º</w:t>
            </w:r>
          </w:p>
        </w:tc>
        <w:tc>
          <w:tcPr>
            <w:tcW w:w="0" w:type="auto"/>
            <w:shd w:val="clear" w:color="auto" w:fill="FFFFFF" w:themeFill="background1"/>
            <w:vAlign w:val="center"/>
          </w:tcPr>
          <w:p w14:paraId="3D0B48F5"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3º</w:t>
            </w:r>
          </w:p>
        </w:tc>
      </w:tr>
      <w:tr w:rsidR="00EE3346" w:rsidRPr="00516038" w14:paraId="53035D67" w14:textId="77777777" w:rsidTr="001F6376">
        <w:trPr>
          <w:trHeight w:val="295"/>
          <w:jc w:val="center"/>
        </w:trPr>
        <w:tc>
          <w:tcPr>
            <w:tcW w:w="0" w:type="auto"/>
            <w:shd w:val="clear" w:color="auto" w:fill="auto"/>
            <w:vAlign w:val="center"/>
          </w:tcPr>
          <w:p w14:paraId="536972EE" w14:textId="77777777" w:rsidR="00EE3346" w:rsidRPr="00516038" w:rsidRDefault="00EE3346" w:rsidP="00516038">
            <w:pPr>
              <w:tabs>
                <w:tab w:val="clear" w:pos="1615"/>
              </w:tabs>
              <w:rPr>
                <w:rFonts w:asciiTheme="majorHAnsi" w:hAnsiTheme="majorHAnsi" w:cstheme="majorHAnsi"/>
                <w:b/>
                <w:sz w:val="18"/>
                <w:szCs w:val="16"/>
              </w:rPr>
            </w:pPr>
            <w:r w:rsidRPr="00516038">
              <w:rPr>
                <w:rFonts w:asciiTheme="majorHAnsi" w:hAnsiTheme="majorHAnsi" w:cstheme="majorHAnsi"/>
                <w:b/>
                <w:sz w:val="18"/>
              </w:rPr>
              <w:t>Princeton University</w:t>
            </w:r>
          </w:p>
        </w:tc>
        <w:tc>
          <w:tcPr>
            <w:tcW w:w="0" w:type="auto"/>
            <w:shd w:val="clear" w:color="auto" w:fill="auto"/>
            <w:vAlign w:val="center"/>
          </w:tcPr>
          <w:p w14:paraId="0F6AFCB1"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USA</w:t>
            </w:r>
          </w:p>
        </w:tc>
        <w:tc>
          <w:tcPr>
            <w:tcW w:w="0" w:type="auto"/>
            <w:shd w:val="clear" w:color="auto" w:fill="FFFFFF" w:themeFill="background1"/>
            <w:vAlign w:val="center"/>
          </w:tcPr>
          <w:p w14:paraId="166CB8D1" w14:textId="77777777" w:rsidR="00EE3346" w:rsidRPr="00516038" w:rsidRDefault="00EE3346" w:rsidP="00516038">
            <w:pPr>
              <w:tabs>
                <w:tab w:val="clear" w:pos="1615"/>
              </w:tabs>
              <w:spacing w:before="60"/>
              <w:jc w:val="center"/>
              <w:rPr>
                <w:rFonts w:asciiTheme="majorHAnsi" w:hAnsiTheme="majorHAnsi" w:cstheme="majorHAnsi"/>
                <w:b/>
                <w:sz w:val="16"/>
              </w:rPr>
            </w:pPr>
            <w:r w:rsidRPr="00516038">
              <w:rPr>
                <w:rFonts w:asciiTheme="majorHAnsi" w:hAnsiTheme="majorHAnsi" w:cstheme="majorHAnsi"/>
                <w:b/>
                <w:sz w:val="16"/>
              </w:rPr>
              <w:t>7º</w:t>
            </w:r>
          </w:p>
        </w:tc>
        <w:tc>
          <w:tcPr>
            <w:tcW w:w="0" w:type="auto"/>
            <w:shd w:val="clear" w:color="auto" w:fill="FFFFFF" w:themeFill="background1"/>
            <w:vAlign w:val="center"/>
          </w:tcPr>
          <w:p w14:paraId="63FAEB56"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10º</w:t>
            </w:r>
          </w:p>
        </w:tc>
        <w:tc>
          <w:tcPr>
            <w:tcW w:w="0" w:type="auto"/>
            <w:shd w:val="clear" w:color="auto" w:fill="FFFFFF" w:themeFill="background1"/>
            <w:vAlign w:val="center"/>
          </w:tcPr>
          <w:p w14:paraId="2C233209"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7º</w:t>
            </w:r>
          </w:p>
        </w:tc>
        <w:tc>
          <w:tcPr>
            <w:tcW w:w="0" w:type="auto"/>
            <w:shd w:val="clear" w:color="auto" w:fill="FFFFFF" w:themeFill="background1"/>
            <w:vAlign w:val="center"/>
          </w:tcPr>
          <w:p w14:paraId="5D435D68"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3º</w:t>
            </w:r>
          </w:p>
        </w:tc>
        <w:tc>
          <w:tcPr>
            <w:tcW w:w="0" w:type="auto"/>
            <w:shd w:val="clear" w:color="auto" w:fill="FFFFFF" w:themeFill="background1"/>
            <w:vAlign w:val="center"/>
          </w:tcPr>
          <w:p w14:paraId="7C634C53"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5º</w:t>
            </w:r>
          </w:p>
        </w:tc>
        <w:tc>
          <w:tcPr>
            <w:tcW w:w="0" w:type="auto"/>
            <w:shd w:val="clear" w:color="auto" w:fill="A6A6A6" w:themeFill="background1" w:themeFillShade="A6"/>
            <w:vAlign w:val="center"/>
          </w:tcPr>
          <w:p w14:paraId="0873FB6D" w14:textId="77777777" w:rsidR="00EE3346" w:rsidRPr="00516038" w:rsidRDefault="00EE3346" w:rsidP="00516038">
            <w:pPr>
              <w:tabs>
                <w:tab w:val="clear" w:pos="1615"/>
              </w:tabs>
              <w:spacing w:before="60"/>
              <w:jc w:val="center"/>
              <w:rPr>
                <w:rFonts w:asciiTheme="majorHAnsi" w:hAnsiTheme="majorHAnsi" w:cstheme="majorHAnsi"/>
                <w:sz w:val="16"/>
              </w:rPr>
            </w:pPr>
          </w:p>
        </w:tc>
        <w:tc>
          <w:tcPr>
            <w:tcW w:w="0" w:type="auto"/>
            <w:shd w:val="clear" w:color="auto" w:fill="FFFFFF" w:themeFill="background1"/>
            <w:vAlign w:val="center"/>
          </w:tcPr>
          <w:p w14:paraId="64812E08"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3º</w:t>
            </w:r>
          </w:p>
        </w:tc>
        <w:tc>
          <w:tcPr>
            <w:tcW w:w="0" w:type="auto"/>
            <w:shd w:val="clear" w:color="auto" w:fill="FFFFFF" w:themeFill="background1"/>
            <w:vAlign w:val="center"/>
          </w:tcPr>
          <w:p w14:paraId="4ACFD3E7"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7º</w:t>
            </w:r>
          </w:p>
        </w:tc>
        <w:tc>
          <w:tcPr>
            <w:tcW w:w="0" w:type="auto"/>
            <w:shd w:val="clear" w:color="auto" w:fill="FFFFFF" w:themeFill="background1"/>
            <w:vAlign w:val="center"/>
          </w:tcPr>
          <w:p w14:paraId="22012D72"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5º</w:t>
            </w:r>
          </w:p>
        </w:tc>
        <w:tc>
          <w:tcPr>
            <w:tcW w:w="0" w:type="auto"/>
            <w:shd w:val="clear" w:color="auto" w:fill="A6A6A6" w:themeFill="background1" w:themeFillShade="A6"/>
            <w:vAlign w:val="center"/>
          </w:tcPr>
          <w:p w14:paraId="223930CD" w14:textId="77777777" w:rsidR="00EE3346" w:rsidRPr="00516038" w:rsidRDefault="00EE3346" w:rsidP="00516038">
            <w:pPr>
              <w:tabs>
                <w:tab w:val="clear" w:pos="1615"/>
              </w:tabs>
              <w:spacing w:before="60"/>
              <w:jc w:val="center"/>
              <w:rPr>
                <w:rFonts w:asciiTheme="majorHAnsi" w:hAnsiTheme="majorHAnsi" w:cstheme="majorHAnsi"/>
                <w:sz w:val="16"/>
              </w:rPr>
            </w:pPr>
          </w:p>
        </w:tc>
        <w:tc>
          <w:tcPr>
            <w:tcW w:w="0" w:type="auto"/>
            <w:shd w:val="clear" w:color="auto" w:fill="A6A6A6" w:themeFill="background1" w:themeFillShade="A6"/>
            <w:vAlign w:val="center"/>
          </w:tcPr>
          <w:p w14:paraId="0711FFC5" w14:textId="77777777" w:rsidR="00EE3346" w:rsidRPr="00516038" w:rsidRDefault="00EE3346" w:rsidP="00516038">
            <w:pPr>
              <w:tabs>
                <w:tab w:val="clear" w:pos="1615"/>
              </w:tabs>
              <w:spacing w:before="60"/>
              <w:jc w:val="center"/>
              <w:rPr>
                <w:rFonts w:asciiTheme="majorHAnsi" w:hAnsiTheme="majorHAnsi" w:cstheme="majorHAnsi"/>
                <w:sz w:val="16"/>
              </w:rPr>
            </w:pPr>
          </w:p>
        </w:tc>
        <w:tc>
          <w:tcPr>
            <w:tcW w:w="0" w:type="auto"/>
            <w:shd w:val="clear" w:color="auto" w:fill="A6A6A6" w:themeFill="background1" w:themeFillShade="A6"/>
            <w:vAlign w:val="center"/>
          </w:tcPr>
          <w:p w14:paraId="588DCD21" w14:textId="77777777" w:rsidR="00EE3346" w:rsidRPr="00516038" w:rsidRDefault="00EE3346" w:rsidP="00516038">
            <w:pPr>
              <w:tabs>
                <w:tab w:val="clear" w:pos="1615"/>
              </w:tabs>
              <w:spacing w:before="60"/>
              <w:jc w:val="center"/>
              <w:rPr>
                <w:rFonts w:asciiTheme="majorHAnsi" w:hAnsiTheme="majorHAnsi" w:cstheme="majorHAnsi"/>
                <w:sz w:val="16"/>
              </w:rPr>
            </w:pPr>
          </w:p>
        </w:tc>
      </w:tr>
      <w:tr w:rsidR="00EE3346" w:rsidRPr="00516038" w14:paraId="32066B0F" w14:textId="77777777" w:rsidTr="001F6376">
        <w:trPr>
          <w:trHeight w:val="295"/>
          <w:jc w:val="center"/>
        </w:trPr>
        <w:tc>
          <w:tcPr>
            <w:tcW w:w="0" w:type="auto"/>
            <w:shd w:val="clear" w:color="auto" w:fill="auto"/>
            <w:vAlign w:val="center"/>
          </w:tcPr>
          <w:p w14:paraId="43232045" w14:textId="77777777" w:rsidR="00EE3346" w:rsidRPr="00516038" w:rsidRDefault="00EE3346" w:rsidP="00516038">
            <w:pPr>
              <w:tabs>
                <w:tab w:val="clear" w:pos="1615"/>
              </w:tabs>
              <w:rPr>
                <w:rFonts w:asciiTheme="majorHAnsi" w:hAnsiTheme="majorHAnsi" w:cstheme="majorHAnsi"/>
                <w:b/>
                <w:sz w:val="18"/>
                <w:szCs w:val="16"/>
              </w:rPr>
            </w:pPr>
            <w:r w:rsidRPr="00516038">
              <w:rPr>
                <w:rFonts w:asciiTheme="majorHAnsi" w:hAnsiTheme="majorHAnsi" w:cstheme="majorHAnsi"/>
                <w:b/>
                <w:sz w:val="18"/>
              </w:rPr>
              <w:t xml:space="preserve">University of California - Berkeley </w:t>
            </w:r>
          </w:p>
        </w:tc>
        <w:tc>
          <w:tcPr>
            <w:tcW w:w="0" w:type="auto"/>
            <w:shd w:val="clear" w:color="auto" w:fill="auto"/>
            <w:vAlign w:val="center"/>
          </w:tcPr>
          <w:p w14:paraId="3599C777"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USA</w:t>
            </w:r>
          </w:p>
        </w:tc>
        <w:tc>
          <w:tcPr>
            <w:tcW w:w="0" w:type="auto"/>
            <w:shd w:val="clear" w:color="auto" w:fill="FFFFFF" w:themeFill="background1"/>
            <w:vAlign w:val="center"/>
          </w:tcPr>
          <w:p w14:paraId="6785F63F" w14:textId="77777777" w:rsidR="00EE3346" w:rsidRPr="00516038" w:rsidRDefault="00EE3346" w:rsidP="00516038">
            <w:pPr>
              <w:tabs>
                <w:tab w:val="clear" w:pos="1615"/>
              </w:tabs>
              <w:spacing w:before="60"/>
              <w:jc w:val="center"/>
              <w:rPr>
                <w:rFonts w:asciiTheme="majorHAnsi" w:hAnsiTheme="majorHAnsi" w:cstheme="majorHAnsi"/>
                <w:b/>
                <w:sz w:val="16"/>
              </w:rPr>
            </w:pPr>
            <w:r w:rsidRPr="00516038">
              <w:rPr>
                <w:rFonts w:asciiTheme="majorHAnsi" w:hAnsiTheme="majorHAnsi" w:cstheme="majorHAnsi"/>
                <w:b/>
                <w:sz w:val="16"/>
              </w:rPr>
              <w:t>8º</w:t>
            </w:r>
          </w:p>
        </w:tc>
        <w:tc>
          <w:tcPr>
            <w:tcW w:w="0" w:type="auto"/>
            <w:shd w:val="clear" w:color="auto" w:fill="FFFFFF" w:themeFill="background1"/>
            <w:vAlign w:val="center"/>
          </w:tcPr>
          <w:p w14:paraId="1944BCCF"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8º</w:t>
            </w:r>
          </w:p>
        </w:tc>
        <w:tc>
          <w:tcPr>
            <w:tcW w:w="0" w:type="auto"/>
            <w:shd w:val="clear" w:color="auto" w:fill="FFFFFF" w:themeFill="background1"/>
            <w:vAlign w:val="center"/>
          </w:tcPr>
          <w:p w14:paraId="7D0C1694"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3º</w:t>
            </w:r>
          </w:p>
        </w:tc>
        <w:tc>
          <w:tcPr>
            <w:tcW w:w="0" w:type="auto"/>
            <w:shd w:val="clear" w:color="auto" w:fill="FFFFFF" w:themeFill="background1"/>
            <w:vAlign w:val="center"/>
          </w:tcPr>
          <w:p w14:paraId="53CB339C"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1º</w:t>
            </w:r>
          </w:p>
        </w:tc>
        <w:tc>
          <w:tcPr>
            <w:tcW w:w="0" w:type="auto"/>
            <w:shd w:val="clear" w:color="auto" w:fill="FFFFFF" w:themeFill="background1"/>
            <w:vAlign w:val="center"/>
          </w:tcPr>
          <w:p w14:paraId="3587CDA6"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9º</w:t>
            </w:r>
          </w:p>
        </w:tc>
        <w:tc>
          <w:tcPr>
            <w:tcW w:w="0" w:type="auto"/>
            <w:shd w:val="clear" w:color="auto" w:fill="FDFD7F"/>
            <w:vAlign w:val="center"/>
          </w:tcPr>
          <w:p w14:paraId="35E93B50"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14º</w:t>
            </w:r>
          </w:p>
        </w:tc>
        <w:tc>
          <w:tcPr>
            <w:tcW w:w="0" w:type="auto"/>
            <w:shd w:val="clear" w:color="auto" w:fill="FFFFFF" w:themeFill="background1"/>
            <w:vAlign w:val="center"/>
          </w:tcPr>
          <w:p w14:paraId="4F953604"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5º</w:t>
            </w:r>
          </w:p>
        </w:tc>
        <w:tc>
          <w:tcPr>
            <w:tcW w:w="0" w:type="auto"/>
            <w:shd w:val="clear" w:color="auto" w:fill="FFFFFF" w:themeFill="background1"/>
            <w:vAlign w:val="center"/>
          </w:tcPr>
          <w:p w14:paraId="2A461C02"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9º</w:t>
            </w:r>
          </w:p>
        </w:tc>
        <w:tc>
          <w:tcPr>
            <w:tcW w:w="0" w:type="auto"/>
            <w:shd w:val="clear" w:color="auto" w:fill="FFFFFF" w:themeFill="background1"/>
            <w:vAlign w:val="center"/>
          </w:tcPr>
          <w:p w14:paraId="5EAD496C"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6º</w:t>
            </w:r>
          </w:p>
        </w:tc>
        <w:tc>
          <w:tcPr>
            <w:tcW w:w="0" w:type="auto"/>
            <w:shd w:val="clear" w:color="auto" w:fill="FFFFFF" w:themeFill="background1"/>
            <w:vAlign w:val="center"/>
          </w:tcPr>
          <w:p w14:paraId="38E6A620"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2º</w:t>
            </w:r>
          </w:p>
        </w:tc>
        <w:tc>
          <w:tcPr>
            <w:tcW w:w="0" w:type="auto"/>
            <w:shd w:val="clear" w:color="auto" w:fill="FDFD7F"/>
            <w:vAlign w:val="center"/>
          </w:tcPr>
          <w:p w14:paraId="037FF711"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14º</w:t>
            </w:r>
          </w:p>
        </w:tc>
        <w:tc>
          <w:tcPr>
            <w:tcW w:w="0" w:type="auto"/>
            <w:shd w:val="clear" w:color="auto" w:fill="auto"/>
            <w:vAlign w:val="center"/>
          </w:tcPr>
          <w:p w14:paraId="5F35E7B1"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6º</w:t>
            </w:r>
          </w:p>
        </w:tc>
      </w:tr>
      <w:tr w:rsidR="00EE3346" w:rsidRPr="00516038" w14:paraId="12E759C9" w14:textId="77777777" w:rsidTr="001F6376">
        <w:trPr>
          <w:trHeight w:val="295"/>
          <w:jc w:val="center"/>
        </w:trPr>
        <w:tc>
          <w:tcPr>
            <w:tcW w:w="0" w:type="auto"/>
            <w:shd w:val="clear" w:color="auto" w:fill="auto"/>
            <w:vAlign w:val="center"/>
          </w:tcPr>
          <w:p w14:paraId="3B45FEA8" w14:textId="77777777" w:rsidR="00EE3346" w:rsidRPr="00516038" w:rsidRDefault="00EE3346" w:rsidP="00516038">
            <w:pPr>
              <w:tabs>
                <w:tab w:val="clear" w:pos="1615"/>
              </w:tabs>
              <w:rPr>
                <w:rFonts w:asciiTheme="majorHAnsi" w:hAnsiTheme="majorHAnsi" w:cstheme="majorHAnsi"/>
                <w:b/>
                <w:sz w:val="18"/>
                <w:szCs w:val="16"/>
              </w:rPr>
            </w:pPr>
            <w:r w:rsidRPr="00516038">
              <w:rPr>
                <w:rFonts w:asciiTheme="majorHAnsi" w:hAnsiTheme="majorHAnsi" w:cstheme="majorHAnsi"/>
                <w:b/>
                <w:sz w:val="18"/>
                <w:szCs w:val="16"/>
              </w:rPr>
              <w:t>Yale University</w:t>
            </w:r>
          </w:p>
        </w:tc>
        <w:tc>
          <w:tcPr>
            <w:tcW w:w="0" w:type="auto"/>
            <w:shd w:val="clear" w:color="auto" w:fill="auto"/>
            <w:vAlign w:val="center"/>
          </w:tcPr>
          <w:p w14:paraId="07475591"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USA</w:t>
            </w:r>
          </w:p>
        </w:tc>
        <w:tc>
          <w:tcPr>
            <w:tcW w:w="0" w:type="auto"/>
            <w:shd w:val="clear" w:color="auto" w:fill="FFFFFF" w:themeFill="background1"/>
            <w:vAlign w:val="center"/>
          </w:tcPr>
          <w:p w14:paraId="56AA49AE" w14:textId="77777777" w:rsidR="00EE3346" w:rsidRPr="00516038" w:rsidRDefault="00EE3346" w:rsidP="00516038">
            <w:pPr>
              <w:tabs>
                <w:tab w:val="clear" w:pos="1615"/>
              </w:tabs>
              <w:spacing w:before="60"/>
              <w:jc w:val="center"/>
              <w:rPr>
                <w:rFonts w:asciiTheme="majorHAnsi" w:hAnsiTheme="majorHAnsi" w:cstheme="majorHAnsi"/>
                <w:b/>
                <w:sz w:val="16"/>
              </w:rPr>
            </w:pPr>
            <w:r w:rsidRPr="00516038">
              <w:rPr>
                <w:rFonts w:asciiTheme="majorHAnsi" w:hAnsiTheme="majorHAnsi" w:cstheme="majorHAnsi"/>
                <w:b/>
                <w:sz w:val="16"/>
              </w:rPr>
              <w:t>9º</w:t>
            </w:r>
          </w:p>
        </w:tc>
        <w:tc>
          <w:tcPr>
            <w:tcW w:w="0" w:type="auto"/>
            <w:shd w:val="clear" w:color="auto" w:fill="FDFD7F"/>
            <w:vAlign w:val="center"/>
          </w:tcPr>
          <w:p w14:paraId="5DD98647"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27º</w:t>
            </w:r>
          </w:p>
        </w:tc>
        <w:tc>
          <w:tcPr>
            <w:tcW w:w="0" w:type="auto"/>
            <w:shd w:val="clear" w:color="auto" w:fill="FDFD7F"/>
            <w:vAlign w:val="center"/>
          </w:tcPr>
          <w:p w14:paraId="7D014B79"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16º</w:t>
            </w:r>
          </w:p>
        </w:tc>
        <w:tc>
          <w:tcPr>
            <w:tcW w:w="0" w:type="auto"/>
            <w:shd w:val="clear" w:color="auto" w:fill="FFFFFF" w:themeFill="background1"/>
            <w:vAlign w:val="center"/>
          </w:tcPr>
          <w:p w14:paraId="35B96090"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10º</w:t>
            </w:r>
          </w:p>
        </w:tc>
        <w:tc>
          <w:tcPr>
            <w:tcW w:w="0" w:type="auto"/>
            <w:shd w:val="clear" w:color="auto" w:fill="FFFFFF" w:themeFill="background1"/>
            <w:vAlign w:val="center"/>
          </w:tcPr>
          <w:p w14:paraId="23BA34AE"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8º</w:t>
            </w:r>
          </w:p>
        </w:tc>
        <w:tc>
          <w:tcPr>
            <w:tcW w:w="0" w:type="auto"/>
            <w:shd w:val="clear" w:color="auto" w:fill="FFFFFF" w:themeFill="background1"/>
            <w:vAlign w:val="center"/>
          </w:tcPr>
          <w:p w14:paraId="3983ABD0"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9º</w:t>
            </w:r>
          </w:p>
        </w:tc>
        <w:tc>
          <w:tcPr>
            <w:tcW w:w="0" w:type="auto"/>
            <w:shd w:val="clear" w:color="auto" w:fill="FFFFFF" w:themeFill="background1"/>
            <w:vAlign w:val="center"/>
          </w:tcPr>
          <w:p w14:paraId="0B6311AC"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8º</w:t>
            </w:r>
          </w:p>
        </w:tc>
        <w:tc>
          <w:tcPr>
            <w:tcW w:w="0" w:type="auto"/>
            <w:shd w:val="clear" w:color="auto" w:fill="FDFD7F"/>
            <w:vAlign w:val="center"/>
          </w:tcPr>
          <w:p w14:paraId="72A9B56B"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12º</w:t>
            </w:r>
          </w:p>
        </w:tc>
        <w:tc>
          <w:tcPr>
            <w:tcW w:w="0" w:type="auto"/>
            <w:shd w:val="clear" w:color="auto" w:fill="FDFD7F"/>
            <w:vAlign w:val="center"/>
          </w:tcPr>
          <w:p w14:paraId="73A1C414"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11º</w:t>
            </w:r>
          </w:p>
        </w:tc>
        <w:tc>
          <w:tcPr>
            <w:tcW w:w="0" w:type="auto"/>
            <w:shd w:val="clear" w:color="auto" w:fill="A6A6A6" w:themeFill="background1" w:themeFillShade="A6"/>
            <w:vAlign w:val="center"/>
          </w:tcPr>
          <w:p w14:paraId="1FEC16FF" w14:textId="77777777" w:rsidR="00EE3346" w:rsidRPr="00516038" w:rsidRDefault="00EE3346" w:rsidP="00516038">
            <w:pPr>
              <w:tabs>
                <w:tab w:val="clear" w:pos="1615"/>
              </w:tabs>
              <w:spacing w:before="60"/>
              <w:jc w:val="center"/>
              <w:rPr>
                <w:rFonts w:asciiTheme="majorHAnsi" w:hAnsiTheme="majorHAnsi" w:cstheme="majorHAnsi"/>
                <w:sz w:val="16"/>
              </w:rPr>
            </w:pPr>
          </w:p>
        </w:tc>
        <w:tc>
          <w:tcPr>
            <w:tcW w:w="0" w:type="auto"/>
            <w:shd w:val="clear" w:color="auto" w:fill="FFFFFF" w:themeFill="background1"/>
            <w:vAlign w:val="center"/>
          </w:tcPr>
          <w:p w14:paraId="3F3B057C"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9º</w:t>
            </w:r>
          </w:p>
        </w:tc>
        <w:tc>
          <w:tcPr>
            <w:tcW w:w="0" w:type="auto"/>
            <w:shd w:val="clear" w:color="auto" w:fill="FFFFFF" w:themeFill="background1"/>
            <w:vAlign w:val="center"/>
          </w:tcPr>
          <w:p w14:paraId="564E3F83"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8º</w:t>
            </w:r>
          </w:p>
        </w:tc>
      </w:tr>
      <w:tr w:rsidR="00EE3346" w:rsidRPr="00516038" w14:paraId="549C5450" w14:textId="77777777" w:rsidTr="001F6376">
        <w:trPr>
          <w:trHeight w:val="295"/>
          <w:jc w:val="center"/>
        </w:trPr>
        <w:tc>
          <w:tcPr>
            <w:tcW w:w="0" w:type="auto"/>
            <w:tcBorders>
              <w:bottom w:val="single" w:sz="4" w:space="0" w:color="auto"/>
            </w:tcBorders>
            <w:shd w:val="clear" w:color="auto" w:fill="auto"/>
            <w:vAlign w:val="center"/>
          </w:tcPr>
          <w:p w14:paraId="506C3BA6" w14:textId="77777777" w:rsidR="00EE3346" w:rsidRPr="00516038" w:rsidRDefault="00EE3346" w:rsidP="00516038">
            <w:pPr>
              <w:tabs>
                <w:tab w:val="clear" w:pos="1615"/>
              </w:tabs>
              <w:rPr>
                <w:rFonts w:asciiTheme="majorHAnsi" w:hAnsiTheme="majorHAnsi" w:cstheme="majorHAnsi"/>
                <w:b/>
                <w:sz w:val="18"/>
              </w:rPr>
            </w:pPr>
            <w:r w:rsidRPr="00516038">
              <w:rPr>
                <w:rFonts w:asciiTheme="majorHAnsi" w:hAnsiTheme="majorHAnsi" w:cstheme="majorHAnsi"/>
                <w:b/>
                <w:sz w:val="18"/>
              </w:rPr>
              <w:t>The University of Chicago</w:t>
            </w:r>
          </w:p>
        </w:tc>
        <w:tc>
          <w:tcPr>
            <w:tcW w:w="0" w:type="auto"/>
            <w:tcBorders>
              <w:bottom w:val="single" w:sz="4" w:space="0" w:color="auto"/>
            </w:tcBorders>
            <w:shd w:val="clear" w:color="auto" w:fill="auto"/>
            <w:vAlign w:val="center"/>
          </w:tcPr>
          <w:p w14:paraId="63394205"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USA</w:t>
            </w:r>
          </w:p>
        </w:tc>
        <w:tc>
          <w:tcPr>
            <w:tcW w:w="0" w:type="auto"/>
            <w:tcBorders>
              <w:bottom w:val="single" w:sz="4" w:space="0" w:color="auto"/>
            </w:tcBorders>
            <w:shd w:val="clear" w:color="auto" w:fill="FFFFFF" w:themeFill="background1"/>
            <w:vAlign w:val="center"/>
          </w:tcPr>
          <w:p w14:paraId="26A6972E" w14:textId="77777777" w:rsidR="00EE3346" w:rsidRPr="00516038" w:rsidRDefault="00EE3346" w:rsidP="00516038">
            <w:pPr>
              <w:tabs>
                <w:tab w:val="clear" w:pos="1615"/>
              </w:tabs>
              <w:spacing w:before="60"/>
              <w:jc w:val="center"/>
              <w:rPr>
                <w:rFonts w:asciiTheme="majorHAnsi" w:hAnsiTheme="majorHAnsi" w:cstheme="majorHAnsi"/>
                <w:b/>
                <w:sz w:val="16"/>
              </w:rPr>
            </w:pPr>
            <w:r w:rsidRPr="00516038">
              <w:rPr>
                <w:rFonts w:asciiTheme="majorHAnsi" w:hAnsiTheme="majorHAnsi" w:cstheme="majorHAnsi"/>
                <w:b/>
                <w:sz w:val="16"/>
              </w:rPr>
              <w:t>10º</w:t>
            </w:r>
          </w:p>
        </w:tc>
        <w:tc>
          <w:tcPr>
            <w:tcW w:w="0" w:type="auto"/>
            <w:tcBorders>
              <w:bottom w:val="single" w:sz="4" w:space="0" w:color="auto"/>
            </w:tcBorders>
            <w:shd w:val="clear" w:color="auto" w:fill="FDFD7F"/>
            <w:vAlign w:val="center"/>
          </w:tcPr>
          <w:p w14:paraId="60027FA0"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3</w:t>
            </w:r>
            <w:r w:rsidRPr="00516038">
              <w:rPr>
                <w:rFonts w:asciiTheme="majorHAnsi" w:hAnsiTheme="majorHAnsi" w:cstheme="majorHAnsi"/>
                <w:sz w:val="16"/>
                <w:shd w:val="clear" w:color="auto" w:fill="FDFD7F"/>
              </w:rPr>
              <w:t>6</w:t>
            </w:r>
            <w:r w:rsidRPr="00516038">
              <w:rPr>
                <w:rFonts w:asciiTheme="majorHAnsi" w:hAnsiTheme="majorHAnsi" w:cstheme="majorHAnsi"/>
                <w:sz w:val="16"/>
              </w:rPr>
              <w:t>º</w:t>
            </w:r>
          </w:p>
        </w:tc>
        <w:tc>
          <w:tcPr>
            <w:tcW w:w="0" w:type="auto"/>
            <w:tcBorders>
              <w:bottom w:val="single" w:sz="4" w:space="0" w:color="auto"/>
            </w:tcBorders>
            <w:shd w:val="clear" w:color="auto" w:fill="A6A6A6" w:themeFill="background1" w:themeFillShade="A6"/>
            <w:vAlign w:val="center"/>
          </w:tcPr>
          <w:p w14:paraId="5AE6F4A4" w14:textId="77777777" w:rsidR="00EE3346" w:rsidRPr="00516038" w:rsidRDefault="00EE3346" w:rsidP="00516038">
            <w:pPr>
              <w:tabs>
                <w:tab w:val="clear" w:pos="1615"/>
              </w:tabs>
              <w:spacing w:before="60"/>
              <w:jc w:val="center"/>
              <w:rPr>
                <w:rFonts w:asciiTheme="majorHAnsi" w:hAnsiTheme="majorHAnsi" w:cstheme="majorHAnsi"/>
                <w:sz w:val="16"/>
              </w:rPr>
            </w:pPr>
          </w:p>
        </w:tc>
        <w:tc>
          <w:tcPr>
            <w:tcW w:w="0" w:type="auto"/>
            <w:tcBorders>
              <w:bottom w:val="single" w:sz="4" w:space="0" w:color="auto"/>
            </w:tcBorders>
            <w:shd w:val="clear" w:color="auto" w:fill="FDFD7F"/>
            <w:vAlign w:val="center"/>
          </w:tcPr>
          <w:p w14:paraId="69441769"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11º</w:t>
            </w:r>
          </w:p>
        </w:tc>
        <w:tc>
          <w:tcPr>
            <w:tcW w:w="0" w:type="auto"/>
            <w:tcBorders>
              <w:bottom w:val="single" w:sz="4" w:space="0" w:color="auto"/>
            </w:tcBorders>
            <w:shd w:val="clear" w:color="auto" w:fill="FDFD7F"/>
            <w:vAlign w:val="center"/>
          </w:tcPr>
          <w:p w14:paraId="7442FD32"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12º</w:t>
            </w:r>
          </w:p>
        </w:tc>
        <w:tc>
          <w:tcPr>
            <w:tcW w:w="0" w:type="auto"/>
            <w:tcBorders>
              <w:bottom w:val="single" w:sz="4" w:space="0" w:color="auto"/>
            </w:tcBorders>
            <w:shd w:val="clear" w:color="auto" w:fill="FDFD7F"/>
            <w:vAlign w:val="center"/>
          </w:tcPr>
          <w:p w14:paraId="48F85023"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25º</w:t>
            </w:r>
          </w:p>
        </w:tc>
        <w:tc>
          <w:tcPr>
            <w:tcW w:w="0" w:type="auto"/>
            <w:tcBorders>
              <w:bottom w:val="single" w:sz="4" w:space="0" w:color="auto"/>
            </w:tcBorders>
            <w:shd w:val="clear" w:color="auto" w:fill="FFFFFF" w:themeFill="background1"/>
            <w:vAlign w:val="center"/>
          </w:tcPr>
          <w:p w14:paraId="79273AFC"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7º</w:t>
            </w:r>
          </w:p>
        </w:tc>
        <w:tc>
          <w:tcPr>
            <w:tcW w:w="0" w:type="auto"/>
            <w:tcBorders>
              <w:bottom w:val="single" w:sz="4" w:space="0" w:color="auto"/>
            </w:tcBorders>
            <w:shd w:val="clear" w:color="auto" w:fill="FFFFFF" w:themeFill="background1"/>
            <w:vAlign w:val="center"/>
          </w:tcPr>
          <w:p w14:paraId="710EC171"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8º</w:t>
            </w:r>
          </w:p>
        </w:tc>
        <w:tc>
          <w:tcPr>
            <w:tcW w:w="0" w:type="auto"/>
            <w:tcBorders>
              <w:bottom w:val="single" w:sz="4" w:space="0" w:color="auto"/>
            </w:tcBorders>
            <w:shd w:val="clear" w:color="auto" w:fill="FFFFFF" w:themeFill="background1"/>
            <w:vAlign w:val="center"/>
          </w:tcPr>
          <w:p w14:paraId="5E1FFB78"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10º</w:t>
            </w:r>
          </w:p>
        </w:tc>
        <w:tc>
          <w:tcPr>
            <w:tcW w:w="0" w:type="auto"/>
            <w:tcBorders>
              <w:bottom w:val="single" w:sz="4" w:space="0" w:color="auto"/>
            </w:tcBorders>
            <w:shd w:val="clear" w:color="auto" w:fill="A6A6A6" w:themeFill="background1" w:themeFillShade="A6"/>
            <w:vAlign w:val="center"/>
          </w:tcPr>
          <w:p w14:paraId="0BFF0855" w14:textId="77777777" w:rsidR="00EE3346" w:rsidRPr="00516038" w:rsidRDefault="00EE3346" w:rsidP="00516038">
            <w:pPr>
              <w:tabs>
                <w:tab w:val="clear" w:pos="1615"/>
              </w:tabs>
              <w:spacing w:before="60"/>
              <w:jc w:val="center"/>
              <w:rPr>
                <w:rFonts w:asciiTheme="majorHAnsi" w:hAnsiTheme="majorHAnsi" w:cstheme="majorHAnsi"/>
                <w:sz w:val="16"/>
              </w:rPr>
            </w:pPr>
          </w:p>
        </w:tc>
        <w:tc>
          <w:tcPr>
            <w:tcW w:w="0" w:type="auto"/>
            <w:tcBorders>
              <w:bottom w:val="single" w:sz="4" w:space="0" w:color="auto"/>
            </w:tcBorders>
            <w:shd w:val="clear" w:color="auto" w:fill="FDFD7F"/>
            <w:vAlign w:val="center"/>
          </w:tcPr>
          <w:p w14:paraId="51EF6145"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13º</w:t>
            </w:r>
          </w:p>
        </w:tc>
        <w:tc>
          <w:tcPr>
            <w:tcW w:w="0" w:type="auto"/>
            <w:tcBorders>
              <w:bottom w:val="single" w:sz="4" w:space="0" w:color="auto"/>
            </w:tcBorders>
            <w:shd w:val="clear" w:color="auto" w:fill="auto"/>
            <w:vAlign w:val="center"/>
          </w:tcPr>
          <w:p w14:paraId="67737D57" w14:textId="77777777" w:rsidR="00EE3346" w:rsidRPr="00516038" w:rsidRDefault="00EE3346" w:rsidP="00516038">
            <w:pPr>
              <w:tabs>
                <w:tab w:val="clear" w:pos="1615"/>
              </w:tabs>
              <w:spacing w:before="60"/>
              <w:jc w:val="center"/>
              <w:rPr>
                <w:rFonts w:asciiTheme="majorHAnsi" w:hAnsiTheme="majorHAnsi" w:cstheme="majorHAnsi"/>
                <w:sz w:val="16"/>
              </w:rPr>
            </w:pPr>
            <w:r w:rsidRPr="00516038">
              <w:rPr>
                <w:rFonts w:asciiTheme="majorHAnsi" w:hAnsiTheme="majorHAnsi" w:cstheme="majorHAnsi"/>
                <w:sz w:val="16"/>
              </w:rPr>
              <w:t>7º</w:t>
            </w:r>
          </w:p>
        </w:tc>
      </w:tr>
    </w:tbl>
    <w:p w14:paraId="0C5B5583" w14:textId="3E332A80" w:rsidR="00EE3346" w:rsidRDefault="00EE3346" w:rsidP="00516038">
      <w:pPr>
        <w:tabs>
          <w:tab w:val="clear" w:pos="1615"/>
        </w:tabs>
        <w:autoSpaceDE w:val="0"/>
        <w:autoSpaceDN w:val="0"/>
        <w:adjustRightInd w:val="0"/>
        <w:jc w:val="both"/>
        <w:rPr>
          <w:rFonts w:asciiTheme="majorHAnsi" w:hAnsiTheme="majorHAnsi" w:cstheme="majorHAnsi"/>
          <w:sz w:val="16"/>
        </w:rPr>
      </w:pPr>
      <w:r w:rsidRPr="00516038">
        <w:rPr>
          <w:rFonts w:asciiTheme="majorHAnsi" w:hAnsiTheme="majorHAnsi" w:cstheme="majorHAnsi"/>
          <w:sz w:val="16"/>
        </w:rPr>
        <w:t xml:space="preserve">UK – Reino Unido; USA: Estados Unidos da América; GERAL: </w:t>
      </w:r>
      <w:r w:rsidRPr="00516038">
        <w:rPr>
          <w:rFonts w:asciiTheme="majorHAnsi" w:hAnsiTheme="majorHAnsi" w:cstheme="majorHAnsi"/>
          <w:i/>
          <w:iCs/>
          <w:sz w:val="16"/>
        </w:rPr>
        <w:t>Ranking</w:t>
      </w:r>
      <w:r w:rsidRPr="00516038">
        <w:rPr>
          <w:rFonts w:asciiTheme="majorHAnsi" w:hAnsiTheme="majorHAnsi" w:cstheme="majorHAnsi"/>
          <w:sz w:val="16"/>
        </w:rPr>
        <w:t xml:space="preserve"> Geral da instituição; CC: Ciências da Computação; Eng: Engenharias; Fís: Física; CV: Ciências da Vida; MS: Medicina e Saúde; Psi: Psicologia; AH: Artes e Humanidades; CS: Ciências Sociais; Ed: Educação; Dir: Direito; AE: Administração e Economia. Nota: Foram colocados em destaque colorido as instituições que não estão entre as 10 melhores do respectivo </w:t>
      </w:r>
      <w:r w:rsidRPr="00516038">
        <w:rPr>
          <w:rFonts w:asciiTheme="majorHAnsi" w:hAnsiTheme="majorHAnsi" w:cstheme="majorHAnsi"/>
          <w:i/>
          <w:iCs/>
          <w:sz w:val="16"/>
        </w:rPr>
        <w:t>ranking</w:t>
      </w:r>
      <w:r w:rsidRPr="00516038">
        <w:rPr>
          <w:rFonts w:asciiTheme="majorHAnsi" w:hAnsiTheme="majorHAnsi" w:cstheme="majorHAnsi"/>
          <w:sz w:val="16"/>
        </w:rPr>
        <w:t>. Em cinza, aquelas formações não oferecidas na instituição.  Fonte: Elaborado pelo autor a partir dos dados do sítio da THE.</w:t>
      </w:r>
    </w:p>
    <w:p w14:paraId="4BF2580E" w14:textId="77777777" w:rsidR="007C41F7" w:rsidRPr="00516038" w:rsidRDefault="007C41F7" w:rsidP="00516038">
      <w:pPr>
        <w:tabs>
          <w:tab w:val="clear" w:pos="1615"/>
        </w:tabs>
        <w:autoSpaceDE w:val="0"/>
        <w:autoSpaceDN w:val="0"/>
        <w:adjustRightInd w:val="0"/>
        <w:jc w:val="both"/>
        <w:rPr>
          <w:rFonts w:asciiTheme="majorHAnsi" w:hAnsiTheme="majorHAnsi" w:cstheme="majorHAnsi"/>
          <w:sz w:val="16"/>
        </w:rPr>
      </w:pPr>
    </w:p>
    <w:p w14:paraId="26EC2AE7" w14:textId="58FEDE17" w:rsidR="00EE3346" w:rsidRPr="007C41F7" w:rsidRDefault="00EE3346" w:rsidP="007C41F7">
      <w:pPr>
        <w:tabs>
          <w:tab w:val="clear" w:pos="1615"/>
        </w:tabs>
        <w:spacing w:after="120" w:line="360" w:lineRule="auto"/>
        <w:ind w:firstLine="709"/>
        <w:jc w:val="both"/>
        <w:rPr>
          <w:rFonts w:asciiTheme="majorHAnsi" w:hAnsiTheme="majorHAnsi" w:cstheme="majorHAnsi"/>
          <w:sz w:val="24"/>
          <w:lang w:eastAsia="pt-BR"/>
        </w:rPr>
      </w:pPr>
      <w:r w:rsidRPr="007C41F7">
        <w:rPr>
          <w:rFonts w:asciiTheme="majorHAnsi" w:hAnsiTheme="majorHAnsi" w:cstheme="majorHAnsi"/>
          <w:sz w:val="24"/>
          <w:lang w:eastAsia="pt-BR"/>
        </w:rPr>
        <w:t xml:space="preserve">Nota-se que as dez universidades de maior </w:t>
      </w:r>
      <w:r w:rsidRPr="007C41F7">
        <w:rPr>
          <w:rFonts w:asciiTheme="majorHAnsi" w:hAnsiTheme="majorHAnsi" w:cstheme="majorHAnsi"/>
          <w:i/>
          <w:iCs/>
          <w:sz w:val="24"/>
          <w:lang w:eastAsia="pt-BR"/>
        </w:rPr>
        <w:t>ranking</w:t>
      </w:r>
      <w:r w:rsidRPr="007C41F7">
        <w:rPr>
          <w:rFonts w:asciiTheme="majorHAnsi" w:hAnsiTheme="majorHAnsi" w:cstheme="majorHAnsi"/>
          <w:sz w:val="24"/>
          <w:lang w:eastAsia="pt-BR"/>
        </w:rPr>
        <w:t xml:space="preserve"> aparecem em 91 áreas das formações analisadas, das 110 possíveis (19 áreas não apresentaram oferta nas Instituições mais temáticas). Dessas 91 áreas, 79 estão entre as dez melhores de seu respectivo </w:t>
      </w:r>
      <w:r w:rsidRPr="007C41F7">
        <w:rPr>
          <w:rFonts w:asciiTheme="majorHAnsi" w:hAnsiTheme="majorHAnsi" w:cstheme="majorHAnsi"/>
          <w:i/>
          <w:iCs/>
          <w:sz w:val="24"/>
          <w:lang w:eastAsia="pt-BR"/>
        </w:rPr>
        <w:t>ranking</w:t>
      </w:r>
      <w:r w:rsidRPr="007C41F7">
        <w:rPr>
          <w:rFonts w:asciiTheme="majorHAnsi" w:hAnsiTheme="majorHAnsi" w:cstheme="majorHAnsi"/>
          <w:sz w:val="24"/>
          <w:lang w:eastAsia="pt-BR"/>
        </w:rPr>
        <w:t xml:space="preserve"> (86,8%), oito estão entre a 11.</w:t>
      </w:r>
      <w:r w:rsidRPr="007C41F7">
        <w:rPr>
          <w:rFonts w:asciiTheme="majorHAnsi" w:hAnsiTheme="majorHAnsi" w:cstheme="majorHAnsi"/>
          <w:sz w:val="24"/>
          <w:vertAlign w:val="superscript"/>
          <w:lang w:eastAsia="pt-BR"/>
        </w:rPr>
        <w:t>a</w:t>
      </w:r>
      <w:r w:rsidRPr="007C41F7">
        <w:rPr>
          <w:rFonts w:asciiTheme="majorHAnsi" w:hAnsiTheme="majorHAnsi" w:cstheme="majorHAnsi"/>
          <w:sz w:val="24"/>
          <w:lang w:eastAsia="pt-BR"/>
        </w:rPr>
        <w:t xml:space="preserve"> e 14.</w:t>
      </w:r>
      <w:r w:rsidRPr="007C41F7">
        <w:rPr>
          <w:rFonts w:asciiTheme="majorHAnsi" w:hAnsiTheme="majorHAnsi" w:cstheme="majorHAnsi"/>
          <w:sz w:val="24"/>
          <w:vertAlign w:val="superscript"/>
          <w:lang w:eastAsia="pt-BR"/>
        </w:rPr>
        <w:t>a</w:t>
      </w:r>
      <w:r w:rsidRPr="007C41F7" w:rsidDel="005F6BDA">
        <w:rPr>
          <w:rFonts w:asciiTheme="majorHAnsi" w:hAnsiTheme="majorHAnsi" w:cstheme="majorHAnsi"/>
          <w:sz w:val="24"/>
          <w:lang w:eastAsia="pt-BR"/>
        </w:rPr>
        <w:t xml:space="preserve"> </w:t>
      </w:r>
      <w:r w:rsidRPr="007C41F7">
        <w:rPr>
          <w:rFonts w:asciiTheme="majorHAnsi" w:hAnsiTheme="majorHAnsi" w:cstheme="majorHAnsi"/>
          <w:sz w:val="24"/>
          <w:lang w:eastAsia="pt-BR"/>
        </w:rPr>
        <w:t>posição (8,8%) o que somado ao percentual anterior origina 95,6%. Duas IES estão entre a 16.</w:t>
      </w:r>
      <w:r w:rsidRPr="007C41F7">
        <w:rPr>
          <w:rFonts w:asciiTheme="majorHAnsi" w:hAnsiTheme="majorHAnsi" w:cstheme="majorHAnsi"/>
          <w:sz w:val="24"/>
          <w:vertAlign w:val="superscript"/>
          <w:lang w:eastAsia="pt-BR"/>
        </w:rPr>
        <w:t>a</w:t>
      </w:r>
      <w:r w:rsidRPr="007C41F7">
        <w:rPr>
          <w:rFonts w:asciiTheme="majorHAnsi" w:hAnsiTheme="majorHAnsi" w:cstheme="majorHAnsi"/>
          <w:sz w:val="24"/>
          <w:lang w:eastAsia="pt-BR"/>
        </w:rPr>
        <w:t xml:space="preserve"> e 25.</w:t>
      </w:r>
      <w:r w:rsidRPr="007C41F7">
        <w:rPr>
          <w:rFonts w:asciiTheme="majorHAnsi" w:hAnsiTheme="majorHAnsi" w:cstheme="majorHAnsi"/>
          <w:sz w:val="24"/>
          <w:vertAlign w:val="superscript"/>
          <w:lang w:eastAsia="pt-BR"/>
        </w:rPr>
        <w:t>a</w:t>
      </w:r>
      <w:r w:rsidRPr="007C41F7" w:rsidDel="005F6BDA">
        <w:rPr>
          <w:rFonts w:asciiTheme="majorHAnsi" w:hAnsiTheme="majorHAnsi" w:cstheme="majorHAnsi"/>
          <w:sz w:val="24"/>
          <w:lang w:eastAsia="pt-BR"/>
        </w:rPr>
        <w:t xml:space="preserve"> </w:t>
      </w:r>
      <w:r w:rsidRPr="007C41F7">
        <w:rPr>
          <w:rFonts w:asciiTheme="majorHAnsi" w:hAnsiTheme="majorHAnsi" w:cstheme="majorHAnsi"/>
          <w:sz w:val="24"/>
          <w:lang w:eastAsia="pt-BR"/>
        </w:rPr>
        <w:t>posição (2,2%) e duas entre a 27.</w:t>
      </w:r>
      <w:r w:rsidRPr="007C41F7">
        <w:rPr>
          <w:rFonts w:asciiTheme="majorHAnsi" w:hAnsiTheme="majorHAnsi" w:cstheme="majorHAnsi"/>
          <w:sz w:val="24"/>
          <w:vertAlign w:val="superscript"/>
          <w:lang w:eastAsia="pt-BR"/>
        </w:rPr>
        <w:t>a</w:t>
      </w:r>
      <w:r w:rsidRPr="007C41F7">
        <w:rPr>
          <w:rFonts w:asciiTheme="majorHAnsi" w:hAnsiTheme="majorHAnsi" w:cstheme="majorHAnsi"/>
          <w:sz w:val="24"/>
          <w:lang w:eastAsia="pt-BR"/>
        </w:rPr>
        <w:t xml:space="preserve"> e 36.</w:t>
      </w:r>
      <w:r w:rsidRPr="007C41F7">
        <w:rPr>
          <w:rFonts w:asciiTheme="majorHAnsi" w:hAnsiTheme="majorHAnsi" w:cstheme="majorHAnsi"/>
          <w:sz w:val="24"/>
          <w:vertAlign w:val="superscript"/>
          <w:lang w:eastAsia="pt-BR"/>
        </w:rPr>
        <w:t>a</w:t>
      </w:r>
      <w:r w:rsidRPr="007C41F7" w:rsidDel="005F6BDA">
        <w:rPr>
          <w:rFonts w:asciiTheme="majorHAnsi" w:hAnsiTheme="majorHAnsi" w:cstheme="majorHAnsi"/>
          <w:sz w:val="24"/>
          <w:lang w:eastAsia="pt-BR"/>
        </w:rPr>
        <w:t xml:space="preserve"> </w:t>
      </w:r>
      <w:r w:rsidRPr="007C41F7">
        <w:rPr>
          <w:rFonts w:asciiTheme="majorHAnsi" w:hAnsiTheme="majorHAnsi" w:cstheme="majorHAnsi"/>
          <w:sz w:val="24"/>
          <w:lang w:eastAsia="pt-BR"/>
        </w:rPr>
        <w:t>posição (2,2%), o que denota uma homogeneidade institucional que independe da área analisada. A última delas, com publicação dos dados no final de outubro de 2021, foi a área de Artes e Humanidades, que apresentou nove das dez melhores ranqueadas com cursos na área, oito das quais entre as dez melhores instituições em termos gerais, e uma na 12.</w:t>
      </w:r>
      <w:r w:rsidRPr="007C41F7">
        <w:rPr>
          <w:rFonts w:asciiTheme="majorHAnsi" w:hAnsiTheme="majorHAnsi" w:cstheme="majorHAnsi"/>
          <w:sz w:val="24"/>
          <w:vertAlign w:val="superscript"/>
          <w:lang w:eastAsia="pt-BR"/>
        </w:rPr>
        <w:t>a</w:t>
      </w:r>
      <w:r w:rsidRPr="007C41F7" w:rsidDel="005F6BDA">
        <w:rPr>
          <w:rFonts w:asciiTheme="majorHAnsi" w:hAnsiTheme="majorHAnsi" w:cstheme="majorHAnsi"/>
          <w:sz w:val="24"/>
          <w:lang w:eastAsia="pt-BR"/>
        </w:rPr>
        <w:t xml:space="preserve"> </w:t>
      </w:r>
      <w:r w:rsidRPr="007C41F7">
        <w:rPr>
          <w:rFonts w:asciiTheme="majorHAnsi" w:hAnsiTheme="majorHAnsi" w:cstheme="majorHAnsi"/>
          <w:sz w:val="24"/>
          <w:lang w:eastAsia="pt-BR"/>
        </w:rPr>
        <w:t>posição.</w:t>
      </w:r>
    </w:p>
    <w:p w14:paraId="4D36AF1E" w14:textId="449AF531" w:rsidR="00EE3346" w:rsidRPr="007C41F7"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 xml:space="preserve">A pesquisa em Artes e Humanidades envolveu os cursos de arte, artes cênicas e design; línguas, literatura e linguística; história, filosofia e teologia; arquitetura e arqueologia. As tabelas empregaram os mesmos indicadores do </w:t>
      </w:r>
      <w:r w:rsidRPr="007C41F7">
        <w:rPr>
          <w:rFonts w:asciiTheme="majorHAnsi" w:hAnsiTheme="majorHAnsi" w:cstheme="majorHAnsi"/>
          <w:i/>
          <w:iCs/>
          <w:sz w:val="24"/>
          <w:szCs w:val="24"/>
        </w:rPr>
        <w:t>ranking</w:t>
      </w:r>
      <w:r w:rsidRPr="007C41F7">
        <w:rPr>
          <w:rFonts w:asciiTheme="majorHAnsi" w:hAnsiTheme="majorHAnsi" w:cstheme="majorHAnsi"/>
          <w:sz w:val="24"/>
          <w:szCs w:val="24"/>
        </w:rPr>
        <w:t xml:space="preserve"> geral, com pontos ajustados para adequação e agrupados em cinco áreas: Ensino (ambiente de aprendizagem, 37,4%); Pesquisa (volume, receita e reputação, 37,6%); Citações (influência da pesquisa, 15%); Perspectiva internacional (funcionários alunos e pesquisa, 7,5%); e Renda da indústria (inovação, 2,5%), conforme explicitado no site (THE, 2021).</w:t>
      </w:r>
    </w:p>
    <w:p w14:paraId="45E8EB83" w14:textId="07BD34AB" w:rsidR="00EE3346" w:rsidRPr="007C41F7"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Desse modo, percebe-se que não há como tratar a formação universitária nos dias de hoje de maneira disciplinar tradicional e, portanto, as matrizes curriculares (e não grades) acabam contemplando atividades que possibilitam essa abordagem e, cada vez mais, deixam a cargo do próprio aluno uma parte significativa de sua formação, para que ele possa se diferenciar e dar conta dos desafios que terá após a conclusão formal de seu curso, mesmo nas instituições que mantêm uma estrutura disciplinar de oferta, que compensam essa disciplinarização com a flexibilização das exigências de integralização com elencos disciplinares de escolha mais pessoal do aluno. Além disso, um projeto pedagógico institucional que leve em conta a oferta de atividades em todas as áreas formativas se torna mais importante para as avaliações do que os projetos pedagógicos de cursos que derivam do primeiro.</w:t>
      </w:r>
    </w:p>
    <w:p w14:paraId="139FE3B9" w14:textId="61AE027A" w:rsidR="00EE3346"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Essa perspectiva curricular já se expressa na Lei de Criação da UnDF quando estabelece as diretrizes de funcionamento da instituição em seu Art. 3.</w:t>
      </w:r>
      <w:r w:rsidRPr="007C41F7">
        <w:rPr>
          <w:rFonts w:asciiTheme="majorHAnsi" w:hAnsiTheme="majorHAnsi" w:cstheme="majorHAnsi"/>
          <w:sz w:val="24"/>
          <w:szCs w:val="24"/>
          <w:vertAlign w:val="superscript"/>
        </w:rPr>
        <w:t>o</w:t>
      </w:r>
      <w:r w:rsidRPr="007C41F7">
        <w:rPr>
          <w:rFonts w:asciiTheme="majorHAnsi" w:hAnsiTheme="majorHAnsi" w:cstheme="majorHAnsi"/>
          <w:sz w:val="24"/>
          <w:szCs w:val="24"/>
        </w:rPr>
        <w:t xml:space="preserve"> (DISTRITO FEDERAL, 2021), o que também é contemplado na proposta de Estatuto, especialmente em seu Art. 6.</w:t>
      </w:r>
      <w:r w:rsidRPr="007C41F7">
        <w:rPr>
          <w:rFonts w:asciiTheme="majorHAnsi" w:hAnsiTheme="majorHAnsi" w:cstheme="majorHAnsi"/>
          <w:sz w:val="24"/>
          <w:szCs w:val="24"/>
          <w:vertAlign w:val="superscript"/>
        </w:rPr>
        <w:t>o</w:t>
      </w:r>
      <w:r w:rsidRPr="007C41F7" w:rsidDel="00731AEE">
        <w:rPr>
          <w:rFonts w:asciiTheme="majorHAnsi" w:hAnsiTheme="majorHAnsi" w:cstheme="majorHAnsi"/>
          <w:sz w:val="24"/>
          <w:szCs w:val="24"/>
        </w:rPr>
        <w:t xml:space="preserve"> </w:t>
      </w:r>
      <w:r w:rsidRPr="007C41F7">
        <w:rPr>
          <w:rFonts w:asciiTheme="majorHAnsi" w:hAnsiTheme="majorHAnsi" w:cstheme="majorHAnsi"/>
          <w:sz w:val="24"/>
          <w:szCs w:val="24"/>
        </w:rPr>
        <w:t>(UnDF, 2021).</w:t>
      </w:r>
    </w:p>
    <w:p w14:paraId="6BA1E227" w14:textId="77777777" w:rsidR="007C41F7" w:rsidRPr="007C41F7" w:rsidRDefault="007C41F7" w:rsidP="007C41F7">
      <w:pPr>
        <w:tabs>
          <w:tab w:val="clear" w:pos="1615"/>
        </w:tabs>
        <w:spacing w:line="360" w:lineRule="auto"/>
        <w:ind w:firstLine="709"/>
        <w:jc w:val="both"/>
        <w:rPr>
          <w:rFonts w:asciiTheme="majorHAnsi" w:hAnsiTheme="majorHAnsi" w:cstheme="majorHAnsi"/>
          <w:sz w:val="24"/>
          <w:szCs w:val="24"/>
        </w:rPr>
      </w:pPr>
    </w:p>
    <w:p w14:paraId="77EFEF98" w14:textId="77777777" w:rsidR="00EE3346" w:rsidRPr="00516038" w:rsidRDefault="00EE3346" w:rsidP="007C41F7">
      <w:pPr>
        <w:pStyle w:val="Ttulo2"/>
        <w:numPr>
          <w:ilvl w:val="1"/>
          <w:numId w:val="1"/>
        </w:numPr>
        <w:tabs>
          <w:tab w:val="clear" w:pos="1615"/>
        </w:tabs>
        <w:spacing w:before="0" w:after="0" w:line="360" w:lineRule="auto"/>
        <w:ind w:left="993"/>
        <w:rPr>
          <w:rFonts w:asciiTheme="majorHAnsi" w:hAnsiTheme="majorHAnsi" w:cstheme="majorHAnsi"/>
        </w:rPr>
      </w:pPr>
      <w:bookmarkStart w:id="48" w:name="_Toc89878048"/>
      <w:bookmarkStart w:id="49" w:name="_Toc102134983"/>
      <w:r w:rsidRPr="00516038">
        <w:rPr>
          <w:rFonts w:asciiTheme="majorHAnsi" w:hAnsiTheme="majorHAnsi" w:cstheme="majorHAnsi"/>
        </w:rPr>
        <w:t>CITAÇÕES BIBLIOGRÁFICAS E DA LEGISLAÇÃO</w:t>
      </w:r>
      <w:bookmarkEnd w:id="48"/>
      <w:bookmarkEnd w:id="49"/>
    </w:p>
    <w:p w14:paraId="4AC78DAF" w14:textId="77777777" w:rsidR="00EE3346" w:rsidRPr="007C41F7" w:rsidRDefault="00EE3346" w:rsidP="00516038">
      <w:pPr>
        <w:tabs>
          <w:tab w:val="clear" w:pos="1615"/>
        </w:tabs>
        <w:rPr>
          <w:rFonts w:asciiTheme="majorHAnsi" w:hAnsiTheme="majorHAnsi" w:cstheme="majorHAnsi"/>
          <w:sz w:val="24"/>
          <w:szCs w:val="24"/>
        </w:rPr>
      </w:pPr>
      <w:r w:rsidRPr="007C41F7">
        <w:rPr>
          <w:rFonts w:asciiTheme="majorHAnsi" w:hAnsiTheme="majorHAnsi" w:cstheme="majorHAnsi"/>
          <w:sz w:val="24"/>
          <w:szCs w:val="24"/>
        </w:rPr>
        <w:t xml:space="preserve">ALMEIDA FILHO, N. Transdisciplinaridade e saúde coletiva. </w:t>
      </w:r>
      <w:r w:rsidRPr="007C41F7">
        <w:rPr>
          <w:rFonts w:asciiTheme="majorHAnsi" w:hAnsiTheme="majorHAnsi" w:cstheme="majorHAnsi"/>
          <w:b/>
          <w:sz w:val="24"/>
          <w:szCs w:val="24"/>
        </w:rPr>
        <w:t>Ciência &amp; Saúde Coletiva, Rio de Janeiro, v.2, n.1/2</w:t>
      </w:r>
      <w:r w:rsidRPr="007C41F7">
        <w:rPr>
          <w:rFonts w:asciiTheme="majorHAnsi" w:hAnsiTheme="majorHAnsi" w:cstheme="majorHAnsi"/>
          <w:sz w:val="24"/>
          <w:szCs w:val="24"/>
        </w:rPr>
        <w:t>: p. 5-20, 1997.</w:t>
      </w:r>
    </w:p>
    <w:p w14:paraId="649348F7" w14:textId="77777777" w:rsidR="00EE3346" w:rsidRPr="007C41F7" w:rsidRDefault="00EE3346" w:rsidP="00516038">
      <w:pPr>
        <w:tabs>
          <w:tab w:val="clear" w:pos="1615"/>
        </w:tabs>
        <w:rPr>
          <w:rFonts w:asciiTheme="majorHAnsi" w:hAnsiTheme="majorHAnsi" w:cstheme="majorHAnsi"/>
          <w:sz w:val="24"/>
          <w:szCs w:val="24"/>
        </w:rPr>
      </w:pPr>
      <w:r w:rsidRPr="007C41F7">
        <w:rPr>
          <w:rFonts w:asciiTheme="majorHAnsi" w:hAnsiTheme="majorHAnsi" w:cstheme="majorHAnsi"/>
          <w:sz w:val="24"/>
          <w:szCs w:val="24"/>
        </w:rPr>
        <w:t xml:space="preserve">BRASIL. </w:t>
      </w:r>
      <w:r w:rsidRPr="007C41F7">
        <w:rPr>
          <w:rFonts w:asciiTheme="majorHAnsi" w:hAnsiTheme="majorHAnsi" w:cstheme="majorHAnsi"/>
          <w:b/>
          <w:sz w:val="24"/>
          <w:szCs w:val="24"/>
        </w:rPr>
        <w:t>Lei n. 9.394, de 20 de dezembro de 1996.</w:t>
      </w:r>
      <w:r w:rsidRPr="007C41F7">
        <w:rPr>
          <w:rFonts w:asciiTheme="majorHAnsi" w:hAnsiTheme="majorHAnsi" w:cstheme="majorHAnsi"/>
          <w:sz w:val="24"/>
          <w:szCs w:val="24"/>
        </w:rPr>
        <w:t xml:space="preserve"> Estabelece as diretrizes e bases da educação nacional. Disponível em: http://www.planalto.gov.br/ccivil_03/leis/l9394.htm. Acesso em: 22 nov. 2021.</w:t>
      </w:r>
    </w:p>
    <w:p w14:paraId="01631622" w14:textId="77777777" w:rsidR="00EE3346" w:rsidRPr="007C41F7" w:rsidRDefault="00EE3346" w:rsidP="00516038">
      <w:pPr>
        <w:tabs>
          <w:tab w:val="clear" w:pos="1615"/>
        </w:tabs>
        <w:rPr>
          <w:rFonts w:asciiTheme="majorHAnsi" w:hAnsiTheme="majorHAnsi" w:cstheme="majorHAnsi"/>
          <w:sz w:val="24"/>
          <w:szCs w:val="24"/>
        </w:rPr>
      </w:pPr>
      <w:r w:rsidRPr="007C41F7">
        <w:rPr>
          <w:rFonts w:asciiTheme="majorHAnsi" w:hAnsiTheme="majorHAnsi" w:cstheme="majorHAnsi"/>
          <w:sz w:val="24"/>
          <w:szCs w:val="24"/>
        </w:rPr>
        <w:t xml:space="preserve">DISTRITO FEDERAL, 2021. </w:t>
      </w:r>
      <w:r w:rsidRPr="007C41F7">
        <w:rPr>
          <w:rFonts w:asciiTheme="majorHAnsi" w:hAnsiTheme="majorHAnsi" w:cstheme="majorHAnsi"/>
          <w:b/>
          <w:sz w:val="24"/>
          <w:szCs w:val="24"/>
        </w:rPr>
        <w:t>Lei Complementar n. 987, de 26 de julho de 2021</w:t>
      </w:r>
      <w:r w:rsidRPr="007C41F7">
        <w:rPr>
          <w:rFonts w:asciiTheme="majorHAnsi" w:hAnsiTheme="majorHAnsi" w:cstheme="majorHAnsi"/>
          <w:sz w:val="24"/>
          <w:szCs w:val="24"/>
        </w:rPr>
        <w:t>. Autoriza a criação e define as áreas de atuação da Universidade do Distrito Federal – UnDF e dá outras providências. Disponível em: http://www.tc.df.gov.br/ sinj/Norma/d63441567ac346e3bb12c2ac68f43b7b/LC_987_2021.html. Acesso em: 6 dez. 2021.</w:t>
      </w:r>
    </w:p>
    <w:p w14:paraId="5154C721" w14:textId="77777777" w:rsidR="00EE3346" w:rsidRPr="007C41F7" w:rsidRDefault="00EE3346" w:rsidP="00516038">
      <w:pPr>
        <w:tabs>
          <w:tab w:val="clear" w:pos="1615"/>
        </w:tabs>
        <w:rPr>
          <w:rFonts w:asciiTheme="majorHAnsi" w:hAnsiTheme="majorHAnsi" w:cstheme="majorHAnsi"/>
          <w:sz w:val="24"/>
          <w:szCs w:val="24"/>
        </w:rPr>
      </w:pPr>
      <w:r w:rsidRPr="007C41F7">
        <w:rPr>
          <w:rFonts w:asciiTheme="majorHAnsi" w:hAnsiTheme="majorHAnsi" w:cstheme="majorHAnsi"/>
          <w:sz w:val="24"/>
          <w:szCs w:val="24"/>
          <w:lang w:val="en-GB"/>
        </w:rPr>
        <w:t xml:space="preserve">DIXON, W.; JORDAN, A. </w:t>
      </w:r>
      <w:r w:rsidRPr="007C41F7">
        <w:rPr>
          <w:rFonts w:asciiTheme="majorHAnsi" w:hAnsiTheme="majorHAnsi" w:cstheme="majorHAnsi"/>
          <w:b/>
          <w:sz w:val="24"/>
          <w:szCs w:val="24"/>
          <w:lang w:val="en-GB"/>
        </w:rPr>
        <w:t>Why the fourth Industrial Revolution needs more Arts graduates.</w:t>
      </w:r>
      <w:r w:rsidRPr="007C41F7">
        <w:rPr>
          <w:rFonts w:asciiTheme="majorHAnsi" w:hAnsiTheme="majorHAnsi" w:cstheme="majorHAnsi"/>
          <w:sz w:val="24"/>
          <w:szCs w:val="24"/>
          <w:lang w:val="en-GB"/>
        </w:rPr>
        <w:t xml:space="preserve"> </w:t>
      </w:r>
      <w:r w:rsidRPr="007C41F7">
        <w:rPr>
          <w:rFonts w:asciiTheme="majorHAnsi" w:hAnsiTheme="majorHAnsi" w:cstheme="majorHAnsi"/>
          <w:sz w:val="24"/>
          <w:szCs w:val="24"/>
        </w:rPr>
        <w:t>Disponível em: https://www.weforum.org/agenda/2018/12/why-the-fourth-industrial-revolution-needs-more-Arts-graduates/. Acesso em: 30 nov. 2021.</w:t>
      </w:r>
    </w:p>
    <w:p w14:paraId="3C682058" w14:textId="77777777" w:rsidR="00EE3346" w:rsidRPr="007C41F7" w:rsidRDefault="00EE3346" w:rsidP="00516038">
      <w:pPr>
        <w:tabs>
          <w:tab w:val="clear" w:pos="1615"/>
        </w:tabs>
        <w:rPr>
          <w:rFonts w:asciiTheme="majorHAnsi" w:hAnsiTheme="majorHAnsi" w:cstheme="majorHAnsi"/>
          <w:sz w:val="24"/>
          <w:szCs w:val="24"/>
        </w:rPr>
      </w:pPr>
      <w:r w:rsidRPr="007C41F7">
        <w:rPr>
          <w:rFonts w:asciiTheme="majorHAnsi" w:hAnsiTheme="majorHAnsi" w:cstheme="majorHAnsi"/>
          <w:sz w:val="24"/>
          <w:szCs w:val="24"/>
        </w:rPr>
        <w:t xml:space="preserve">FAZENDA, I.C.A. </w:t>
      </w:r>
      <w:r w:rsidRPr="007C41F7">
        <w:rPr>
          <w:rFonts w:asciiTheme="majorHAnsi" w:hAnsiTheme="majorHAnsi" w:cstheme="majorHAnsi"/>
          <w:b/>
          <w:sz w:val="24"/>
          <w:szCs w:val="24"/>
        </w:rPr>
        <w:t xml:space="preserve">Interdisciplinaridade: História, Teoria e Pesquisa. </w:t>
      </w:r>
      <w:r w:rsidRPr="007C41F7">
        <w:rPr>
          <w:rFonts w:asciiTheme="majorHAnsi" w:hAnsiTheme="majorHAnsi" w:cstheme="majorHAnsi"/>
          <w:sz w:val="24"/>
          <w:szCs w:val="24"/>
        </w:rPr>
        <w:t>9.</w:t>
      </w:r>
      <w:r w:rsidRPr="007C41F7">
        <w:rPr>
          <w:rFonts w:asciiTheme="majorHAnsi" w:hAnsiTheme="majorHAnsi" w:cstheme="majorHAnsi"/>
          <w:sz w:val="24"/>
          <w:szCs w:val="24"/>
          <w:vertAlign w:val="superscript"/>
        </w:rPr>
        <w:t>a</w:t>
      </w:r>
      <w:r w:rsidRPr="007C41F7">
        <w:rPr>
          <w:rFonts w:asciiTheme="majorHAnsi" w:hAnsiTheme="majorHAnsi" w:cstheme="majorHAnsi"/>
          <w:sz w:val="24"/>
          <w:szCs w:val="24"/>
        </w:rPr>
        <w:t xml:space="preserve"> reimpr. Campinas, SP, Papirus: 2021</w:t>
      </w:r>
    </w:p>
    <w:p w14:paraId="01ADAFBB" w14:textId="77777777" w:rsidR="00EE3346" w:rsidRPr="007C41F7" w:rsidRDefault="00EE3346" w:rsidP="00516038">
      <w:pPr>
        <w:tabs>
          <w:tab w:val="clear" w:pos="1615"/>
        </w:tabs>
        <w:ind w:right="-1"/>
        <w:rPr>
          <w:rFonts w:asciiTheme="majorHAnsi" w:hAnsiTheme="majorHAnsi" w:cstheme="majorHAnsi"/>
          <w:sz w:val="24"/>
          <w:szCs w:val="24"/>
          <w:shd w:val="clear" w:color="auto" w:fill="FFFFFF"/>
        </w:rPr>
      </w:pPr>
      <w:r w:rsidRPr="007C41F7">
        <w:rPr>
          <w:rFonts w:asciiTheme="majorHAnsi" w:hAnsiTheme="majorHAnsi" w:cstheme="majorHAnsi"/>
          <w:sz w:val="24"/>
          <w:szCs w:val="24"/>
          <w:shd w:val="clear" w:color="auto" w:fill="FFFFFF"/>
        </w:rPr>
        <w:t xml:space="preserve">FIA – FUNDAÇÃO INSTITUTO DE ADMINISTRAÇÃO, 202. </w:t>
      </w:r>
      <w:r w:rsidRPr="007C41F7">
        <w:rPr>
          <w:rFonts w:asciiTheme="majorHAnsi" w:hAnsiTheme="majorHAnsi" w:cstheme="majorHAnsi"/>
          <w:b/>
          <w:sz w:val="24"/>
          <w:szCs w:val="24"/>
          <w:shd w:val="clear" w:color="auto" w:fill="FFFFFF"/>
        </w:rPr>
        <w:t>Educação STEM: Tudo que você precisa saber.</w:t>
      </w:r>
      <w:r w:rsidRPr="007C41F7">
        <w:rPr>
          <w:rFonts w:asciiTheme="majorHAnsi" w:hAnsiTheme="majorHAnsi" w:cstheme="majorHAnsi"/>
          <w:sz w:val="24"/>
          <w:szCs w:val="24"/>
          <w:shd w:val="clear" w:color="auto" w:fill="FFFFFF"/>
        </w:rPr>
        <w:t xml:space="preserve"> Disponível em: </w:t>
      </w:r>
      <w:hyperlink r:id="rId16" w:history="1">
        <w:r w:rsidRPr="007C41F7">
          <w:rPr>
            <w:rStyle w:val="Hyperlink"/>
            <w:rFonts w:asciiTheme="majorHAnsi" w:hAnsiTheme="majorHAnsi" w:cstheme="majorHAnsi"/>
            <w:color w:val="auto"/>
            <w:sz w:val="24"/>
            <w:szCs w:val="24"/>
            <w:u w:val="none"/>
            <w:shd w:val="clear" w:color="auto" w:fill="FFFFFF"/>
          </w:rPr>
          <w:t>https://fia.com.br/blog/educacao-stem/</w:t>
        </w:r>
      </w:hyperlink>
      <w:r w:rsidRPr="007C41F7">
        <w:rPr>
          <w:rFonts w:asciiTheme="majorHAnsi" w:hAnsiTheme="majorHAnsi" w:cstheme="majorHAnsi"/>
          <w:sz w:val="24"/>
          <w:szCs w:val="24"/>
          <w:shd w:val="clear" w:color="auto" w:fill="FFFFFF"/>
        </w:rPr>
        <w:t>. Acesso em 01/12/2021.</w:t>
      </w:r>
    </w:p>
    <w:p w14:paraId="7F3B51A7" w14:textId="77777777" w:rsidR="00EE3346" w:rsidRPr="007C41F7" w:rsidRDefault="00EE3346" w:rsidP="00516038">
      <w:pPr>
        <w:tabs>
          <w:tab w:val="clear" w:pos="1615"/>
        </w:tabs>
        <w:rPr>
          <w:rFonts w:asciiTheme="majorHAnsi" w:hAnsiTheme="majorHAnsi" w:cstheme="majorHAnsi"/>
          <w:sz w:val="24"/>
          <w:szCs w:val="24"/>
        </w:rPr>
      </w:pPr>
      <w:r w:rsidRPr="007C41F7">
        <w:rPr>
          <w:rFonts w:asciiTheme="majorHAnsi" w:hAnsiTheme="majorHAnsi" w:cstheme="majorHAnsi"/>
          <w:sz w:val="24"/>
          <w:szCs w:val="24"/>
        </w:rPr>
        <w:t>FREITAS, L.; MORIN, E.; NICOLESCU, B. Carta da transdisciplinaridade.</w:t>
      </w:r>
      <w:r w:rsidRPr="007C41F7">
        <w:rPr>
          <w:rFonts w:asciiTheme="majorHAnsi" w:hAnsiTheme="majorHAnsi" w:cstheme="majorHAnsi"/>
          <w:b/>
          <w:sz w:val="24"/>
          <w:szCs w:val="24"/>
        </w:rPr>
        <w:t xml:space="preserve"> I Congresso Mundial da Transdisciplinaridade, Convento da Arrábida, Portugal</w:t>
      </w:r>
      <w:r w:rsidRPr="007C41F7">
        <w:rPr>
          <w:rFonts w:asciiTheme="majorHAnsi" w:hAnsiTheme="majorHAnsi" w:cstheme="majorHAnsi"/>
          <w:sz w:val="24"/>
          <w:szCs w:val="24"/>
        </w:rPr>
        <w:t>, 1994. Disponível em: http://ciret-transdisciplinarity. org/chart.php. Acesso em: 29 nov. 2021.</w:t>
      </w:r>
    </w:p>
    <w:p w14:paraId="21B860C5" w14:textId="77777777" w:rsidR="00EE3346" w:rsidRPr="007C41F7" w:rsidRDefault="00EE3346" w:rsidP="00516038">
      <w:pPr>
        <w:tabs>
          <w:tab w:val="clear" w:pos="1615"/>
        </w:tabs>
        <w:ind w:right="-1"/>
        <w:rPr>
          <w:rFonts w:asciiTheme="majorHAnsi" w:hAnsiTheme="majorHAnsi" w:cstheme="majorHAnsi"/>
          <w:sz w:val="24"/>
          <w:szCs w:val="24"/>
        </w:rPr>
      </w:pPr>
      <w:r w:rsidRPr="007C41F7">
        <w:rPr>
          <w:rFonts w:asciiTheme="majorHAnsi" w:hAnsiTheme="majorHAnsi" w:cstheme="majorHAnsi"/>
          <w:sz w:val="24"/>
          <w:szCs w:val="24"/>
          <w:lang w:val="en-GB"/>
        </w:rPr>
        <w:t xml:space="preserve">HOEG, D. G.; BENCZE, J. L. Values Underpinning STEM </w:t>
      </w:r>
      <w:r w:rsidRPr="007C41F7">
        <w:rPr>
          <w:rFonts w:asciiTheme="majorHAnsi" w:hAnsiTheme="majorHAnsi" w:cstheme="majorHAnsi"/>
          <w:i/>
          <w:iCs/>
          <w:sz w:val="24"/>
          <w:szCs w:val="24"/>
          <w:lang w:val="en-GB"/>
        </w:rPr>
        <w:t xml:space="preserve">Education </w:t>
      </w:r>
      <w:r w:rsidRPr="007C41F7">
        <w:rPr>
          <w:rFonts w:asciiTheme="majorHAnsi" w:hAnsiTheme="majorHAnsi" w:cstheme="majorHAnsi"/>
          <w:sz w:val="24"/>
          <w:szCs w:val="24"/>
          <w:lang w:val="en-GB"/>
        </w:rPr>
        <w:t xml:space="preserve">in the USA: An Analysis of the Next Generation Science Standards. </w:t>
      </w:r>
      <w:r w:rsidRPr="007C41F7">
        <w:rPr>
          <w:rFonts w:asciiTheme="majorHAnsi" w:hAnsiTheme="majorHAnsi" w:cstheme="majorHAnsi"/>
          <w:b/>
          <w:iCs/>
          <w:sz w:val="24"/>
          <w:szCs w:val="24"/>
        </w:rPr>
        <w:t>Science Education</w:t>
      </w:r>
      <w:r w:rsidRPr="007C41F7">
        <w:rPr>
          <w:rFonts w:asciiTheme="majorHAnsi" w:hAnsiTheme="majorHAnsi" w:cstheme="majorHAnsi"/>
          <w:b/>
          <w:sz w:val="24"/>
          <w:szCs w:val="24"/>
        </w:rPr>
        <w:t>, v. 101, n. 2:</w:t>
      </w:r>
      <w:r w:rsidRPr="007C41F7">
        <w:rPr>
          <w:rFonts w:asciiTheme="majorHAnsi" w:hAnsiTheme="majorHAnsi" w:cstheme="majorHAnsi"/>
          <w:sz w:val="24"/>
          <w:szCs w:val="24"/>
        </w:rPr>
        <w:t xml:space="preserve"> p. 278–301, 2017. doi.org/10.1002/ sce.21260</w:t>
      </w:r>
      <w:r w:rsidRPr="007C41F7">
        <w:rPr>
          <w:rFonts w:asciiTheme="majorHAnsi" w:hAnsiTheme="majorHAnsi" w:cstheme="majorHAnsi"/>
          <w:color w:val="FF0000"/>
          <w:sz w:val="24"/>
          <w:szCs w:val="24"/>
        </w:rPr>
        <w:t>.</w:t>
      </w:r>
    </w:p>
    <w:p w14:paraId="39651BBE" w14:textId="77777777" w:rsidR="00EE3346" w:rsidRPr="007C41F7" w:rsidRDefault="00EE3346" w:rsidP="00516038">
      <w:pPr>
        <w:tabs>
          <w:tab w:val="clear" w:pos="1615"/>
        </w:tabs>
        <w:rPr>
          <w:rFonts w:asciiTheme="majorHAnsi" w:hAnsiTheme="majorHAnsi" w:cstheme="majorHAnsi"/>
          <w:sz w:val="24"/>
          <w:szCs w:val="24"/>
        </w:rPr>
      </w:pPr>
      <w:r w:rsidRPr="007C41F7">
        <w:rPr>
          <w:rFonts w:asciiTheme="majorHAnsi" w:hAnsiTheme="majorHAnsi" w:cstheme="majorHAnsi"/>
          <w:sz w:val="24"/>
          <w:szCs w:val="24"/>
        </w:rPr>
        <w:t xml:space="preserve">JAPIASSU, H. O espírito interdisciplinar. </w:t>
      </w:r>
      <w:r w:rsidRPr="007C41F7">
        <w:rPr>
          <w:rFonts w:asciiTheme="majorHAnsi" w:hAnsiTheme="majorHAnsi" w:cstheme="majorHAnsi"/>
          <w:b/>
          <w:sz w:val="24"/>
          <w:szCs w:val="24"/>
        </w:rPr>
        <w:t>Cadernos EBAPE.BR, FGV, v. 4, n. 3:</w:t>
      </w:r>
      <w:r w:rsidRPr="007C41F7">
        <w:rPr>
          <w:rFonts w:asciiTheme="majorHAnsi" w:hAnsiTheme="majorHAnsi" w:cstheme="majorHAnsi"/>
          <w:sz w:val="24"/>
          <w:szCs w:val="24"/>
        </w:rPr>
        <w:t xml:space="preserve"> p. 1-9, 2006. Disponível em: https://bibliotecadigital.fgv.br/ojs/index.php/cadernosebape/article/view/7401/5877. Acesso em: 25 nov.2021.</w:t>
      </w:r>
    </w:p>
    <w:p w14:paraId="76E60802" w14:textId="77777777" w:rsidR="00EE3346" w:rsidRPr="007C41F7" w:rsidRDefault="00EE3346" w:rsidP="00516038">
      <w:pPr>
        <w:tabs>
          <w:tab w:val="clear" w:pos="1615"/>
        </w:tabs>
        <w:ind w:right="-1"/>
        <w:jc w:val="both"/>
        <w:rPr>
          <w:rFonts w:asciiTheme="majorHAnsi" w:hAnsiTheme="majorHAnsi" w:cstheme="majorHAnsi"/>
          <w:color w:val="FF0000"/>
          <w:sz w:val="24"/>
          <w:szCs w:val="24"/>
        </w:rPr>
      </w:pPr>
      <w:r w:rsidRPr="007C41F7">
        <w:rPr>
          <w:rFonts w:asciiTheme="majorHAnsi" w:hAnsiTheme="majorHAnsi" w:cstheme="majorHAnsi"/>
          <w:sz w:val="24"/>
          <w:szCs w:val="24"/>
        </w:rPr>
        <w:t xml:space="preserve">MORIN, E. </w:t>
      </w:r>
      <w:r w:rsidRPr="007C41F7">
        <w:rPr>
          <w:rFonts w:asciiTheme="majorHAnsi" w:hAnsiTheme="majorHAnsi" w:cstheme="majorHAnsi"/>
          <w:b/>
          <w:sz w:val="24"/>
          <w:szCs w:val="24"/>
        </w:rPr>
        <w:t>O problema epistemológico da complexidade</w:t>
      </w:r>
      <w:r w:rsidRPr="007C41F7">
        <w:rPr>
          <w:rFonts w:asciiTheme="majorHAnsi" w:hAnsiTheme="majorHAnsi" w:cstheme="majorHAnsi"/>
          <w:sz w:val="24"/>
          <w:szCs w:val="24"/>
        </w:rPr>
        <w:t>. Lisboa: Europa-América, 1995.</w:t>
      </w:r>
    </w:p>
    <w:p w14:paraId="71CE3992" w14:textId="77777777" w:rsidR="00EE3346" w:rsidRPr="007C41F7" w:rsidRDefault="00EE3346" w:rsidP="00516038">
      <w:pPr>
        <w:tabs>
          <w:tab w:val="clear" w:pos="1615"/>
        </w:tabs>
        <w:rPr>
          <w:rFonts w:asciiTheme="majorHAnsi" w:hAnsiTheme="majorHAnsi" w:cstheme="majorHAnsi"/>
          <w:sz w:val="24"/>
          <w:szCs w:val="24"/>
        </w:rPr>
      </w:pPr>
      <w:r w:rsidRPr="007C41F7">
        <w:rPr>
          <w:rFonts w:asciiTheme="majorHAnsi" w:hAnsiTheme="majorHAnsi" w:cstheme="majorHAnsi"/>
          <w:sz w:val="24"/>
          <w:szCs w:val="24"/>
        </w:rPr>
        <w:t xml:space="preserve">NICOLESCU, B. Evolução transdisciplinar da Universidade – 1997. </w:t>
      </w:r>
      <w:r w:rsidRPr="007C41F7">
        <w:rPr>
          <w:rFonts w:asciiTheme="majorHAnsi" w:hAnsiTheme="majorHAnsi" w:cstheme="majorHAnsi"/>
          <w:b/>
          <w:sz w:val="24"/>
          <w:szCs w:val="24"/>
        </w:rPr>
        <w:t>Relatório Síntese do Congresso de Locarno: Que Universidade para o amanhã? Em busca de uma evolução transdisciplinar da Universidade</w:t>
      </w:r>
      <w:r w:rsidRPr="007C41F7">
        <w:rPr>
          <w:rFonts w:asciiTheme="majorHAnsi" w:hAnsiTheme="majorHAnsi" w:cstheme="majorHAnsi"/>
          <w:sz w:val="24"/>
          <w:szCs w:val="24"/>
        </w:rPr>
        <w:t>. Disponível em: http://ciret-transdisciplinarity.org/locarno/locapor4.php. Acesso em: 29 nov. 2021.</w:t>
      </w:r>
    </w:p>
    <w:p w14:paraId="0F839831" w14:textId="77777777" w:rsidR="00EE3346" w:rsidRPr="007C41F7" w:rsidRDefault="00EE3346" w:rsidP="00516038">
      <w:pPr>
        <w:tabs>
          <w:tab w:val="clear" w:pos="1615"/>
        </w:tabs>
        <w:ind w:right="-1"/>
        <w:rPr>
          <w:rFonts w:asciiTheme="majorHAnsi" w:hAnsiTheme="majorHAnsi" w:cstheme="majorHAnsi"/>
          <w:sz w:val="24"/>
          <w:szCs w:val="24"/>
          <w:shd w:val="clear" w:color="auto" w:fill="FFFFFF"/>
        </w:rPr>
      </w:pPr>
      <w:r w:rsidRPr="007C41F7">
        <w:rPr>
          <w:rFonts w:asciiTheme="majorHAnsi" w:hAnsiTheme="majorHAnsi" w:cstheme="majorHAnsi"/>
          <w:sz w:val="24"/>
          <w:szCs w:val="24"/>
          <w:shd w:val="clear" w:color="auto" w:fill="FFFFFF"/>
        </w:rPr>
        <w:t xml:space="preserve">NICOLESCU, B. </w:t>
      </w:r>
      <w:r w:rsidRPr="007C41F7">
        <w:rPr>
          <w:rFonts w:asciiTheme="majorHAnsi" w:hAnsiTheme="majorHAnsi" w:cstheme="majorHAnsi"/>
          <w:b/>
          <w:sz w:val="24"/>
          <w:szCs w:val="24"/>
          <w:shd w:val="clear" w:color="auto" w:fill="FFFFFF"/>
        </w:rPr>
        <w:t>O manifesto da transdisciplinaridade</w:t>
      </w:r>
      <w:r w:rsidRPr="007C41F7">
        <w:rPr>
          <w:rFonts w:asciiTheme="majorHAnsi" w:hAnsiTheme="majorHAnsi" w:cstheme="majorHAnsi"/>
          <w:sz w:val="24"/>
          <w:szCs w:val="24"/>
          <w:shd w:val="clear" w:color="auto" w:fill="FFFFFF"/>
        </w:rPr>
        <w:t>. Trad. Lúcia Pereira de Souza. São Paulo: Trion, 1999.</w:t>
      </w:r>
    </w:p>
    <w:p w14:paraId="467256E8" w14:textId="77777777" w:rsidR="00EE3346" w:rsidRPr="007C41F7" w:rsidRDefault="00EE3346" w:rsidP="00516038">
      <w:pPr>
        <w:tabs>
          <w:tab w:val="clear" w:pos="1615"/>
        </w:tabs>
        <w:ind w:right="-1"/>
        <w:jc w:val="both"/>
        <w:rPr>
          <w:rFonts w:asciiTheme="majorHAnsi" w:hAnsiTheme="majorHAnsi" w:cstheme="majorHAnsi"/>
          <w:sz w:val="24"/>
          <w:szCs w:val="24"/>
          <w:shd w:val="clear" w:color="auto" w:fill="FFFFFF"/>
        </w:rPr>
      </w:pPr>
      <w:r w:rsidRPr="007C41F7">
        <w:rPr>
          <w:rFonts w:asciiTheme="majorHAnsi" w:hAnsiTheme="majorHAnsi" w:cstheme="majorHAnsi"/>
          <w:sz w:val="24"/>
          <w:szCs w:val="24"/>
          <w:shd w:val="clear" w:color="auto" w:fill="FFFFFF"/>
        </w:rPr>
        <w:t xml:space="preserve">NICOLESCU, B., 2012. </w:t>
      </w:r>
      <w:r w:rsidRPr="007C41F7">
        <w:rPr>
          <w:rFonts w:asciiTheme="majorHAnsi" w:hAnsiTheme="majorHAnsi" w:cstheme="majorHAnsi"/>
          <w:b/>
          <w:sz w:val="24"/>
          <w:szCs w:val="24"/>
          <w:shd w:val="clear" w:color="auto" w:fill="FFFFFF"/>
        </w:rPr>
        <w:t>A evolução transdisciplinar da Universidade: Condição para o desenvolvimento sustentável.</w:t>
      </w:r>
      <w:r w:rsidRPr="007C41F7">
        <w:rPr>
          <w:rFonts w:asciiTheme="majorHAnsi" w:hAnsiTheme="majorHAnsi" w:cstheme="majorHAnsi"/>
          <w:sz w:val="24"/>
          <w:szCs w:val="24"/>
          <w:shd w:val="clear" w:color="auto" w:fill="FFFFFF"/>
        </w:rPr>
        <w:t xml:space="preserve"> Disponível em:  https://ciret-transdisciplinarity.org/bulletin/b12c8por.php. Acesso em: 20 nov. 2021.</w:t>
      </w:r>
    </w:p>
    <w:p w14:paraId="2B7CEA95" w14:textId="77777777" w:rsidR="00EE3346" w:rsidRPr="007C41F7" w:rsidRDefault="00EE3346" w:rsidP="00516038">
      <w:pPr>
        <w:tabs>
          <w:tab w:val="clear" w:pos="1615"/>
        </w:tabs>
        <w:rPr>
          <w:rFonts w:asciiTheme="majorHAnsi" w:hAnsiTheme="majorHAnsi" w:cstheme="majorHAnsi"/>
          <w:sz w:val="24"/>
          <w:szCs w:val="24"/>
        </w:rPr>
      </w:pPr>
      <w:r w:rsidRPr="007C41F7">
        <w:rPr>
          <w:rFonts w:asciiTheme="majorHAnsi" w:hAnsiTheme="majorHAnsi" w:cstheme="majorHAnsi"/>
          <w:sz w:val="24"/>
          <w:szCs w:val="24"/>
        </w:rPr>
        <w:t>OLIVEIRA, L.M.S.R.; MOREIRA, M.B. Da disciplinaridade para a interdisciplinaridade: um caminho a ser percorrido pela academia.</w:t>
      </w:r>
      <w:r w:rsidRPr="007C41F7">
        <w:rPr>
          <w:rFonts w:asciiTheme="majorHAnsi" w:hAnsiTheme="majorHAnsi" w:cstheme="majorHAnsi"/>
          <w:b/>
          <w:sz w:val="24"/>
          <w:szCs w:val="24"/>
        </w:rPr>
        <w:t xml:space="preserve"> REVASF, Petrolina-PE, v.7, n.12: </w:t>
      </w:r>
      <w:r w:rsidRPr="007C41F7">
        <w:rPr>
          <w:rFonts w:asciiTheme="majorHAnsi" w:hAnsiTheme="majorHAnsi" w:cstheme="majorHAnsi"/>
          <w:sz w:val="24"/>
          <w:szCs w:val="24"/>
        </w:rPr>
        <w:t>p. 6-20, abril 2017.</w:t>
      </w:r>
    </w:p>
    <w:p w14:paraId="724029F9" w14:textId="77777777" w:rsidR="00EE3346" w:rsidRPr="007C41F7" w:rsidRDefault="00EE3346" w:rsidP="00516038">
      <w:pPr>
        <w:tabs>
          <w:tab w:val="clear" w:pos="1615"/>
        </w:tabs>
        <w:autoSpaceDE w:val="0"/>
        <w:autoSpaceDN w:val="0"/>
        <w:adjustRightInd w:val="0"/>
        <w:rPr>
          <w:rFonts w:asciiTheme="majorHAnsi" w:hAnsiTheme="majorHAnsi" w:cstheme="majorHAnsi"/>
          <w:sz w:val="24"/>
          <w:szCs w:val="24"/>
        </w:rPr>
      </w:pPr>
      <w:r w:rsidRPr="007C41F7">
        <w:rPr>
          <w:rFonts w:asciiTheme="majorHAnsi" w:hAnsiTheme="majorHAnsi" w:cstheme="majorHAnsi"/>
          <w:sz w:val="24"/>
          <w:szCs w:val="24"/>
        </w:rPr>
        <w:t xml:space="preserve">PUGLIESI, G.O. Os modelos pedagógicos de ensino de ciências em dois programas educacionais baseados em STEM (Science, Technology, Engineering and Mathematics). </w:t>
      </w:r>
      <w:r w:rsidRPr="007C41F7">
        <w:rPr>
          <w:rFonts w:asciiTheme="majorHAnsi" w:hAnsiTheme="majorHAnsi" w:cstheme="majorHAnsi"/>
          <w:b/>
          <w:sz w:val="24"/>
          <w:szCs w:val="24"/>
        </w:rPr>
        <w:t>Dissertação de Mestrado no Programa de Genética e Biologia Molecular da Universidade Estadual de Campinas</w:t>
      </w:r>
      <w:r w:rsidRPr="007C41F7">
        <w:rPr>
          <w:rFonts w:asciiTheme="majorHAnsi" w:hAnsiTheme="majorHAnsi" w:cstheme="majorHAnsi"/>
          <w:sz w:val="24"/>
          <w:szCs w:val="24"/>
        </w:rPr>
        <w:t>. Unicamp, 135pp., 2017.</w:t>
      </w:r>
    </w:p>
    <w:p w14:paraId="2297191D" w14:textId="77777777" w:rsidR="00EE3346" w:rsidRPr="007C41F7" w:rsidRDefault="00EE3346" w:rsidP="00516038">
      <w:pPr>
        <w:tabs>
          <w:tab w:val="clear" w:pos="1615"/>
        </w:tabs>
        <w:ind w:right="-1"/>
        <w:rPr>
          <w:rFonts w:asciiTheme="majorHAnsi" w:hAnsiTheme="majorHAnsi" w:cstheme="majorHAnsi"/>
          <w:color w:val="FF0000"/>
          <w:sz w:val="24"/>
          <w:szCs w:val="24"/>
          <w:lang w:val="en-GB"/>
        </w:rPr>
      </w:pPr>
      <w:r w:rsidRPr="007C41F7">
        <w:rPr>
          <w:rFonts w:asciiTheme="majorHAnsi" w:hAnsiTheme="majorHAnsi" w:cstheme="majorHAnsi"/>
          <w:sz w:val="24"/>
          <w:szCs w:val="24"/>
        </w:rPr>
        <w:t xml:space="preserve">PUGLIESI, G.O.  STEM EDUCATION – um panorama e sua relação com a educação brasileira. </w:t>
      </w:r>
      <w:r w:rsidRPr="007C41F7">
        <w:rPr>
          <w:rFonts w:asciiTheme="majorHAnsi" w:hAnsiTheme="majorHAnsi" w:cstheme="majorHAnsi"/>
          <w:b/>
          <w:sz w:val="24"/>
          <w:szCs w:val="24"/>
          <w:lang w:val="en-GB"/>
        </w:rPr>
        <w:t>Currículo sem Fronteiras, v. 20, n. 1:</w:t>
      </w:r>
      <w:r w:rsidRPr="007C41F7">
        <w:rPr>
          <w:rFonts w:asciiTheme="majorHAnsi" w:hAnsiTheme="majorHAnsi" w:cstheme="majorHAnsi"/>
          <w:sz w:val="24"/>
          <w:szCs w:val="24"/>
          <w:lang w:val="en-GB"/>
        </w:rPr>
        <w:t xml:space="preserve"> p. 209-232, jan./abr. 2020</w:t>
      </w:r>
    </w:p>
    <w:p w14:paraId="19AB377E" w14:textId="77777777" w:rsidR="00EE3346" w:rsidRPr="007C41F7" w:rsidRDefault="00EE3346" w:rsidP="00516038">
      <w:pPr>
        <w:tabs>
          <w:tab w:val="clear" w:pos="1615"/>
        </w:tabs>
        <w:rPr>
          <w:rFonts w:asciiTheme="majorHAnsi" w:eastAsia="Times New Roman" w:hAnsiTheme="majorHAnsi" w:cstheme="majorHAnsi"/>
          <w:bCs/>
          <w:color w:val="231F20"/>
          <w:kern w:val="36"/>
          <w:sz w:val="24"/>
          <w:szCs w:val="24"/>
          <w:lang w:eastAsia="pt-BR"/>
        </w:rPr>
      </w:pPr>
      <w:r w:rsidRPr="007C41F7">
        <w:rPr>
          <w:rFonts w:asciiTheme="majorHAnsi" w:hAnsiTheme="majorHAnsi" w:cstheme="majorHAnsi"/>
          <w:sz w:val="24"/>
          <w:szCs w:val="24"/>
          <w:lang w:val="en-GB"/>
        </w:rPr>
        <w:t xml:space="preserve">RAYO, A.; SARKIS, H. </w:t>
      </w:r>
      <w:r w:rsidRPr="007C41F7">
        <w:rPr>
          <w:rFonts w:asciiTheme="majorHAnsi" w:hAnsiTheme="majorHAnsi" w:cstheme="majorHAnsi"/>
          <w:b/>
          <w:sz w:val="24"/>
          <w:szCs w:val="24"/>
          <w:lang w:val="en-GB"/>
        </w:rPr>
        <w:t>At MIT, Arts, humanities and STEM fields forge an essential partnership</w:t>
      </w:r>
      <w:r w:rsidRPr="007C41F7">
        <w:rPr>
          <w:rFonts w:asciiTheme="majorHAnsi" w:hAnsiTheme="majorHAnsi" w:cstheme="majorHAnsi"/>
          <w:sz w:val="24"/>
          <w:szCs w:val="24"/>
          <w:lang w:val="en-GB"/>
        </w:rPr>
        <w:t xml:space="preserve">. </w:t>
      </w:r>
      <w:r w:rsidRPr="007C41F7">
        <w:rPr>
          <w:rFonts w:asciiTheme="majorHAnsi" w:hAnsiTheme="majorHAnsi" w:cstheme="majorHAnsi"/>
          <w:sz w:val="24"/>
          <w:szCs w:val="24"/>
        </w:rPr>
        <w:t xml:space="preserve">Disponível em: </w:t>
      </w:r>
      <w:r w:rsidRPr="007C41F7">
        <w:rPr>
          <w:rFonts w:asciiTheme="majorHAnsi" w:eastAsia="Times New Roman" w:hAnsiTheme="majorHAnsi" w:cstheme="majorHAnsi"/>
          <w:bCs/>
          <w:color w:val="231F20"/>
          <w:kern w:val="36"/>
          <w:sz w:val="24"/>
          <w:szCs w:val="24"/>
          <w:lang w:eastAsia="pt-BR"/>
        </w:rPr>
        <w:t>https://www.timeshighereducation.com/opinion/mit-Arts-humanities-and-stem-fields-forge-essential-partnership. Acesso em: 15 nov. 2021.</w:t>
      </w:r>
    </w:p>
    <w:p w14:paraId="587C9AF6" w14:textId="77777777" w:rsidR="00EE3346" w:rsidRPr="007C41F7" w:rsidRDefault="00EE3346" w:rsidP="00516038">
      <w:pPr>
        <w:tabs>
          <w:tab w:val="clear" w:pos="1615"/>
        </w:tabs>
        <w:rPr>
          <w:rFonts w:asciiTheme="majorHAnsi" w:hAnsiTheme="majorHAnsi" w:cstheme="majorHAnsi"/>
          <w:sz w:val="24"/>
          <w:szCs w:val="24"/>
        </w:rPr>
      </w:pPr>
      <w:r w:rsidRPr="007C41F7">
        <w:rPr>
          <w:rFonts w:asciiTheme="majorHAnsi" w:hAnsiTheme="majorHAnsi" w:cstheme="majorHAnsi"/>
          <w:sz w:val="24"/>
          <w:szCs w:val="24"/>
        </w:rPr>
        <w:t xml:space="preserve">SANTOS, A. Complexidade e transdisciplinaridade em educação: cinco princípios para resgatar o elo perdido. </w:t>
      </w:r>
      <w:r w:rsidRPr="007C41F7">
        <w:rPr>
          <w:rFonts w:asciiTheme="majorHAnsi" w:hAnsiTheme="majorHAnsi" w:cstheme="majorHAnsi"/>
          <w:b/>
          <w:sz w:val="24"/>
          <w:szCs w:val="24"/>
        </w:rPr>
        <w:t>Revista Brasileira de Educação</w:t>
      </w:r>
      <w:r w:rsidRPr="007C41F7">
        <w:rPr>
          <w:rFonts w:asciiTheme="majorHAnsi" w:hAnsiTheme="majorHAnsi" w:cstheme="majorHAnsi"/>
          <w:sz w:val="24"/>
          <w:szCs w:val="24"/>
        </w:rPr>
        <w:t xml:space="preserve">, </w:t>
      </w:r>
      <w:r w:rsidRPr="007C41F7">
        <w:rPr>
          <w:rFonts w:asciiTheme="majorHAnsi" w:hAnsiTheme="majorHAnsi" w:cstheme="majorHAnsi"/>
          <w:b/>
          <w:sz w:val="24"/>
          <w:szCs w:val="24"/>
        </w:rPr>
        <w:t xml:space="preserve">v. 13, n. 37: </w:t>
      </w:r>
      <w:r w:rsidRPr="007C41F7">
        <w:rPr>
          <w:rFonts w:asciiTheme="majorHAnsi" w:hAnsiTheme="majorHAnsi" w:cstheme="majorHAnsi"/>
          <w:sz w:val="24"/>
          <w:szCs w:val="24"/>
        </w:rPr>
        <w:t>p. 71-83, 2008. DOI: 10.1590/S1413-24782008000100007.</w:t>
      </w:r>
    </w:p>
    <w:p w14:paraId="3F51C66E" w14:textId="77777777" w:rsidR="00EE3346" w:rsidRPr="007C41F7" w:rsidRDefault="00EE3346" w:rsidP="00516038">
      <w:pPr>
        <w:tabs>
          <w:tab w:val="clear" w:pos="1615"/>
        </w:tabs>
        <w:ind w:right="-1"/>
        <w:rPr>
          <w:rFonts w:asciiTheme="majorHAnsi" w:hAnsiTheme="majorHAnsi" w:cstheme="majorHAnsi"/>
          <w:color w:val="FF0000"/>
          <w:sz w:val="24"/>
          <w:szCs w:val="24"/>
        </w:rPr>
      </w:pPr>
      <w:r w:rsidRPr="007C41F7">
        <w:rPr>
          <w:rFonts w:asciiTheme="majorHAnsi" w:hAnsiTheme="majorHAnsi" w:cstheme="majorHAnsi"/>
          <w:sz w:val="24"/>
          <w:szCs w:val="24"/>
        </w:rPr>
        <w:t xml:space="preserve">SANTOS, W. L. P. D.; MORTIMER, E. F. Uma análise de pressupostos teóricos da abordagem C-T-S (Ciência – Tecnologia – Sociedade) no contexto da educação brasileira. </w:t>
      </w:r>
      <w:r w:rsidRPr="007C41F7">
        <w:rPr>
          <w:rFonts w:asciiTheme="majorHAnsi" w:hAnsiTheme="majorHAnsi" w:cstheme="majorHAnsi"/>
          <w:b/>
          <w:iCs/>
          <w:sz w:val="24"/>
          <w:szCs w:val="24"/>
        </w:rPr>
        <w:t>Ensaio - Pesquisa em Educação em Ciências</w:t>
      </w:r>
      <w:r w:rsidRPr="007C41F7">
        <w:rPr>
          <w:rFonts w:asciiTheme="majorHAnsi" w:hAnsiTheme="majorHAnsi" w:cstheme="majorHAnsi"/>
          <w:b/>
          <w:sz w:val="24"/>
          <w:szCs w:val="24"/>
        </w:rPr>
        <w:t xml:space="preserve">, v. 2, n. 2: </w:t>
      </w:r>
      <w:r w:rsidRPr="007C41F7">
        <w:rPr>
          <w:rFonts w:asciiTheme="majorHAnsi" w:hAnsiTheme="majorHAnsi" w:cstheme="majorHAnsi"/>
          <w:sz w:val="24"/>
          <w:szCs w:val="24"/>
        </w:rPr>
        <w:t>p. 1–23, 2002.</w:t>
      </w:r>
    </w:p>
    <w:p w14:paraId="3F36357D" w14:textId="77777777" w:rsidR="00EE3346" w:rsidRPr="007C41F7" w:rsidRDefault="00EE3346" w:rsidP="00516038">
      <w:pPr>
        <w:tabs>
          <w:tab w:val="clear" w:pos="1615"/>
        </w:tabs>
        <w:rPr>
          <w:rFonts w:asciiTheme="majorHAnsi" w:eastAsia="Times New Roman" w:hAnsiTheme="majorHAnsi" w:cstheme="majorHAnsi"/>
          <w:bCs/>
          <w:color w:val="231F20"/>
          <w:kern w:val="36"/>
          <w:sz w:val="24"/>
          <w:szCs w:val="24"/>
          <w:lang w:eastAsia="pt-BR"/>
        </w:rPr>
      </w:pPr>
      <w:r w:rsidRPr="007C41F7">
        <w:rPr>
          <w:rFonts w:asciiTheme="majorHAnsi" w:hAnsiTheme="majorHAnsi" w:cstheme="majorHAnsi"/>
          <w:sz w:val="24"/>
          <w:szCs w:val="24"/>
        </w:rPr>
        <w:t xml:space="preserve">SILVA, R.R.; PRADO, J.L. O ser pesquisador e a construção de uma revisão bibliográfica sobre STEM. </w:t>
      </w:r>
      <w:r w:rsidRPr="007C41F7">
        <w:rPr>
          <w:rFonts w:asciiTheme="majorHAnsi" w:hAnsiTheme="majorHAnsi" w:cstheme="majorHAnsi"/>
          <w:b/>
          <w:sz w:val="24"/>
          <w:szCs w:val="24"/>
        </w:rPr>
        <w:t>Anais do XIV Colóquio Internacional “Educação e Sociedade”, v. 14, n. 14</w:t>
      </w:r>
      <w:r w:rsidRPr="007C41F7">
        <w:rPr>
          <w:rFonts w:asciiTheme="majorHAnsi" w:hAnsiTheme="majorHAnsi" w:cstheme="majorHAnsi"/>
          <w:sz w:val="24"/>
          <w:szCs w:val="24"/>
        </w:rPr>
        <w:t xml:space="preserve">: p. 1-12, set. 2020. </w:t>
      </w:r>
    </w:p>
    <w:p w14:paraId="1DAED9D9" w14:textId="77777777" w:rsidR="00EE3346" w:rsidRPr="007C41F7" w:rsidRDefault="00EE3346" w:rsidP="00516038">
      <w:pPr>
        <w:tabs>
          <w:tab w:val="clear" w:pos="1615"/>
        </w:tabs>
        <w:autoSpaceDE w:val="0"/>
        <w:autoSpaceDN w:val="0"/>
        <w:adjustRightInd w:val="0"/>
        <w:rPr>
          <w:rFonts w:asciiTheme="majorHAnsi" w:hAnsiTheme="majorHAnsi" w:cstheme="majorHAnsi"/>
          <w:sz w:val="24"/>
          <w:szCs w:val="24"/>
        </w:rPr>
      </w:pPr>
      <w:r w:rsidRPr="007C41F7">
        <w:rPr>
          <w:rFonts w:asciiTheme="majorHAnsi" w:hAnsiTheme="majorHAnsi" w:cstheme="majorHAnsi"/>
          <w:sz w:val="24"/>
          <w:szCs w:val="24"/>
        </w:rPr>
        <w:t xml:space="preserve">SOMMERMAN, A. </w:t>
      </w:r>
      <w:r w:rsidRPr="007C41F7">
        <w:rPr>
          <w:rFonts w:asciiTheme="majorHAnsi" w:hAnsiTheme="majorHAnsi" w:cstheme="majorHAnsi"/>
          <w:b/>
          <w:sz w:val="24"/>
          <w:szCs w:val="24"/>
        </w:rPr>
        <w:t>Formação e Transdisciplinaridade: Uma pesquisa sobre as emergências formativas do CETRANS.</w:t>
      </w:r>
      <w:r w:rsidRPr="007C41F7">
        <w:rPr>
          <w:rFonts w:asciiTheme="majorHAnsi" w:hAnsiTheme="majorHAnsi" w:cstheme="majorHAnsi"/>
          <w:sz w:val="24"/>
          <w:szCs w:val="24"/>
        </w:rPr>
        <w:t xml:space="preserve"> Dissertação, Mestrado Internacional em Ciências da Educação da Faculdade de Ciências e Tecnologias da Universidade Nova Lisboa e do Diplôme d’Université na Université François Rabelais de Tours. 353 pp., 2003.</w:t>
      </w:r>
    </w:p>
    <w:p w14:paraId="57E820B7" w14:textId="77777777" w:rsidR="00EE3346" w:rsidRPr="007C41F7" w:rsidRDefault="00EE3346" w:rsidP="00516038">
      <w:pPr>
        <w:tabs>
          <w:tab w:val="clear" w:pos="1615"/>
          <w:tab w:val="left" w:pos="1553"/>
        </w:tabs>
        <w:ind w:right="28"/>
        <w:jc w:val="both"/>
        <w:rPr>
          <w:rFonts w:asciiTheme="majorHAnsi" w:hAnsiTheme="majorHAnsi" w:cstheme="majorHAnsi"/>
          <w:iCs/>
          <w:sz w:val="24"/>
          <w:szCs w:val="24"/>
          <w:shd w:val="clear" w:color="auto" w:fill="FFFFFF"/>
        </w:rPr>
      </w:pPr>
      <w:r w:rsidRPr="007C41F7">
        <w:rPr>
          <w:rFonts w:asciiTheme="majorHAnsi" w:hAnsiTheme="majorHAnsi" w:cstheme="majorHAnsi"/>
          <w:sz w:val="24"/>
          <w:szCs w:val="24"/>
        </w:rPr>
        <w:t xml:space="preserve">SOMMERMAN, A.; MELLO, M.F.; BARROS, V.M. </w:t>
      </w:r>
      <w:r w:rsidRPr="007C41F7">
        <w:rPr>
          <w:rFonts w:asciiTheme="majorHAnsi" w:hAnsiTheme="majorHAnsi" w:cstheme="majorHAnsi"/>
          <w:b/>
          <w:sz w:val="24"/>
          <w:szCs w:val="24"/>
        </w:rPr>
        <w:t>Mensagem de Vila Velha/Vitória</w:t>
      </w:r>
      <w:r w:rsidRPr="007C41F7">
        <w:rPr>
          <w:rFonts w:asciiTheme="majorHAnsi" w:hAnsiTheme="majorHAnsi" w:cstheme="majorHAnsi"/>
          <w:sz w:val="24"/>
          <w:szCs w:val="24"/>
        </w:rPr>
        <w:t xml:space="preserve">, II Congresso Mundial da Transdisciplinaridade, Vitória, ES, Brasil, 2005. Disponível em: </w:t>
      </w:r>
      <w:r w:rsidRPr="007C41F7">
        <w:rPr>
          <w:rFonts w:asciiTheme="majorHAnsi" w:hAnsiTheme="majorHAnsi" w:cstheme="majorHAnsi"/>
          <w:iCs/>
          <w:sz w:val="24"/>
          <w:szCs w:val="24"/>
          <w:shd w:val="clear" w:color="auto" w:fill="FFFFFF"/>
        </w:rPr>
        <w:t>http://www.ufrrj.br/leptrans/arquivos/ MENSAGEM_VILA_VELHA_VITORIA_2005.pdf. Acesso em: 29 nov. 2021.</w:t>
      </w:r>
    </w:p>
    <w:p w14:paraId="7F3BDFDF" w14:textId="77777777" w:rsidR="00EE3346" w:rsidRPr="007C41F7" w:rsidRDefault="00EE3346" w:rsidP="00516038">
      <w:pPr>
        <w:tabs>
          <w:tab w:val="clear" w:pos="1615"/>
          <w:tab w:val="left" w:pos="1553"/>
        </w:tabs>
        <w:ind w:right="28"/>
        <w:jc w:val="both"/>
        <w:rPr>
          <w:rFonts w:asciiTheme="majorHAnsi" w:hAnsiTheme="majorHAnsi" w:cstheme="majorHAnsi"/>
          <w:iCs/>
          <w:sz w:val="24"/>
          <w:szCs w:val="24"/>
          <w:shd w:val="clear" w:color="auto" w:fill="FFFFFF"/>
        </w:rPr>
      </w:pPr>
      <w:r w:rsidRPr="007C41F7">
        <w:rPr>
          <w:rFonts w:asciiTheme="majorHAnsi" w:hAnsiTheme="majorHAnsi" w:cstheme="majorHAnsi"/>
          <w:iCs/>
          <w:sz w:val="24"/>
          <w:szCs w:val="24"/>
          <w:shd w:val="clear" w:color="auto" w:fill="FFFFFF"/>
          <w:lang w:val="en-GB"/>
        </w:rPr>
        <w:t xml:space="preserve">THE, 2021. </w:t>
      </w:r>
      <w:r w:rsidRPr="007C41F7">
        <w:rPr>
          <w:rFonts w:asciiTheme="majorHAnsi" w:hAnsiTheme="majorHAnsi" w:cstheme="majorHAnsi"/>
          <w:b/>
          <w:iCs/>
          <w:sz w:val="24"/>
          <w:szCs w:val="24"/>
          <w:shd w:val="clear" w:color="auto" w:fill="FFFFFF"/>
          <w:lang w:val="en-GB"/>
        </w:rPr>
        <w:t>World University Rankings.</w:t>
      </w:r>
      <w:r w:rsidRPr="007C41F7">
        <w:rPr>
          <w:rFonts w:asciiTheme="majorHAnsi" w:hAnsiTheme="majorHAnsi" w:cstheme="majorHAnsi"/>
          <w:iCs/>
          <w:sz w:val="24"/>
          <w:szCs w:val="24"/>
          <w:shd w:val="clear" w:color="auto" w:fill="FFFFFF"/>
          <w:lang w:val="en-GB"/>
        </w:rPr>
        <w:t xml:space="preserve"> Disponível em: https://www.timeshighereducation.com/world-university-rankings. </w:t>
      </w:r>
      <w:r w:rsidRPr="007C41F7">
        <w:rPr>
          <w:rFonts w:asciiTheme="majorHAnsi" w:hAnsiTheme="majorHAnsi" w:cstheme="majorHAnsi"/>
          <w:iCs/>
          <w:sz w:val="24"/>
          <w:szCs w:val="24"/>
          <w:shd w:val="clear" w:color="auto" w:fill="FFFFFF"/>
        </w:rPr>
        <w:t>Acesso em: 27 nov. 2021.</w:t>
      </w:r>
    </w:p>
    <w:p w14:paraId="37087495" w14:textId="77777777" w:rsidR="00EE3346" w:rsidRPr="007C41F7" w:rsidRDefault="00EE3346" w:rsidP="00516038">
      <w:pPr>
        <w:tabs>
          <w:tab w:val="clear" w:pos="1615"/>
        </w:tabs>
        <w:rPr>
          <w:rFonts w:asciiTheme="majorHAnsi" w:hAnsiTheme="majorHAnsi" w:cstheme="majorHAnsi"/>
          <w:sz w:val="24"/>
          <w:szCs w:val="24"/>
        </w:rPr>
      </w:pPr>
      <w:r w:rsidRPr="007C41F7">
        <w:rPr>
          <w:rFonts w:asciiTheme="majorHAnsi" w:hAnsiTheme="majorHAnsi" w:cstheme="majorHAnsi"/>
          <w:sz w:val="24"/>
          <w:szCs w:val="24"/>
        </w:rPr>
        <w:t xml:space="preserve">UnDF – Universidade do Distrito Federal. </w:t>
      </w:r>
      <w:r w:rsidRPr="007C41F7">
        <w:rPr>
          <w:rFonts w:asciiTheme="majorHAnsi" w:hAnsiTheme="majorHAnsi" w:cstheme="majorHAnsi"/>
          <w:b/>
          <w:sz w:val="24"/>
          <w:szCs w:val="24"/>
        </w:rPr>
        <w:t>Proposta de Estatuto.</w:t>
      </w:r>
      <w:r w:rsidRPr="007C41F7">
        <w:rPr>
          <w:rFonts w:asciiTheme="majorHAnsi" w:hAnsiTheme="majorHAnsi" w:cstheme="majorHAnsi"/>
          <w:sz w:val="24"/>
          <w:szCs w:val="24"/>
        </w:rPr>
        <w:t xml:space="preserve"> Cebraspe, 2021.</w:t>
      </w:r>
    </w:p>
    <w:p w14:paraId="5A6D5AA9" w14:textId="77777777" w:rsidR="00EE3346" w:rsidRPr="007C41F7" w:rsidRDefault="00EE3346" w:rsidP="00516038">
      <w:pPr>
        <w:tabs>
          <w:tab w:val="clear" w:pos="1615"/>
        </w:tabs>
        <w:rPr>
          <w:rFonts w:asciiTheme="majorHAnsi" w:hAnsiTheme="majorHAnsi" w:cstheme="majorHAnsi"/>
          <w:sz w:val="24"/>
          <w:szCs w:val="24"/>
          <w:lang w:val="en-GB"/>
        </w:rPr>
      </w:pPr>
      <w:r w:rsidRPr="007C41F7">
        <w:rPr>
          <w:rFonts w:asciiTheme="majorHAnsi" w:hAnsiTheme="majorHAnsi" w:cstheme="majorHAnsi"/>
          <w:sz w:val="24"/>
          <w:szCs w:val="24"/>
        </w:rPr>
        <w:t xml:space="preserve">UNICAMP - Universidade Estadual de Campinas, 2021. </w:t>
      </w:r>
      <w:r w:rsidRPr="007C41F7">
        <w:rPr>
          <w:rFonts w:asciiTheme="majorHAnsi" w:hAnsiTheme="majorHAnsi" w:cstheme="majorHAnsi"/>
          <w:b/>
          <w:sz w:val="24"/>
          <w:szCs w:val="24"/>
        </w:rPr>
        <w:t>Regimento geral da graduação.</w:t>
      </w:r>
      <w:r w:rsidRPr="007C41F7">
        <w:rPr>
          <w:rFonts w:asciiTheme="majorHAnsi" w:hAnsiTheme="majorHAnsi" w:cstheme="majorHAnsi"/>
          <w:sz w:val="24"/>
          <w:szCs w:val="24"/>
        </w:rPr>
        <w:t xml:space="preserve"> Disponível em: https://www.dac.unicamp.br/portal/graduacao/regimento-geral.  </w:t>
      </w:r>
      <w:r w:rsidRPr="007C41F7">
        <w:rPr>
          <w:rFonts w:asciiTheme="majorHAnsi" w:hAnsiTheme="majorHAnsi" w:cstheme="majorHAnsi"/>
          <w:sz w:val="24"/>
          <w:szCs w:val="24"/>
          <w:lang w:val="en-GB"/>
        </w:rPr>
        <w:t>Acesso em: 25 nov. 2021.</w:t>
      </w:r>
    </w:p>
    <w:p w14:paraId="303BD9C4" w14:textId="77777777" w:rsidR="00EE3346" w:rsidRPr="007C41F7" w:rsidRDefault="00EE3346" w:rsidP="00516038">
      <w:pPr>
        <w:tabs>
          <w:tab w:val="clear" w:pos="1615"/>
        </w:tabs>
        <w:autoSpaceDE w:val="0"/>
        <w:autoSpaceDN w:val="0"/>
        <w:adjustRightInd w:val="0"/>
        <w:spacing w:after="0"/>
        <w:rPr>
          <w:rFonts w:asciiTheme="majorHAnsi" w:hAnsiTheme="majorHAnsi" w:cstheme="majorHAnsi"/>
          <w:color w:val="FF0000"/>
          <w:sz w:val="24"/>
          <w:szCs w:val="24"/>
          <w:lang w:val="en-GB"/>
        </w:rPr>
      </w:pPr>
      <w:r w:rsidRPr="007C41F7">
        <w:rPr>
          <w:rFonts w:asciiTheme="majorHAnsi" w:hAnsiTheme="majorHAnsi" w:cstheme="majorHAnsi"/>
          <w:sz w:val="24"/>
          <w:szCs w:val="24"/>
          <w:lang w:val="en-GB"/>
        </w:rPr>
        <w:t xml:space="preserve">ZEIDLER, D.L. STEM education: A deficit framework for the twenty first century? A sociocultural socioscientific response. </w:t>
      </w:r>
      <w:r w:rsidRPr="007C41F7">
        <w:rPr>
          <w:rFonts w:asciiTheme="majorHAnsi" w:hAnsiTheme="majorHAnsi" w:cstheme="majorHAnsi"/>
          <w:b/>
          <w:bCs/>
          <w:sz w:val="24"/>
          <w:szCs w:val="24"/>
          <w:lang w:val="en-GB"/>
        </w:rPr>
        <w:t>Cultural Studies of Science Education</w:t>
      </w:r>
      <w:r w:rsidRPr="007C41F7">
        <w:rPr>
          <w:rFonts w:asciiTheme="majorHAnsi" w:hAnsiTheme="majorHAnsi" w:cstheme="majorHAnsi"/>
          <w:b/>
          <w:sz w:val="24"/>
          <w:szCs w:val="24"/>
          <w:lang w:val="en-GB"/>
        </w:rPr>
        <w:t>, v. 11, n. 1:</w:t>
      </w:r>
      <w:r w:rsidRPr="007C41F7">
        <w:rPr>
          <w:rFonts w:asciiTheme="majorHAnsi" w:hAnsiTheme="majorHAnsi" w:cstheme="majorHAnsi"/>
          <w:sz w:val="24"/>
          <w:szCs w:val="24"/>
          <w:lang w:val="en-GB"/>
        </w:rPr>
        <w:t xml:space="preserve"> p. 11–26, 2016.</w:t>
      </w:r>
    </w:p>
    <w:p w14:paraId="031DFBEA" w14:textId="77777777" w:rsidR="00EE3346" w:rsidRPr="00516038" w:rsidRDefault="00EE3346" w:rsidP="00516038">
      <w:pPr>
        <w:tabs>
          <w:tab w:val="clear" w:pos="1615"/>
        </w:tabs>
        <w:spacing w:line="259" w:lineRule="auto"/>
        <w:rPr>
          <w:rFonts w:asciiTheme="majorHAnsi" w:hAnsiTheme="majorHAnsi" w:cstheme="majorHAnsi"/>
          <w:b/>
          <w:color w:val="0C4A87" w:themeColor="accent2"/>
          <w:sz w:val="44"/>
          <w:szCs w:val="44"/>
          <w:lang w:val="en-GB"/>
        </w:rPr>
      </w:pPr>
      <w:r w:rsidRPr="00516038">
        <w:rPr>
          <w:rFonts w:asciiTheme="majorHAnsi" w:hAnsiTheme="majorHAnsi" w:cstheme="majorHAnsi"/>
          <w:lang w:val="en-GB"/>
        </w:rPr>
        <w:br w:type="page"/>
      </w:r>
    </w:p>
    <w:p w14:paraId="3055ECF7" w14:textId="77777777" w:rsidR="00EE3346" w:rsidRPr="007C41F7" w:rsidRDefault="00EE3346" w:rsidP="007C41F7">
      <w:pPr>
        <w:pStyle w:val="Ttulo1"/>
        <w:numPr>
          <w:ilvl w:val="0"/>
          <w:numId w:val="1"/>
        </w:numPr>
        <w:tabs>
          <w:tab w:val="clear" w:pos="1615"/>
        </w:tabs>
        <w:spacing w:before="0" w:after="0" w:line="360" w:lineRule="auto"/>
        <w:ind w:left="432"/>
        <w:rPr>
          <w:rFonts w:asciiTheme="majorHAnsi" w:hAnsiTheme="majorHAnsi" w:cstheme="majorHAnsi"/>
          <w:color w:val="4875BD"/>
        </w:rPr>
      </w:pPr>
      <w:bookmarkStart w:id="50" w:name="_Toc89878049"/>
      <w:bookmarkStart w:id="51" w:name="_Toc102134984"/>
      <w:r w:rsidRPr="007C41F7">
        <w:rPr>
          <w:rFonts w:asciiTheme="majorHAnsi" w:hAnsiTheme="majorHAnsi" w:cstheme="majorHAnsi"/>
          <w:color w:val="4875BD"/>
        </w:rPr>
        <w:t>MÉTODOS, TÉCNICAS E METODOLOGIAS ATIVAS DE ENSINO</w:t>
      </w:r>
      <w:bookmarkEnd w:id="50"/>
      <w:bookmarkEnd w:id="51"/>
    </w:p>
    <w:p w14:paraId="5F5344C1" w14:textId="77777777" w:rsidR="007C41F7" w:rsidRDefault="007C41F7" w:rsidP="007C41F7">
      <w:pPr>
        <w:tabs>
          <w:tab w:val="clear" w:pos="1615"/>
        </w:tabs>
        <w:spacing w:line="360" w:lineRule="auto"/>
        <w:ind w:firstLine="709"/>
        <w:jc w:val="both"/>
        <w:rPr>
          <w:rFonts w:asciiTheme="majorHAnsi" w:hAnsiTheme="majorHAnsi" w:cstheme="majorHAnsi"/>
          <w:sz w:val="24"/>
          <w:szCs w:val="24"/>
        </w:rPr>
      </w:pPr>
    </w:p>
    <w:p w14:paraId="6B7098F8" w14:textId="23D28C0B" w:rsidR="00EE3346" w:rsidRPr="007C41F7"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 xml:space="preserve">Considerando o exposto nos dois capítulos anteriores, alguns cuidados devem ser tomados para que os problemas apontados não sejam replicados ou até aumentados na organização pedagógica de instituições de ensino superior. </w:t>
      </w:r>
    </w:p>
    <w:p w14:paraId="59A95FBF" w14:textId="12A7CE48" w:rsidR="00EE3346" w:rsidRPr="007C41F7"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Assim a responsabilidade social que deve ser a base da ação de uma instituição, especialmente pública, vai impor uma série de ações para tornar o processo seletivo para ingresso e permanência dos estudantes, que não passa apenas pelas suas condições, mas também pela organização da gestão da escola e a atuação dos docentes na condução do processo de aprendizagem. Assim, devem ser consideradas as ações que levem a um maior pertencimento e integração do estudante na instituição e na vivência que terá para a apropriação do ferramental teórico e prático ligado à sua formação, inclusive enquanto cidadão, além da vivência sociocultural que deverá permear as demais atividades, criando-se um círculo virtuoso para práticas artístico-culturais e de cuidados consigo mesmo.</w:t>
      </w:r>
    </w:p>
    <w:p w14:paraId="51CB13C1" w14:textId="4AA16504" w:rsidR="00EE3346" w:rsidRPr="007C41F7"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A formação deverá abranger as ações de equacionamento, de resolução de problemas e de apropriação metodológica da área, permitindo ao egresso que o conhecimento e as competências adquiridos sejam mobilizados para diferentes situações pelas quais deverá passar após o término de sua formação universitária. Além disso, deverá ser garantida uma formação humanista que permita uma atuação ética, socialmente responsável, em prol da cidadania, da sustentabilidade e da paz, além do desenvolvimento de competências para realizar escolhas coerentes com esses princípios.</w:t>
      </w:r>
    </w:p>
    <w:p w14:paraId="76C1A621" w14:textId="4827B3A9" w:rsidR="00EE3346"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É nesse contexto que as metodologias utilizadas terão papel essencial e, por isso, suas diferentes formas e expressões serão abordadas rapidamente no presente capítulo.</w:t>
      </w:r>
    </w:p>
    <w:p w14:paraId="36242600" w14:textId="18819A40" w:rsidR="007C41F7" w:rsidRDefault="007C41F7" w:rsidP="007C41F7">
      <w:pPr>
        <w:tabs>
          <w:tab w:val="clear" w:pos="1615"/>
        </w:tabs>
        <w:spacing w:line="360" w:lineRule="auto"/>
        <w:ind w:firstLine="709"/>
        <w:jc w:val="both"/>
        <w:rPr>
          <w:rFonts w:asciiTheme="majorHAnsi" w:hAnsiTheme="majorHAnsi" w:cstheme="majorHAnsi"/>
          <w:sz w:val="24"/>
          <w:szCs w:val="24"/>
        </w:rPr>
      </w:pPr>
    </w:p>
    <w:p w14:paraId="3F073F93" w14:textId="77777777" w:rsidR="007C41F7" w:rsidRPr="007C41F7" w:rsidRDefault="007C41F7" w:rsidP="007C41F7">
      <w:pPr>
        <w:tabs>
          <w:tab w:val="clear" w:pos="1615"/>
        </w:tabs>
        <w:spacing w:line="360" w:lineRule="auto"/>
        <w:ind w:firstLine="709"/>
        <w:jc w:val="both"/>
        <w:rPr>
          <w:rFonts w:asciiTheme="majorHAnsi" w:hAnsiTheme="majorHAnsi" w:cstheme="majorHAnsi"/>
          <w:sz w:val="24"/>
          <w:szCs w:val="24"/>
        </w:rPr>
      </w:pPr>
    </w:p>
    <w:p w14:paraId="7E0F4A14" w14:textId="77777777" w:rsidR="00EE3346" w:rsidRPr="00516038" w:rsidRDefault="00EE3346" w:rsidP="007C41F7">
      <w:pPr>
        <w:pStyle w:val="Ttulo2"/>
        <w:numPr>
          <w:ilvl w:val="1"/>
          <w:numId w:val="1"/>
        </w:numPr>
        <w:tabs>
          <w:tab w:val="clear" w:pos="1615"/>
        </w:tabs>
        <w:spacing w:before="0" w:after="0" w:line="360" w:lineRule="auto"/>
        <w:ind w:left="993"/>
        <w:rPr>
          <w:rFonts w:asciiTheme="majorHAnsi" w:hAnsiTheme="majorHAnsi" w:cstheme="majorHAnsi"/>
        </w:rPr>
      </w:pPr>
      <w:bookmarkStart w:id="52" w:name="_Toc89878050"/>
      <w:bookmarkStart w:id="53" w:name="_Toc102134985"/>
      <w:r w:rsidRPr="00516038">
        <w:rPr>
          <w:rFonts w:asciiTheme="majorHAnsi" w:hAnsiTheme="majorHAnsi" w:cstheme="majorHAnsi"/>
        </w:rPr>
        <w:t>SURGIMENTO E CARACTERÍSTICAS DAS METODOLOGIAS ATIVAS DE APRENDIZAGEM</w:t>
      </w:r>
      <w:bookmarkEnd w:id="52"/>
      <w:r w:rsidRPr="00516038">
        <w:rPr>
          <w:rFonts w:asciiTheme="majorHAnsi" w:hAnsiTheme="majorHAnsi" w:cstheme="majorHAnsi"/>
        </w:rPr>
        <w:t xml:space="preserve"> (MAA)</w:t>
      </w:r>
      <w:bookmarkEnd w:id="53"/>
    </w:p>
    <w:p w14:paraId="2B99D87A" w14:textId="08EBC7B5" w:rsidR="00EE3346" w:rsidRPr="007C41F7"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A crescente necessidade de abordagens mais inter e transdisciplinares a partir da segunda metade do século XX exigiu uma mudança no paradigma da educação: da “pedagogia do ensino” para a “pedagogia da aprendizagem”. Sem dúvida, da pedagogia do ensino, preocupada com o ato de ensinar ou lecionar reservado aos professores, especialmente no ensino superior, se passou a privilegiar uma pedagogia da aprendizagem, voltada para uma maior importância do aluno e tornando o processo não mais uma via de mão dupla, de ensino-aprendizagem, mas uma via de mão única: da aprendizagem. Para Sommerman (2003), apesar do termo “pedagogia da aprendizagem” ter sido utilizado para se contrapor à “pedagogia do ensino”, ainda em 1959, por Roger Cousinet, foi apenas no final dos anos 1980 que teve a sua importância e apropriação pelos sistemas educacionais, como ocorreu na França, por exemplo.</w:t>
      </w:r>
    </w:p>
    <w:p w14:paraId="481299DC" w14:textId="77777777" w:rsidR="00EE3346" w:rsidRPr="007C41F7" w:rsidRDefault="00EE3346" w:rsidP="007C41F7">
      <w:pPr>
        <w:pStyle w:val="Default"/>
        <w:spacing w:after="160" w:line="360" w:lineRule="auto"/>
        <w:ind w:firstLine="709"/>
        <w:jc w:val="both"/>
        <w:rPr>
          <w:rFonts w:asciiTheme="majorHAnsi" w:hAnsiTheme="majorHAnsi" w:cstheme="majorHAnsi"/>
        </w:rPr>
      </w:pPr>
      <w:r w:rsidRPr="007C41F7">
        <w:rPr>
          <w:rFonts w:asciiTheme="majorHAnsi" w:hAnsiTheme="majorHAnsi" w:cstheme="majorHAnsi"/>
        </w:rPr>
        <w:t>Outro aspecto importante nas relações de ensino nas escolas foi abordado pelo triângulo pedagógico proposto por Jean Houssaye desde os anos 1980 (HOUSSAYE, 2014). Para o autor, os três envolvidos nessas relações podem ocupar o vértice de um triângulo: os professores, os alunos e o conhecimento. Entretanto, sempre haverá uma participação ativa de apenas dois deles: assim, se a intenção é ensinar, estarão mais ativos os vértices onde se encontram os professores e o conhecimento, cabendo um papel “morto” ou “passivo” para os alunos. Em uma relação pedagógica onde se valorizam os processos relacionais e formativos, os vértices ativos serão os ocupados pelos professores e pelos alunos, ficando o conhecimento no papel passivo. Finalmente, se o que se pretende é a aprendizagem, com a apropriação do conhecimento pelo aluno, serão esses os dois vértices ativos e o papel passivo será do professor. Nesse caso, segundo Sommerman (2003), os métodos da autoestruturação do saber e da interestruturação centram a relação do aluno com a sociedade e privilegiam a socialização do sujeito e a geração do conhecimento, conforme preceitos especialmente defendidos por Freinet e Freire no sentido de que a educação tem o educando como sujeito de suas aprendizagens e como cidadão do mundo enquanto cabe ao professor participar como um mediador desse processo (GUMIERO e ARAÚJO, 2019).</w:t>
      </w:r>
    </w:p>
    <w:p w14:paraId="0CA56916" w14:textId="77777777" w:rsidR="00EE3346" w:rsidRPr="007C41F7" w:rsidRDefault="00EE3346" w:rsidP="007C41F7">
      <w:pPr>
        <w:pStyle w:val="Default"/>
        <w:spacing w:after="160" w:line="360" w:lineRule="auto"/>
        <w:ind w:firstLine="709"/>
        <w:jc w:val="both"/>
        <w:rPr>
          <w:rFonts w:asciiTheme="majorHAnsi" w:hAnsiTheme="majorHAnsi" w:cstheme="majorHAnsi"/>
        </w:rPr>
      </w:pPr>
      <w:r w:rsidRPr="007C41F7">
        <w:rPr>
          <w:rFonts w:asciiTheme="majorHAnsi" w:hAnsiTheme="majorHAnsi" w:cstheme="majorHAnsi"/>
        </w:rPr>
        <w:t>Segundo Nóvoa (1998), é importante perceber que, apesar de sempre haver um vértice menos considerado no triângulo de Houssaye, ele não desaparece; acaba sendo um “terceiro excluído” por não poder participar ativamente do processo considerado. Mas essa exclusão é muito mais citada para chamar a atenção dos riscos que representaria uma efetiva exclusão do que propriamente uma passividade inoperante e sem nenhuma importância. Também chama a atenção que há outras interações triangulares nos processos de aprendizagem, que podem envolver professores, o estado e os pais dos estudantes, ou os professores, a escola e os pais dos estudantes, em relações que também implicam em uma maior passividade de um dos envolvidos. O autor mostra sua preocupação frente à importância do papel do professor e alerta para os perigos de reducionismo de uma educação em que ocorra uma efetiva exclusão de professores do processo.</w:t>
      </w:r>
    </w:p>
    <w:p w14:paraId="40BD3481" w14:textId="7B64A2EF" w:rsidR="00EE3346"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Finalmente, Sommerman (2003) discute as quatro correntes pedagógicas enunciadas por Altet (1998) em relação ao triângulo pedagógico de Houssaye: a corrente magistro-centrista, centrada no professor e voltada para a transmissão do conhecimento, se enquadra perfeitamente nas relações em que professor e conhecimento ocupam os vértices ativos do triângulo, ou seja: objetivo de ensinar, ou a pedagogia do ensino, que considera a aprendizagem como um condicionamento, com suporte nas teorias behavioristas; além dela, a corrente tecno-centrista também se concentra no mesmo lado do triângulo, já que procura simplesmente condicionar o aluno à resolução técnica dos problemas de uma sociedade industrializada; na outra concepção, puero-centrista (centrada no aluno), o apoio vem das ciências da cognição e nas teorias construtivistas e interacionistas, em oposição à corrente anterior e com a finalidade de desenvolver a formação e o desenvolvimento do aluno como pessoa, o que, no triângulo, representa a situação em que professores e alunos ocupam os vértices ativos ou mesmo aquela em que aluno e conhecimento são mediados pelo professor para o aprendizado. Para Sommerman:</w:t>
      </w:r>
    </w:p>
    <w:p w14:paraId="5ECBB0B8" w14:textId="77777777" w:rsidR="007C41F7" w:rsidRPr="007C41F7" w:rsidRDefault="007C41F7" w:rsidP="007C41F7">
      <w:pPr>
        <w:tabs>
          <w:tab w:val="clear" w:pos="1615"/>
        </w:tabs>
        <w:spacing w:line="360" w:lineRule="auto"/>
        <w:ind w:firstLine="709"/>
        <w:jc w:val="both"/>
        <w:rPr>
          <w:rFonts w:asciiTheme="majorHAnsi" w:hAnsiTheme="majorHAnsi" w:cstheme="majorHAnsi"/>
          <w:sz w:val="24"/>
          <w:szCs w:val="24"/>
        </w:rPr>
      </w:pPr>
    </w:p>
    <w:p w14:paraId="35940597" w14:textId="0178440B" w:rsidR="00EE3346" w:rsidRDefault="00EE3346" w:rsidP="00516038">
      <w:pPr>
        <w:tabs>
          <w:tab w:val="clear" w:pos="1615"/>
        </w:tabs>
        <w:ind w:left="2268" w:right="849"/>
        <w:jc w:val="both"/>
        <w:rPr>
          <w:rFonts w:asciiTheme="majorHAnsi" w:hAnsiTheme="majorHAnsi" w:cstheme="majorHAnsi"/>
          <w:sz w:val="20"/>
          <w:szCs w:val="20"/>
        </w:rPr>
      </w:pPr>
      <w:r w:rsidRPr="00516038">
        <w:rPr>
          <w:rFonts w:asciiTheme="majorHAnsi" w:hAnsiTheme="majorHAnsi" w:cstheme="majorHAnsi"/>
          <w:sz w:val="20"/>
          <w:szCs w:val="20"/>
        </w:rPr>
        <w:t>Sendo a formação transdisciplinar inclusiva dos diferentes níveis do sujeito e dos diferentes níveis de realidade, o processo pedagógico deve incluir os três polos do triângulo pedagógico proposto por Houssaye, numa visão sistêmica, dialética e trialética entre os três polos, onde os polos Professores e Alunos devem ser considerados em seus diferentes níveis ontológicos (corporal, emocional, psico-anímico, espiritual) e em seus diferentes níveis perceptivos-cognitivos (sensível, racional, intuitivo, imaginativo, intelectivo, contemplativo), e o polo do saber deve ser considerado em seus diferentes aspectos: saber saber (disciplinar), saber fazer (competências e multidisciplinar) e saber ser (transdisciplinar) e em seus diferentes campos: o saber das disciplinas, o saber das ciências exatas, o saber das ciências humanas, o saber das Artes, o saber das práticas corporais etc. (SOMMERMAN, 2003, p. 6).</w:t>
      </w:r>
    </w:p>
    <w:p w14:paraId="7DD700A8" w14:textId="77777777" w:rsidR="007C41F7" w:rsidRPr="00516038" w:rsidRDefault="007C41F7" w:rsidP="00516038">
      <w:pPr>
        <w:tabs>
          <w:tab w:val="clear" w:pos="1615"/>
        </w:tabs>
        <w:ind w:left="2268" w:right="849"/>
        <w:jc w:val="both"/>
        <w:rPr>
          <w:rFonts w:asciiTheme="majorHAnsi" w:hAnsiTheme="majorHAnsi" w:cstheme="majorHAnsi"/>
          <w:sz w:val="20"/>
          <w:szCs w:val="20"/>
        </w:rPr>
      </w:pPr>
    </w:p>
    <w:p w14:paraId="0AA74BB3" w14:textId="6DB2F18F" w:rsidR="00EE3346" w:rsidRPr="007C41F7"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É importante salientar que o fato de se visar ao aprendizado e ao crescimento formativo do aluno, o que o coloca no centro do aprendizado, também faz com que ele deva desenvolver um esforço adicional para esse crescimento e aprendizagem, o que caracteriza, de forma geral, o que se passou a denominar de “forma ativa de aprendizado”, em contraposição à postura passiva e disciplinar que o aluno deve ter nas atividades em que os professores se encarregam de lecionar os conteúdos.</w:t>
      </w:r>
    </w:p>
    <w:p w14:paraId="4F0FBD56" w14:textId="04E9FC48" w:rsidR="00EE3346" w:rsidRPr="007C41F7"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 xml:space="preserve">Essa nova postura, segundo Altet (1998), define a pedagogia como “o campo da transformação da informação em saber pela mediação do professor, pela comunicação, pela ação interativa numa situação educativa dada”. Com isso, os resultados de curto prazo acabam cedendo espaço para aqueles de prazo maior, com a conscientização do aluno sobre a melhor forma com que ele lida com o conhecimento e realiza seu aprendizado, estimulado pelas situações de aprendizagem criadas pelo professor. </w:t>
      </w:r>
    </w:p>
    <w:p w14:paraId="29DF65A2" w14:textId="41BCF07A" w:rsidR="00EE3346"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 xml:space="preserve">Segundo o Professor José Moran: </w:t>
      </w:r>
    </w:p>
    <w:p w14:paraId="08625263" w14:textId="77777777" w:rsidR="007C41F7" w:rsidRPr="007C41F7" w:rsidRDefault="007C41F7" w:rsidP="007C41F7">
      <w:pPr>
        <w:tabs>
          <w:tab w:val="clear" w:pos="1615"/>
        </w:tabs>
        <w:spacing w:line="360" w:lineRule="auto"/>
        <w:ind w:firstLine="709"/>
        <w:jc w:val="both"/>
        <w:rPr>
          <w:rFonts w:asciiTheme="majorHAnsi" w:hAnsiTheme="majorHAnsi" w:cstheme="majorHAnsi"/>
          <w:sz w:val="24"/>
          <w:szCs w:val="24"/>
        </w:rPr>
      </w:pPr>
    </w:p>
    <w:p w14:paraId="7A4AC613" w14:textId="3EFF602E" w:rsidR="00EE3346" w:rsidRDefault="00EE3346" w:rsidP="00516038">
      <w:pPr>
        <w:tabs>
          <w:tab w:val="clear" w:pos="1615"/>
        </w:tabs>
        <w:ind w:left="2268" w:right="849"/>
        <w:jc w:val="both"/>
        <w:rPr>
          <w:rFonts w:asciiTheme="majorHAnsi" w:hAnsiTheme="majorHAnsi" w:cstheme="majorHAnsi"/>
          <w:sz w:val="20"/>
          <w:szCs w:val="20"/>
        </w:rPr>
      </w:pPr>
      <w:r w:rsidRPr="00516038">
        <w:rPr>
          <w:rFonts w:asciiTheme="majorHAnsi" w:hAnsiTheme="majorHAnsi" w:cstheme="majorHAnsi"/>
          <w:sz w:val="20"/>
          <w:szCs w:val="20"/>
          <w:lang w:val="en-GB"/>
        </w:rPr>
        <w:t xml:space="preserve">Dewey (1950), Freire (1996), Ausubel et al. </w:t>
      </w:r>
      <w:r w:rsidRPr="00516038">
        <w:rPr>
          <w:rFonts w:asciiTheme="majorHAnsi" w:hAnsiTheme="majorHAnsi" w:cstheme="majorHAnsi"/>
          <w:sz w:val="20"/>
          <w:szCs w:val="20"/>
        </w:rPr>
        <w:t>(1980), Rogers (1973), Piaget (2006), Vygotsky (1998) e Bruner (1976), entre tantos outros e de forma diferente, têm mostrado como cada pessoa (criança ou adulto) aprende de forma ativa, a partir do contexto em que se encontra, do que lhe é significativo, relevante e próximo ao nível de competências que possui. Todos esses autores questionam também o modelo escolar de transmissão e avaliação uniforme de informação para todos os alunos. (...). A aprendizagem mais profunda requer espaços de prática frequentes (aprender fazendo) e de ambientes ricos em oportunidades. Por isso são importantes o estímulo multissensorial e a valorização dos conhecimentos prévios dos estudantes para ‘ancorar’ os novos conhecimentos.” (MORAN, p. 2-3, 2018).</w:t>
      </w:r>
    </w:p>
    <w:p w14:paraId="661991BC" w14:textId="77777777" w:rsidR="007C41F7" w:rsidRPr="00516038" w:rsidRDefault="007C41F7" w:rsidP="00516038">
      <w:pPr>
        <w:tabs>
          <w:tab w:val="clear" w:pos="1615"/>
        </w:tabs>
        <w:ind w:left="2268" w:right="849"/>
        <w:jc w:val="both"/>
        <w:rPr>
          <w:rFonts w:asciiTheme="majorHAnsi" w:hAnsiTheme="majorHAnsi" w:cstheme="majorHAnsi"/>
          <w:sz w:val="20"/>
          <w:szCs w:val="20"/>
        </w:rPr>
      </w:pPr>
    </w:p>
    <w:p w14:paraId="219DB905" w14:textId="1F7FF70D" w:rsidR="00EE3346" w:rsidRPr="007C41F7"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 xml:space="preserve">O maior protagonismo do aluno na construção de seu próprio conhecimento, utilizado por Sócrates a partir do questionamento dos saberes de cada discípulo (ironia) para gerar a reconstrução de significados e a apropriação de novos conhecimentos (maiêutica), pode ser considerado uma metodologia ativa de aprendizagem. O assunto sempre permeou o processo escolar e Comenius, ainda no século XVII, levantou, em sua Didática Magna, uma série de características da aprendizagem que levaram à possibilidade de ampliação da abrangência da escola e sua estruturação de modo a respeitar mais a capacidade dos alunos em aprender. Quase 200 anos depois, o movimento da Escola Nova nos países baixos também levou à discussão de uma didática mais laica, científica e voltada para a aprendizagem, o que contribuiu para que os contatos de nosso então representante no Tribunal de Haia passasse a abordar a temática em seus pareceres na câmara dos deputados e também inspirou diferentes intelectuais a redigirem um Manifesto, conhecido como Manifesto dos Pioneiros da Educação Nova, em 1932 e que contribuiu para que a Constituição de 1934 incorporasse conceitos mais modernos sobre a estruturação da escola e sua independência com relação à Igreja e à valorização cientifica, infelizmente abortados pelo Estado Novo e pela Constituição de 1937. Apesar disso, com retomada em 1946, a educação no Brasil e no mundo teve um importante reforço conceitual e prático que gerou a mudança do paradigma do ensino para o da aprendizagem, expresso em diferentes momentos como se discutirá adiante e que levou ao surgimento dos estudos em que a participação dos estudantes passou a ser primordial. Essa concepção foi reforçada com o surgimento de cursos superiores de Medicina totalmente organizados a partir da resolução de problemas e o surgimento de concepções mais inter e transdisciplinares nas organizações curriculares como se discutiu no capítulo anterior e está sintetizada na Figura 3.1. </w:t>
      </w:r>
    </w:p>
    <w:p w14:paraId="01237353" w14:textId="77777777" w:rsidR="007C41F7" w:rsidRDefault="007C41F7" w:rsidP="007C41F7">
      <w:pPr>
        <w:tabs>
          <w:tab w:val="clear" w:pos="1615"/>
        </w:tabs>
        <w:rPr>
          <w:rFonts w:asciiTheme="majorHAnsi" w:hAnsiTheme="majorHAnsi" w:cstheme="majorHAnsi"/>
          <w:sz w:val="20"/>
        </w:rPr>
      </w:pPr>
    </w:p>
    <w:p w14:paraId="3ACFC0DF" w14:textId="048BC579" w:rsidR="00EE3346" w:rsidRPr="00516038" w:rsidRDefault="00EE3346" w:rsidP="007C41F7">
      <w:pPr>
        <w:tabs>
          <w:tab w:val="clear" w:pos="1615"/>
        </w:tabs>
        <w:rPr>
          <w:rFonts w:asciiTheme="majorHAnsi" w:hAnsiTheme="majorHAnsi" w:cstheme="majorHAnsi"/>
          <w:sz w:val="20"/>
        </w:rPr>
      </w:pPr>
      <w:r w:rsidRPr="00516038">
        <w:rPr>
          <w:rFonts w:asciiTheme="majorHAnsi" w:hAnsiTheme="majorHAnsi" w:cstheme="majorHAnsi"/>
          <w:sz w:val="20"/>
        </w:rPr>
        <w:t>Figura 3.1. Linha do tempo da utilização de metodologias ativas de aprendizagem.</w:t>
      </w:r>
    </w:p>
    <w:p w14:paraId="4F26EC80" w14:textId="77777777" w:rsidR="00EE3346" w:rsidRPr="00516038" w:rsidRDefault="00EE3346" w:rsidP="00516038">
      <w:pPr>
        <w:tabs>
          <w:tab w:val="clear" w:pos="1615"/>
        </w:tabs>
        <w:spacing w:after="0"/>
        <w:jc w:val="center"/>
        <w:rPr>
          <w:rFonts w:asciiTheme="majorHAnsi" w:hAnsiTheme="majorHAnsi" w:cstheme="majorHAnsi"/>
        </w:rPr>
      </w:pPr>
      <w:r w:rsidRPr="00516038">
        <w:rPr>
          <w:rFonts w:asciiTheme="majorHAnsi" w:hAnsiTheme="majorHAnsi" w:cstheme="majorHAnsi"/>
          <w:noProof/>
          <w:lang w:eastAsia="pt-BR"/>
        </w:rPr>
        <w:drawing>
          <wp:inline distT="0" distB="0" distL="0" distR="0" wp14:anchorId="17F5400E" wp14:editId="36A70478">
            <wp:extent cx="6120130" cy="2349891"/>
            <wp:effectExtent l="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2349891"/>
                    </a:xfrm>
                    <a:prstGeom prst="rect">
                      <a:avLst/>
                    </a:prstGeom>
                    <a:noFill/>
                    <a:ln>
                      <a:noFill/>
                    </a:ln>
                  </pic:spPr>
                </pic:pic>
              </a:graphicData>
            </a:graphic>
          </wp:inline>
        </w:drawing>
      </w:r>
    </w:p>
    <w:p w14:paraId="234BBAE6" w14:textId="480BEBC0" w:rsidR="00EE3346" w:rsidRDefault="00EE3346" w:rsidP="007C41F7">
      <w:pPr>
        <w:tabs>
          <w:tab w:val="clear" w:pos="1615"/>
        </w:tabs>
        <w:rPr>
          <w:rFonts w:asciiTheme="majorHAnsi" w:hAnsiTheme="majorHAnsi" w:cstheme="majorHAnsi"/>
          <w:sz w:val="16"/>
        </w:rPr>
      </w:pPr>
      <w:r w:rsidRPr="00516038">
        <w:rPr>
          <w:rFonts w:asciiTheme="majorHAnsi" w:hAnsiTheme="majorHAnsi" w:cstheme="majorHAnsi"/>
          <w:sz w:val="16"/>
        </w:rPr>
        <w:t>Fonte: Cortelazzo (2020).</w:t>
      </w:r>
    </w:p>
    <w:p w14:paraId="0C60123A" w14:textId="77777777" w:rsidR="007C41F7" w:rsidRPr="00516038" w:rsidRDefault="007C41F7" w:rsidP="007C41F7">
      <w:pPr>
        <w:tabs>
          <w:tab w:val="clear" w:pos="1615"/>
        </w:tabs>
        <w:rPr>
          <w:rFonts w:asciiTheme="majorHAnsi" w:hAnsiTheme="majorHAnsi" w:cstheme="majorHAnsi"/>
          <w:sz w:val="16"/>
        </w:rPr>
      </w:pPr>
    </w:p>
    <w:p w14:paraId="2B4DDF93" w14:textId="0B357D9A" w:rsidR="00EE3346" w:rsidRPr="007C41F7"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Essas concepções foram ainda reforçadas a partir da disseminação de cursos desenvolvidos a distância, a partir dos anos 2000 no Brasil, e que provocou uma verdadeira explosão de trabalhos e de publicações científicas abordando a temática das metodologias ativas de aprendizagem (Cortelazzo, 2020).</w:t>
      </w:r>
    </w:p>
    <w:p w14:paraId="6586D1F5" w14:textId="1E202230" w:rsidR="00EE3346" w:rsidRPr="007C41F7"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 xml:space="preserve">O crescimento exponencial de trabalhos que relatam experiências com metodologias ativas tem revelado que a maior parte dos mesmos aborda aspectos gerais relativos às MAA, ou sequer explicitam o tipo de metodologia nos resumos dos artigos. No Brasil, as seis metodologias mais reportadas no Google Acadêmico a partir de 2015 foram: Aprendizagem Baseada em Problemas (PBL – </w:t>
      </w:r>
      <w:r w:rsidRPr="007C41F7">
        <w:rPr>
          <w:rFonts w:asciiTheme="majorHAnsi" w:hAnsiTheme="majorHAnsi" w:cstheme="majorHAnsi"/>
          <w:i/>
          <w:sz w:val="24"/>
          <w:szCs w:val="24"/>
        </w:rPr>
        <w:t>Problem Based Learning</w:t>
      </w:r>
      <w:r w:rsidRPr="007C41F7">
        <w:rPr>
          <w:rFonts w:asciiTheme="majorHAnsi" w:hAnsiTheme="majorHAnsi" w:cstheme="majorHAnsi"/>
          <w:sz w:val="24"/>
          <w:szCs w:val="24"/>
        </w:rPr>
        <w:t xml:space="preserve">), Aprendizagem Baseada em Projetos (PrBL – </w:t>
      </w:r>
      <w:r w:rsidRPr="007C41F7">
        <w:rPr>
          <w:rFonts w:asciiTheme="majorHAnsi" w:hAnsiTheme="majorHAnsi" w:cstheme="majorHAnsi"/>
          <w:i/>
          <w:sz w:val="24"/>
          <w:szCs w:val="24"/>
        </w:rPr>
        <w:t>Project Based Learning</w:t>
      </w:r>
      <w:r w:rsidRPr="007C41F7">
        <w:rPr>
          <w:rFonts w:asciiTheme="majorHAnsi" w:hAnsiTheme="majorHAnsi" w:cstheme="majorHAnsi"/>
          <w:sz w:val="24"/>
          <w:szCs w:val="24"/>
        </w:rPr>
        <w:t xml:space="preserve">),  jogos (G – </w:t>
      </w:r>
      <w:r w:rsidRPr="007C41F7">
        <w:rPr>
          <w:rFonts w:asciiTheme="majorHAnsi" w:hAnsiTheme="majorHAnsi" w:cstheme="majorHAnsi"/>
          <w:i/>
          <w:sz w:val="24"/>
          <w:szCs w:val="24"/>
        </w:rPr>
        <w:t>Games</w:t>
      </w:r>
      <w:r w:rsidRPr="007C41F7">
        <w:rPr>
          <w:rFonts w:asciiTheme="majorHAnsi" w:hAnsiTheme="majorHAnsi" w:cstheme="majorHAnsi"/>
          <w:sz w:val="24"/>
          <w:szCs w:val="24"/>
        </w:rPr>
        <w:t xml:space="preserve">), Instrução em pares (PI – </w:t>
      </w:r>
      <w:r w:rsidRPr="007C41F7">
        <w:rPr>
          <w:rFonts w:asciiTheme="majorHAnsi" w:hAnsiTheme="majorHAnsi" w:cstheme="majorHAnsi"/>
          <w:i/>
          <w:sz w:val="24"/>
          <w:szCs w:val="24"/>
        </w:rPr>
        <w:t>Peer Instruction</w:t>
      </w:r>
      <w:r w:rsidRPr="007C41F7">
        <w:rPr>
          <w:rFonts w:asciiTheme="majorHAnsi" w:hAnsiTheme="majorHAnsi" w:cstheme="majorHAnsi"/>
          <w:sz w:val="24"/>
          <w:szCs w:val="24"/>
        </w:rPr>
        <w:t xml:space="preserve">), Sala de aula invertida (FC – </w:t>
      </w:r>
      <w:r w:rsidRPr="007C41F7">
        <w:rPr>
          <w:rFonts w:asciiTheme="majorHAnsi" w:hAnsiTheme="majorHAnsi" w:cstheme="majorHAnsi"/>
          <w:i/>
          <w:sz w:val="24"/>
          <w:szCs w:val="24"/>
        </w:rPr>
        <w:t>Flipped Classroom</w:t>
      </w:r>
      <w:r w:rsidRPr="007C41F7">
        <w:rPr>
          <w:rFonts w:asciiTheme="majorHAnsi" w:hAnsiTheme="majorHAnsi" w:cstheme="majorHAnsi"/>
          <w:sz w:val="24"/>
          <w:szCs w:val="24"/>
        </w:rPr>
        <w:t xml:space="preserve">) e Aprendizagem baseada em equipes (TBL – </w:t>
      </w:r>
      <w:r w:rsidRPr="007C41F7">
        <w:rPr>
          <w:rFonts w:asciiTheme="majorHAnsi" w:hAnsiTheme="majorHAnsi" w:cstheme="majorHAnsi"/>
          <w:i/>
          <w:sz w:val="24"/>
          <w:szCs w:val="24"/>
        </w:rPr>
        <w:t>Team based Learning)</w:t>
      </w:r>
      <w:r w:rsidRPr="007C41F7">
        <w:rPr>
          <w:rFonts w:asciiTheme="majorHAnsi" w:hAnsiTheme="majorHAnsi" w:cstheme="majorHAnsi"/>
          <w:sz w:val="24"/>
          <w:szCs w:val="24"/>
        </w:rPr>
        <w:t>, com cerca de 500 publicações sobre PBL e entre 150 e 200 publicações de cada uma das demais metodologias encontradas em pesquisa realizada no “Google Acadêmico” em junho de 2021 (CORTELAZZO, PIVA JR. e RODRIGUES, 2021).</w:t>
      </w:r>
    </w:p>
    <w:p w14:paraId="00318FC1" w14:textId="583E7E1E" w:rsidR="00EE3346" w:rsidRPr="00516038" w:rsidRDefault="007C41F7" w:rsidP="007C41F7">
      <w:pPr>
        <w:pStyle w:val="Ttulo3"/>
        <w:numPr>
          <w:ilvl w:val="2"/>
          <w:numId w:val="1"/>
        </w:numPr>
        <w:ind w:left="709" w:hanging="709"/>
        <w:rPr>
          <w:rFonts w:asciiTheme="majorHAnsi" w:hAnsiTheme="majorHAnsi" w:cstheme="majorHAnsi"/>
        </w:rPr>
      </w:pPr>
      <w:bookmarkStart w:id="54" w:name="_Toc102134986"/>
      <w:r w:rsidRPr="00516038">
        <w:rPr>
          <w:rFonts w:asciiTheme="majorHAnsi" w:hAnsiTheme="majorHAnsi" w:cstheme="majorHAnsi"/>
        </w:rPr>
        <w:t>MAA, SALAS DE AULA, LABORATÓRIOS E ESPAÇOS DE APRENDIZAGEM</w:t>
      </w:r>
      <w:bookmarkEnd w:id="54"/>
    </w:p>
    <w:p w14:paraId="08649A3C" w14:textId="51CC497A" w:rsidR="00EE3346" w:rsidRPr="007C41F7"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 xml:space="preserve">É importante perceber que a sala de aula, apesar de ter se modernizado desde a idade média, manteve, em geral, a mesma estrutura básica que deixa os estudantes organizados em filas com maior ou menor visibilidade do centro de atenções da sala que já foi a lousa, o quadro branco, e a tela de projeção para uso do retroprojetor ao </w:t>
      </w:r>
      <w:r w:rsidRPr="007C41F7">
        <w:rPr>
          <w:rFonts w:asciiTheme="majorHAnsi" w:hAnsiTheme="majorHAnsi" w:cstheme="majorHAnsi"/>
          <w:i/>
          <w:iCs/>
          <w:sz w:val="24"/>
          <w:szCs w:val="24"/>
        </w:rPr>
        <w:t>datashow</w:t>
      </w:r>
      <w:r w:rsidRPr="007C41F7">
        <w:rPr>
          <w:rFonts w:asciiTheme="majorHAnsi" w:hAnsiTheme="majorHAnsi" w:cstheme="majorHAnsi"/>
          <w:sz w:val="24"/>
          <w:szCs w:val="24"/>
        </w:rPr>
        <w:t>, com o professor dirigindo as atividades. Modernamente, as telas de projeção são colocadas em grande parte das escolas na posição central da parede em que fica a mesa do professor e são retráteis para possibilitar o uso da lousa que acabou, em alguns casos, sendo muito prejudicada por esse novo aparato concorrente.</w:t>
      </w:r>
    </w:p>
    <w:p w14:paraId="167DAF57" w14:textId="19030730" w:rsidR="00EE3346" w:rsidRPr="007C41F7"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As carteiras escolares com mesa e cadeira unidas ou não, deram lugar às então “modernas” carteiras universitárias, que nada mais fizeram do que possibilitar a colocação de mais alunos por unidade de área ao invés de garantir um maior conforto para o estudante, muitas vezes obrigado a ficar por algumas horas em sala. Além disso, a fixação das carteiras para “facilitar” a organização e diminuir o trabalho para sua arrumação, foram (e em alguns casos ainda são) empecilhos para a flexibilidade de posicionamento dos alunos no espaço das salas.</w:t>
      </w:r>
    </w:p>
    <w:p w14:paraId="6EBC5FA8" w14:textId="243772C3" w:rsidR="00EE3346" w:rsidRPr="007C41F7"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Grandes auditórios em forma de anfiteatro, muitas vezes com capacidade para mais de uma centena de estudantes, garantiram (e garantem) a visão do professor e sua explanação, com ou sem o uso do quadro e/ou da tela de projeção. O maior uso de atividades em grupo, discussões, e mesmo a inclusão física de pessoas com dificuldade de locomoção, acabaram por questionar esse modelo tão utilizado e de certa forma considerado eficiente para as “aulas magistrais”, já que os desníveis entre as fileiras garantem que todos os expectadores consigam visualizar o espetáculo que se desenvolve no palco, ou melhor, todos os alunos consigam visualizar o professor e os eventuais recursos audiovisuais utilizados. Simultaneamente, essa disposição física também confere maior controle da disciplina pelo professor, inclusive dificultando a conversa entre alunos de filas adjacentes.</w:t>
      </w:r>
    </w:p>
    <w:p w14:paraId="4BAE906D" w14:textId="7E3A70C3" w:rsidR="00EE3346" w:rsidRPr="007C41F7"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Foi por conta dessa estrutura pouco amigável para atividades em grupo e outras em que o professor não seja o centro das atenções todo o tempo, que os espaços começaram a se adaptar a novas formas de aprendizagem, com mais estudo em grupo, mais flexibilidade na posição do mobiliário e, com isso, algumas instituições passaram a conceber modelos do que começou a ser conhecido como “espaços de aprendizagem”, em substituição às salas de aula. Inicialmente, o movimento levou à reserva de locais que funcionavam como “laboratórios” ou onde era possível desenvolver metodologias ativas e foi comum a implantação de laboratórios ou de salas para metodologias ativas de aprendizagem. Essa visão coincide com o modelo tradicional de ensino onde a teoria é ministrada pelo professor em sala e, posteriormente, os alunos se encaminham para os laboratórios de práticas, onde realizarão experimentos previamente checados, determinados e ritualizados de forma a consolidar a teoria abordada. Claro que essa visão só reforça a ideia de que as práticas são uma expressão da teoria e que sempre dão os resultados esperados o que, entretanto, não é verdadeiro no mundo real, já que é a teoria quem tenta explicar a prática.</w:t>
      </w:r>
    </w:p>
    <w:p w14:paraId="02E7867C" w14:textId="2304E573" w:rsidR="00EE3346" w:rsidRPr="007C41F7"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 xml:space="preserve">Assim, o complemento da teoria pela prática, com estudos em grupo ou outros em locais específicos, foi sendo gradativamente excluído pela flexibilização do próprio espaço da sala de aula, agora transformada em espaço de aprendizagem e onde a flexibilidade metodológica pode ser explorada, com locais em que o professor pode ser acionado em seu trabalho de orientação, mas que não é obrigatoriamente o centro espacial das atenções. Com isso, há diversificação de locais para projeção, para a conectividade, o conforto, e a disponibilização de espaços para o uso de computadores, </w:t>
      </w:r>
      <w:r w:rsidRPr="007C41F7">
        <w:rPr>
          <w:rFonts w:asciiTheme="majorHAnsi" w:hAnsiTheme="majorHAnsi" w:cstheme="majorHAnsi"/>
          <w:i/>
          <w:iCs/>
          <w:sz w:val="24"/>
          <w:szCs w:val="24"/>
        </w:rPr>
        <w:t>laptops</w:t>
      </w:r>
      <w:r w:rsidRPr="007C41F7">
        <w:rPr>
          <w:rFonts w:asciiTheme="majorHAnsi" w:hAnsiTheme="majorHAnsi" w:cstheme="majorHAnsi"/>
          <w:sz w:val="24"/>
          <w:szCs w:val="24"/>
        </w:rPr>
        <w:t xml:space="preserve"> ou celulares, de modo a realizar a aprendizagem de maneira mais participativa e ativa. Com isso, as carteiras passaram a apresentar a possibilidade de serem transformadas em locais para estudos individuais, em dupla, em grupos pequenos ou grandes, e até como um auditório para a escuta ou participação em alguma exposição oral ou palestra.</w:t>
      </w:r>
    </w:p>
    <w:p w14:paraId="071EF135" w14:textId="0DE322F4" w:rsidR="00EE3346" w:rsidRPr="007C41F7"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Muitos modelos de espaços de aprendizagem estão sendo consolidados em praticamente todas as Instituições de ensino e o movimento parece ser irreversível. Muitas vezes é iniciado com uma sala diferente que acaba sendo motivo de disputa para utilização, levando à necessidade de mais e mais estruturas semelhantes que acomodem essa forma mais dinâmica de organizar fisicamente a escola.</w:t>
      </w:r>
    </w:p>
    <w:p w14:paraId="49182D89" w14:textId="5DC0AAA1" w:rsidR="00EE3346" w:rsidRPr="007C41F7"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 xml:space="preserve">Inúmeros exemplos podem ser citados e um dos pioneiros foi o projeto </w:t>
      </w:r>
      <w:r w:rsidRPr="007C41F7">
        <w:rPr>
          <w:rFonts w:asciiTheme="majorHAnsi" w:hAnsiTheme="majorHAnsi" w:cstheme="majorHAnsi"/>
          <w:i/>
          <w:sz w:val="24"/>
          <w:szCs w:val="24"/>
        </w:rPr>
        <w:t>Learn Lab</w:t>
      </w:r>
      <w:r w:rsidRPr="007C41F7">
        <w:rPr>
          <w:rFonts w:asciiTheme="majorHAnsi" w:hAnsiTheme="majorHAnsi" w:cstheme="majorHAnsi"/>
          <w:sz w:val="24"/>
          <w:szCs w:val="24"/>
          <w:vertAlign w:val="superscript"/>
        </w:rPr>
        <w:t>TM</w:t>
      </w:r>
      <w:r w:rsidRPr="007C41F7">
        <w:rPr>
          <w:rFonts w:asciiTheme="majorHAnsi" w:hAnsiTheme="majorHAnsi" w:cstheme="majorHAnsi"/>
          <w:sz w:val="24"/>
          <w:szCs w:val="24"/>
        </w:rPr>
        <w:t xml:space="preserve"> da empresa Steelcase que ,inicialmente, atendeu à Grand Valley State University, em Michigan, de forma a garantir a flexibilidade e o uso de tecnologias para permitir a maior interação e aprendizagem e que, hoje, desenvolve projetos de espaços de aprendizagem com </w:t>
      </w:r>
      <w:r w:rsidRPr="007C41F7">
        <w:rPr>
          <w:rFonts w:asciiTheme="majorHAnsi" w:hAnsiTheme="majorHAnsi" w:cstheme="majorHAnsi"/>
          <w:i/>
          <w:iCs/>
          <w:sz w:val="24"/>
          <w:szCs w:val="24"/>
        </w:rPr>
        <w:t>layouts</w:t>
      </w:r>
      <w:r w:rsidRPr="007C41F7">
        <w:rPr>
          <w:rFonts w:asciiTheme="majorHAnsi" w:hAnsiTheme="majorHAnsi" w:cstheme="majorHAnsi"/>
          <w:sz w:val="24"/>
          <w:szCs w:val="24"/>
        </w:rPr>
        <w:t xml:space="preserve"> disponibilizados em diferentes formatos de arquivo (.dwg e .skp, por exemplo), conforme consta no Cap. 9 do livro sobre Metodologias Ativas e Personalizadas de Aprendizagem (CORTELAZZO et al., 2018). Outro projeto citado nesse livro, denominado </w:t>
      </w:r>
      <w:r w:rsidRPr="007C41F7">
        <w:rPr>
          <w:rFonts w:asciiTheme="majorHAnsi" w:hAnsiTheme="majorHAnsi" w:cstheme="majorHAnsi"/>
          <w:i/>
          <w:sz w:val="24"/>
          <w:szCs w:val="24"/>
        </w:rPr>
        <w:t>Mosaic</w:t>
      </w:r>
      <w:r w:rsidRPr="007C41F7">
        <w:rPr>
          <w:rFonts w:asciiTheme="majorHAnsi" w:hAnsiTheme="majorHAnsi" w:cstheme="majorHAnsi"/>
          <w:sz w:val="24"/>
          <w:szCs w:val="24"/>
        </w:rPr>
        <w:t>, apresenta diferentes concepções de organização das salas de aula, com mesas com formato de pentâmeros que podem ser usadas individualmente ou agrupadas para estudos em grupo com diferentes tamanhos, ou mesas redondas, com pufes coloridos, sofás, padrão de cor que facilita a concentração ou o relaxamento etc. O capítulo citado apresenta vários modelos e endereços na internet que mostram diferentes formas de organização de auditórios, de espaços de aprendizagem, de bibliotecas integradas, de espaços de convivência e outros, de modo a permitir que se tenha uma nova concepção de escola, muito mais voltada para permitir em sua infraestrutura o uso de novas metodologias e aproveitar as novas tecnologias de informação e comunicação no desenvolvimento de seus cursos e atividades.</w:t>
      </w:r>
    </w:p>
    <w:p w14:paraId="3F97C2D7" w14:textId="435EC0F9" w:rsidR="00EE3346" w:rsidRPr="007C41F7"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No Brasil, essa concepção vem ganhando importância e é notável a quantidade de espaços de aprendizagem construídos com a mesma lógica acima descrita. Apenas para citar dois exemplos, a PUCRS tem um edifício construído com essa concepção, com dezenas de espaços diferenciados para o uso de diferentes MAA. Outro projeto interessante está ocorrendo na implantação do Inteli em São Paulo, como será citado com maiores detalhes no próximo capítulo.</w:t>
      </w:r>
    </w:p>
    <w:p w14:paraId="3C1A9A1B" w14:textId="251DEC2C" w:rsidR="00EE3346" w:rsidRPr="007C41F7"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Finalmente, podemos definir os principais componentes dos espaços de aprendizagem, conforme consta em Cortelazzo et al. (2018): “Há o componente tecnológico, ou seja, eles precisam permitir a utilização de novas TICs; o componente psicológico, pois devem propiciar empatia e conforto entre seus usuários; o componente social, promovendo a interação entre seus usuários; e o componente cognitivo, relacionando os anteriores aos objetivos pedagógicos da instituição onde eles se inserem.”.</w:t>
      </w:r>
    </w:p>
    <w:p w14:paraId="6396DC24" w14:textId="6F0B002F" w:rsidR="00EE3346"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Espera-se que as instalações que a UnDF vier a utilizar ou construir levem em conta essa flexibilidade de concepção e de conforto, com o uso de muitos modelos de construção já implantados e em funcionamento, que revelam a melhor adequação à inovação metodológica necessária para o desenvolvimento mais eficaz do ensino superior de qualidade.</w:t>
      </w:r>
    </w:p>
    <w:p w14:paraId="1412ECEF" w14:textId="5FB2DDA5" w:rsidR="007C41F7" w:rsidRDefault="007C41F7" w:rsidP="007C41F7">
      <w:pPr>
        <w:tabs>
          <w:tab w:val="clear" w:pos="1615"/>
        </w:tabs>
        <w:spacing w:line="360" w:lineRule="auto"/>
        <w:ind w:firstLine="709"/>
        <w:jc w:val="both"/>
        <w:rPr>
          <w:rFonts w:asciiTheme="majorHAnsi" w:hAnsiTheme="majorHAnsi" w:cstheme="majorHAnsi"/>
          <w:sz w:val="24"/>
          <w:szCs w:val="24"/>
        </w:rPr>
      </w:pPr>
    </w:p>
    <w:p w14:paraId="6BEDFCB3" w14:textId="77777777" w:rsidR="007C41F7" w:rsidRPr="007C41F7" w:rsidRDefault="007C41F7" w:rsidP="007C41F7">
      <w:pPr>
        <w:tabs>
          <w:tab w:val="clear" w:pos="1615"/>
        </w:tabs>
        <w:spacing w:line="360" w:lineRule="auto"/>
        <w:ind w:firstLine="709"/>
        <w:jc w:val="both"/>
        <w:rPr>
          <w:rFonts w:asciiTheme="majorHAnsi" w:hAnsiTheme="majorHAnsi" w:cstheme="majorHAnsi"/>
          <w:sz w:val="24"/>
          <w:szCs w:val="24"/>
        </w:rPr>
      </w:pPr>
    </w:p>
    <w:p w14:paraId="2D884538" w14:textId="04754A41" w:rsidR="00EE3346" w:rsidRPr="00516038" w:rsidRDefault="007C41F7" w:rsidP="007C41F7">
      <w:pPr>
        <w:pStyle w:val="Ttulo3"/>
        <w:numPr>
          <w:ilvl w:val="2"/>
          <w:numId w:val="1"/>
        </w:numPr>
        <w:ind w:left="709" w:hanging="709"/>
        <w:rPr>
          <w:rFonts w:asciiTheme="majorHAnsi" w:hAnsiTheme="majorHAnsi" w:cstheme="majorHAnsi"/>
        </w:rPr>
      </w:pPr>
      <w:bookmarkStart w:id="55" w:name="_Toc102134987"/>
      <w:r w:rsidRPr="00516038">
        <w:rPr>
          <w:rFonts w:asciiTheme="majorHAnsi" w:hAnsiTheme="majorHAnsi" w:cstheme="majorHAnsi"/>
        </w:rPr>
        <w:t>MAA, ENSINO A DISTÂNCIA, ENSINO HÍBRIDO E COVID-19</w:t>
      </w:r>
      <w:bookmarkEnd w:id="55"/>
    </w:p>
    <w:p w14:paraId="5FD43DA6" w14:textId="483C5243" w:rsidR="00EE3346" w:rsidRDefault="00EE3346" w:rsidP="007C41F7">
      <w:pPr>
        <w:tabs>
          <w:tab w:val="clear" w:pos="1615"/>
        </w:tabs>
        <w:spacing w:line="360" w:lineRule="auto"/>
        <w:jc w:val="both"/>
        <w:rPr>
          <w:rFonts w:asciiTheme="majorHAnsi" w:hAnsiTheme="majorHAnsi" w:cstheme="majorHAnsi"/>
          <w:sz w:val="24"/>
          <w:szCs w:val="24"/>
        </w:rPr>
      </w:pPr>
      <w:r w:rsidRPr="007C41F7">
        <w:rPr>
          <w:rFonts w:asciiTheme="majorHAnsi" w:hAnsiTheme="majorHAnsi" w:cstheme="majorHAnsi"/>
          <w:sz w:val="24"/>
          <w:szCs w:val="24"/>
        </w:rPr>
        <w:t>Um fator que seguramente impactou na produção de estudos sobre o uso de metodologias ativas no Brasil foi a introdução na LDB de um artigo específico sobre o desenvolvimento de cursos a distância, e sua oferta em IES a partir do início dos anos 2000:</w:t>
      </w:r>
    </w:p>
    <w:p w14:paraId="4D2CB7D8" w14:textId="77777777" w:rsidR="007C41F7" w:rsidRPr="007C41F7" w:rsidRDefault="007C41F7" w:rsidP="007C41F7">
      <w:pPr>
        <w:tabs>
          <w:tab w:val="clear" w:pos="1615"/>
        </w:tabs>
        <w:spacing w:line="360" w:lineRule="auto"/>
        <w:jc w:val="both"/>
        <w:rPr>
          <w:rFonts w:asciiTheme="majorHAnsi" w:hAnsiTheme="majorHAnsi" w:cstheme="majorHAnsi"/>
          <w:sz w:val="24"/>
          <w:szCs w:val="24"/>
        </w:rPr>
      </w:pPr>
    </w:p>
    <w:p w14:paraId="6C4DEE02" w14:textId="4795BBB3" w:rsidR="00EE3346" w:rsidRDefault="00EE3346" w:rsidP="00516038">
      <w:pPr>
        <w:tabs>
          <w:tab w:val="clear" w:pos="1615"/>
        </w:tabs>
        <w:ind w:left="2268" w:right="849"/>
        <w:jc w:val="both"/>
        <w:rPr>
          <w:rFonts w:asciiTheme="majorHAnsi" w:hAnsiTheme="majorHAnsi" w:cstheme="majorHAnsi"/>
          <w:color w:val="000000"/>
          <w:szCs w:val="20"/>
          <w:shd w:val="clear" w:color="auto" w:fill="FFFFFF"/>
        </w:rPr>
      </w:pPr>
      <w:r w:rsidRPr="00516038">
        <w:rPr>
          <w:rFonts w:asciiTheme="majorHAnsi" w:hAnsiTheme="majorHAnsi" w:cstheme="majorHAnsi"/>
          <w:color w:val="000000"/>
          <w:szCs w:val="20"/>
          <w:shd w:val="clear" w:color="auto" w:fill="FFFFFF"/>
        </w:rPr>
        <w:t>Art. 80. O Poder Público incentivará o desenvolvimento e a veiculação de programas de ensino a distância, em todos os níveis e modalidades de ensino, e de educação continuada (BRASIL, 1996).</w:t>
      </w:r>
    </w:p>
    <w:p w14:paraId="564EA0E3" w14:textId="77777777" w:rsidR="007C41F7" w:rsidRPr="00516038" w:rsidRDefault="007C41F7" w:rsidP="00516038">
      <w:pPr>
        <w:tabs>
          <w:tab w:val="clear" w:pos="1615"/>
        </w:tabs>
        <w:ind w:left="2268" w:right="849"/>
        <w:jc w:val="both"/>
        <w:rPr>
          <w:rFonts w:asciiTheme="majorHAnsi" w:hAnsiTheme="majorHAnsi" w:cstheme="majorHAnsi"/>
          <w:color w:val="000000"/>
          <w:szCs w:val="20"/>
          <w:shd w:val="clear" w:color="auto" w:fill="FFFFFF"/>
        </w:rPr>
      </w:pPr>
    </w:p>
    <w:p w14:paraId="04B0A15D" w14:textId="6DE60427" w:rsidR="00EE3346" w:rsidRPr="007C41F7" w:rsidRDefault="00EE3346" w:rsidP="007C41F7">
      <w:pPr>
        <w:tabs>
          <w:tab w:val="clear" w:pos="1615"/>
        </w:tabs>
        <w:spacing w:line="360" w:lineRule="auto"/>
        <w:ind w:right="-1" w:firstLine="709"/>
        <w:jc w:val="both"/>
        <w:rPr>
          <w:rFonts w:asciiTheme="majorHAnsi" w:hAnsiTheme="majorHAnsi" w:cstheme="majorHAnsi"/>
          <w:color w:val="000000"/>
          <w:sz w:val="24"/>
          <w:shd w:val="clear" w:color="auto" w:fill="FFFFFF"/>
        </w:rPr>
      </w:pPr>
      <w:r w:rsidRPr="007C41F7">
        <w:rPr>
          <w:rFonts w:asciiTheme="majorHAnsi" w:hAnsiTheme="majorHAnsi" w:cstheme="majorHAnsi"/>
          <w:color w:val="000000"/>
          <w:sz w:val="24"/>
          <w:shd w:val="clear" w:color="auto" w:fill="FFFFFF"/>
        </w:rPr>
        <w:t>Essa nova possibilidade para o ensino formal do país teve regulamentações a partir de 2005 e, em 2017, a aprovação de um novo marco regulatório para a sua oferta em todo o país (BRASIL, 2017). Seguramente, o uso de tecnologias de informação e comunicação (TICs) para dar suporte e para viabilizar os ambientes virtuais de aprendizagem contribuíram em muito para o uso de novas metodologias em que o aluno tem um papel mais protagonista e em que pode escolher a velocidade com que consegue se apropriar de novos conceitos e conhecimentos.</w:t>
      </w:r>
    </w:p>
    <w:p w14:paraId="072B3026" w14:textId="217EFCA8" w:rsidR="00EE3346" w:rsidRDefault="00EE3346" w:rsidP="007C41F7">
      <w:pPr>
        <w:tabs>
          <w:tab w:val="clear" w:pos="1615"/>
        </w:tabs>
        <w:spacing w:line="360" w:lineRule="auto"/>
        <w:ind w:right="-1" w:firstLine="709"/>
        <w:jc w:val="both"/>
        <w:rPr>
          <w:rFonts w:asciiTheme="majorHAnsi" w:hAnsiTheme="majorHAnsi" w:cstheme="majorHAnsi"/>
          <w:color w:val="000000"/>
          <w:sz w:val="24"/>
          <w:shd w:val="clear" w:color="auto" w:fill="FFFFFF"/>
        </w:rPr>
      </w:pPr>
      <w:r w:rsidRPr="007C41F7">
        <w:rPr>
          <w:rFonts w:asciiTheme="majorHAnsi" w:hAnsiTheme="majorHAnsi" w:cstheme="majorHAnsi"/>
          <w:color w:val="000000"/>
          <w:sz w:val="24"/>
          <w:shd w:val="clear" w:color="auto" w:fill="FFFFFF"/>
        </w:rPr>
        <w:t xml:space="preserve">Isso também possibilitou o surgimento de diferentes combinações de momentos presenciais e a distância, levando ao estabelecimento do que foi traduzido como ensino híbrido no país, que, na verdade, se refere à aprendizagem híbrida ou misturada, proposta pelo grupo do Professor Christensen, da Universidade de Harvard e que, em 2007, assim definiu o </w:t>
      </w:r>
      <w:r w:rsidRPr="007C41F7">
        <w:rPr>
          <w:rFonts w:asciiTheme="majorHAnsi" w:hAnsiTheme="majorHAnsi" w:cstheme="majorHAnsi"/>
          <w:i/>
          <w:color w:val="000000"/>
          <w:sz w:val="24"/>
          <w:shd w:val="clear" w:color="auto" w:fill="FFFFFF"/>
        </w:rPr>
        <w:t>blended learning</w:t>
      </w:r>
      <w:r w:rsidRPr="007C41F7">
        <w:rPr>
          <w:rFonts w:asciiTheme="majorHAnsi" w:hAnsiTheme="majorHAnsi" w:cstheme="majorHAnsi"/>
          <w:color w:val="000000"/>
          <w:sz w:val="24"/>
          <w:shd w:val="clear" w:color="auto" w:fill="FFFFFF"/>
        </w:rPr>
        <w:t xml:space="preserve">: </w:t>
      </w:r>
    </w:p>
    <w:p w14:paraId="1FAF8ADB" w14:textId="77777777" w:rsidR="007C41F7" w:rsidRPr="007C41F7" w:rsidRDefault="007C41F7" w:rsidP="007C41F7">
      <w:pPr>
        <w:tabs>
          <w:tab w:val="clear" w:pos="1615"/>
        </w:tabs>
        <w:spacing w:line="360" w:lineRule="auto"/>
        <w:ind w:right="-1" w:firstLine="709"/>
        <w:jc w:val="both"/>
        <w:rPr>
          <w:rFonts w:asciiTheme="majorHAnsi" w:hAnsiTheme="majorHAnsi" w:cstheme="majorHAnsi"/>
          <w:color w:val="000000"/>
          <w:sz w:val="24"/>
          <w:shd w:val="clear" w:color="auto" w:fill="FFFFFF"/>
        </w:rPr>
      </w:pPr>
    </w:p>
    <w:p w14:paraId="1EE2E099" w14:textId="2C6EB486" w:rsidR="00EE3346" w:rsidRDefault="00EE3346" w:rsidP="00516038">
      <w:pPr>
        <w:tabs>
          <w:tab w:val="clear" w:pos="1615"/>
        </w:tabs>
        <w:ind w:left="2268" w:right="849"/>
        <w:jc w:val="both"/>
        <w:rPr>
          <w:rFonts w:asciiTheme="majorHAnsi" w:hAnsiTheme="majorHAnsi" w:cstheme="majorHAnsi"/>
          <w:color w:val="000000"/>
          <w:sz w:val="20"/>
          <w:szCs w:val="20"/>
          <w:shd w:val="clear" w:color="auto" w:fill="FFFFFF"/>
        </w:rPr>
      </w:pPr>
      <w:r w:rsidRPr="00516038">
        <w:rPr>
          <w:rFonts w:asciiTheme="majorHAnsi" w:hAnsiTheme="majorHAnsi" w:cstheme="majorHAnsi"/>
          <w:color w:val="000000"/>
          <w:sz w:val="20"/>
          <w:szCs w:val="20"/>
          <w:shd w:val="clear" w:color="auto" w:fill="FFFFFF"/>
        </w:rPr>
        <w:t>O ensino híbrido é um programa de educação formal no qual um aluno aprende, pelo menos em parte, por meio do ensino on-line, com algum elemento de controle do estudante sobre o tempo, lugar, modo e/ou ritmo do estudo, e pelo menos em parte em uma localidade física supervisionada, fora de sua residência” (CHRISTENSEN; HORN e STAKER, 2013, p. 7).</w:t>
      </w:r>
    </w:p>
    <w:p w14:paraId="2E103EAA" w14:textId="77777777" w:rsidR="007C41F7" w:rsidRPr="00516038" w:rsidRDefault="007C41F7" w:rsidP="00516038">
      <w:pPr>
        <w:tabs>
          <w:tab w:val="clear" w:pos="1615"/>
        </w:tabs>
        <w:ind w:left="2268" w:right="849"/>
        <w:jc w:val="both"/>
        <w:rPr>
          <w:rFonts w:asciiTheme="majorHAnsi" w:hAnsiTheme="majorHAnsi" w:cstheme="majorHAnsi"/>
          <w:color w:val="000000"/>
          <w:sz w:val="20"/>
          <w:szCs w:val="20"/>
          <w:shd w:val="clear" w:color="auto" w:fill="FFFFFF"/>
        </w:rPr>
      </w:pPr>
    </w:p>
    <w:p w14:paraId="00CF094E" w14:textId="4FC23606" w:rsidR="00EE3346" w:rsidRPr="007C41F7" w:rsidRDefault="00EE3346" w:rsidP="007C41F7">
      <w:pPr>
        <w:tabs>
          <w:tab w:val="clear" w:pos="1615"/>
        </w:tabs>
        <w:spacing w:line="360" w:lineRule="auto"/>
        <w:ind w:right="-1" w:firstLine="709"/>
        <w:jc w:val="both"/>
        <w:rPr>
          <w:rFonts w:asciiTheme="majorHAnsi" w:hAnsiTheme="majorHAnsi" w:cstheme="majorHAnsi"/>
          <w:sz w:val="24"/>
          <w:shd w:val="clear" w:color="auto" w:fill="FFFFFF"/>
        </w:rPr>
      </w:pPr>
      <w:r w:rsidRPr="007C41F7">
        <w:rPr>
          <w:rFonts w:asciiTheme="majorHAnsi" w:hAnsiTheme="majorHAnsi" w:cstheme="majorHAnsi"/>
          <w:sz w:val="24"/>
          <w:shd w:val="clear" w:color="auto" w:fill="FFFFFF"/>
        </w:rPr>
        <w:t>Baseados na definição, o próprio grupo desenvolveu uma série de modelos que podem ser resumidamente descritos na publicação de Horn e Staker (2015) com os principais deles sintetizados abaixo.</w:t>
      </w:r>
    </w:p>
    <w:p w14:paraId="21A49FE6" w14:textId="77777777" w:rsidR="00EE3346" w:rsidRPr="007C41F7" w:rsidRDefault="00EE3346" w:rsidP="007C41F7">
      <w:pPr>
        <w:pStyle w:val="PargrafodaLista"/>
        <w:numPr>
          <w:ilvl w:val="0"/>
          <w:numId w:val="8"/>
        </w:numPr>
        <w:tabs>
          <w:tab w:val="clear" w:pos="1615"/>
        </w:tabs>
        <w:spacing w:line="360" w:lineRule="auto"/>
        <w:ind w:right="-1"/>
        <w:jc w:val="both"/>
        <w:rPr>
          <w:rFonts w:asciiTheme="majorHAnsi" w:hAnsiTheme="majorHAnsi" w:cstheme="majorHAnsi"/>
          <w:sz w:val="24"/>
          <w:shd w:val="clear" w:color="auto" w:fill="FFFFFF"/>
        </w:rPr>
      </w:pPr>
      <w:r w:rsidRPr="007C41F7">
        <w:rPr>
          <w:rFonts w:asciiTheme="majorHAnsi" w:hAnsiTheme="majorHAnsi" w:cstheme="majorHAnsi"/>
          <w:b/>
          <w:sz w:val="24"/>
          <w:shd w:val="clear" w:color="auto" w:fill="FFFFFF"/>
        </w:rPr>
        <w:t>Modelo rotacional:</w:t>
      </w:r>
      <w:r w:rsidRPr="007C41F7">
        <w:rPr>
          <w:rFonts w:asciiTheme="majorHAnsi" w:hAnsiTheme="majorHAnsi" w:cstheme="majorHAnsi"/>
          <w:sz w:val="24"/>
          <w:shd w:val="clear" w:color="auto" w:fill="FFFFFF"/>
        </w:rPr>
        <w:t xml:space="preserve"> consiste, como o nome sugere, numa sequência de ações que podem ser realizadas simultaneamente por toda a turma, ou ser realizada em um número de grupos que coincide com o número de atividades que são desenvolvidas de forma subsequente ao longo do período da aula ou tema.</w:t>
      </w:r>
    </w:p>
    <w:p w14:paraId="4396F4A0" w14:textId="77777777" w:rsidR="00EE3346" w:rsidRPr="007C41F7" w:rsidRDefault="00EE3346" w:rsidP="007C41F7">
      <w:pPr>
        <w:tabs>
          <w:tab w:val="clear" w:pos="1615"/>
        </w:tabs>
        <w:spacing w:line="360" w:lineRule="auto"/>
        <w:ind w:left="1134" w:right="-1" w:hanging="425"/>
        <w:jc w:val="both"/>
        <w:rPr>
          <w:rFonts w:asciiTheme="majorHAnsi" w:hAnsiTheme="majorHAnsi" w:cstheme="majorHAnsi"/>
          <w:sz w:val="24"/>
          <w:shd w:val="clear" w:color="auto" w:fill="FFFFFF"/>
        </w:rPr>
      </w:pPr>
      <w:r w:rsidRPr="007C41F7">
        <w:rPr>
          <w:rFonts w:asciiTheme="majorHAnsi" w:hAnsiTheme="majorHAnsi" w:cstheme="majorHAnsi"/>
          <w:b/>
          <w:sz w:val="24"/>
          <w:shd w:val="clear" w:color="auto" w:fill="FFFFFF"/>
        </w:rPr>
        <w:t>a.1. Rotação por estações:</w:t>
      </w:r>
      <w:r w:rsidRPr="007C41F7">
        <w:rPr>
          <w:rFonts w:asciiTheme="majorHAnsi" w:hAnsiTheme="majorHAnsi" w:cstheme="majorHAnsi"/>
          <w:sz w:val="24"/>
          <w:shd w:val="clear" w:color="auto" w:fill="FFFFFF"/>
        </w:rPr>
        <w:t xml:space="preserve"> a rotação passa por tipos de atividades diferentes com pesquisa na internet por parte do aluno, por meio de seus próprios celulares, em sala de aula. Por exemplo, a proposta de três formas de abordar um assunto: uma aula expositiva sobre o tema, um estudo dirigido em grupo, uma pesquisa na internet sobre o tema. Essas atividades podem ser realizadas a partir da divisão da turma em três grupos que as realizam de forma sequencial, fazendo com que o docente tenha um grupo menor de alunos em cada exposição. Outra alternativa é realizar a sequência de atividades com todos os estudantes que as realizam simultaneamente. Em qualquer das situações, deve haver um planejamento do tempo com que cada atividade será feita, que pode não ser o mesmo, mas que deverá garantir que todos os estudantes realizem as três atividades.</w:t>
      </w:r>
    </w:p>
    <w:p w14:paraId="11337AB4" w14:textId="77777777" w:rsidR="00EE3346" w:rsidRPr="007C41F7" w:rsidRDefault="00EE3346" w:rsidP="007C41F7">
      <w:pPr>
        <w:tabs>
          <w:tab w:val="clear" w:pos="1615"/>
        </w:tabs>
        <w:spacing w:line="360" w:lineRule="auto"/>
        <w:ind w:left="1134" w:right="-1" w:hanging="425"/>
        <w:jc w:val="both"/>
        <w:rPr>
          <w:rFonts w:asciiTheme="majorHAnsi" w:hAnsiTheme="majorHAnsi" w:cstheme="majorHAnsi"/>
          <w:sz w:val="24"/>
          <w:shd w:val="clear" w:color="auto" w:fill="FFFFFF"/>
        </w:rPr>
      </w:pPr>
      <w:r w:rsidRPr="007C41F7">
        <w:rPr>
          <w:rFonts w:asciiTheme="majorHAnsi" w:hAnsiTheme="majorHAnsi" w:cstheme="majorHAnsi"/>
          <w:b/>
          <w:sz w:val="24"/>
          <w:shd w:val="clear" w:color="auto" w:fill="FFFFFF"/>
        </w:rPr>
        <w:t xml:space="preserve">a.2. Laboratório rotacional: </w:t>
      </w:r>
      <w:r w:rsidRPr="007C41F7">
        <w:rPr>
          <w:rFonts w:asciiTheme="majorHAnsi" w:hAnsiTheme="majorHAnsi" w:cstheme="majorHAnsi"/>
          <w:sz w:val="24"/>
          <w:shd w:val="clear" w:color="auto" w:fill="FFFFFF"/>
        </w:rPr>
        <w:t xml:space="preserve">mesma lógica do procedimento anterior, mas com a consulta à internet feita com os alunos no laboratório de informática da instituição. </w:t>
      </w:r>
    </w:p>
    <w:p w14:paraId="7EF6FBA4" w14:textId="77777777" w:rsidR="00EE3346" w:rsidRPr="007C41F7" w:rsidRDefault="00EE3346" w:rsidP="007C41F7">
      <w:pPr>
        <w:tabs>
          <w:tab w:val="clear" w:pos="1615"/>
        </w:tabs>
        <w:spacing w:line="360" w:lineRule="auto"/>
        <w:ind w:left="1134" w:right="-1" w:hanging="425"/>
        <w:jc w:val="both"/>
        <w:rPr>
          <w:rFonts w:asciiTheme="majorHAnsi" w:hAnsiTheme="majorHAnsi" w:cstheme="majorHAnsi"/>
          <w:sz w:val="24"/>
          <w:shd w:val="clear" w:color="auto" w:fill="FFFFFF"/>
        </w:rPr>
      </w:pPr>
      <w:r w:rsidRPr="007C41F7">
        <w:rPr>
          <w:rFonts w:asciiTheme="majorHAnsi" w:hAnsiTheme="majorHAnsi" w:cstheme="majorHAnsi"/>
          <w:b/>
          <w:sz w:val="24"/>
          <w:shd w:val="clear" w:color="auto" w:fill="FFFFFF"/>
        </w:rPr>
        <w:t xml:space="preserve">a.3. Sala de aula invertida: </w:t>
      </w:r>
      <w:r w:rsidRPr="007C41F7">
        <w:rPr>
          <w:rFonts w:asciiTheme="majorHAnsi" w:hAnsiTheme="majorHAnsi" w:cstheme="majorHAnsi"/>
          <w:sz w:val="24"/>
          <w:shd w:val="clear" w:color="auto" w:fill="FFFFFF"/>
        </w:rPr>
        <w:t>a rotação é feita com a parte da internet realizada em casa e o estudo em grupo e a exposição feita em sala de aula, na instituição, com similitude a procedimentos realizados na sala de aula invertida, detalhada mais adiante.</w:t>
      </w:r>
    </w:p>
    <w:p w14:paraId="6420C1E1" w14:textId="77777777" w:rsidR="00EE3346" w:rsidRPr="007C41F7" w:rsidRDefault="00EE3346" w:rsidP="007C41F7">
      <w:pPr>
        <w:tabs>
          <w:tab w:val="clear" w:pos="1615"/>
        </w:tabs>
        <w:spacing w:line="360" w:lineRule="auto"/>
        <w:ind w:left="1134" w:right="-1" w:hanging="425"/>
        <w:jc w:val="both"/>
        <w:rPr>
          <w:rFonts w:asciiTheme="majorHAnsi" w:hAnsiTheme="majorHAnsi" w:cstheme="majorHAnsi"/>
          <w:sz w:val="24"/>
          <w:shd w:val="clear" w:color="auto" w:fill="FFFFFF"/>
        </w:rPr>
      </w:pPr>
      <w:r w:rsidRPr="007C41F7">
        <w:rPr>
          <w:rFonts w:asciiTheme="majorHAnsi" w:hAnsiTheme="majorHAnsi" w:cstheme="majorHAnsi"/>
          <w:b/>
          <w:sz w:val="24"/>
          <w:shd w:val="clear" w:color="auto" w:fill="FFFFFF"/>
        </w:rPr>
        <w:t>a.4. Rotação individual:</w:t>
      </w:r>
      <w:r w:rsidRPr="007C41F7">
        <w:rPr>
          <w:rFonts w:asciiTheme="majorHAnsi" w:hAnsiTheme="majorHAnsi" w:cstheme="majorHAnsi"/>
          <w:sz w:val="24"/>
          <w:shd w:val="clear" w:color="auto" w:fill="FFFFFF"/>
        </w:rPr>
        <w:t xml:space="preserve"> as diferentes tarefas podem ser realizadas de forma individualizada pelo aluno e consistirão em diferentes trajetórias, estabelecidas pelo professor, com a necessidade de serem feitas tarefas, por exemplo, utilizando três diferentes recursos a critério do estudante, ou decididos a partir de um diagnóstico do professor, que pode contribuir para que alunos com maior dificuldade de interação realizarem mais tarefas que requeiram essa interação (exposições, estudos, trabalhos dirigidos, sempre em pequenos grupos), contribuindo para o desenvolvimento de competências técnicas e socioemocionais de forma mais personalizada.</w:t>
      </w:r>
    </w:p>
    <w:p w14:paraId="57BAC5F4" w14:textId="689F6D87" w:rsidR="00EE3346" w:rsidRPr="007C41F7" w:rsidRDefault="00EE3346" w:rsidP="007C41F7">
      <w:pPr>
        <w:tabs>
          <w:tab w:val="clear" w:pos="1615"/>
        </w:tabs>
        <w:spacing w:line="360" w:lineRule="auto"/>
        <w:ind w:firstLine="709"/>
        <w:jc w:val="both"/>
        <w:rPr>
          <w:rFonts w:asciiTheme="majorHAnsi" w:hAnsiTheme="majorHAnsi" w:cstheme="majorHAnsi"/>
          <w:sz w:val="24"/>
          <w:shd w:val="clear" w:color="auto" w:fill="FFFFFF"/>
        </w:rPr>
      </w:pPr>
      <w:r w:rsidRPr="007C41F7">
        <w:rPr>
          <w:rFonts w:asciiTheme="majorHAnsi" w:hAnsiTheme="majorHAnsi" w:cstheme="majorHAnsi"/>
          <w:sz w:val="24"/>
          <w:shd w:val="clear" w:color="auto" w:fill="FFFFFF"/>
        </w:rPr>
        <w:t xml:space="preserve">O primeiro modelo é bastante prático, pois pode utilizar o próprio espaço da sala de aula, mas requer que a instituição tenha uma rede </w:t>
      </w:r>
      <w:r w:rsidRPr="007C41F7">
        <w:rPr>
          <w:rFonts w:asciiTheme="majorHAnsi" w:hAnsiTheme="majorHAnsi" w:cstheme="majorHAnsi"/>
          <w:i/>
          <w:sz w:val="24"/>
          <w:shd w:val="clear" w:color="auto" w:fill="FFFFFF"/>
        </w:rPr>
        <w:t>Wi-Fi</w:t>
      </w:r>
      <w:r w:rsidRPr="007C41F7">
        <w:rPr>
          <w:rFonts w:asciiTheme="majorHAnsi" w:hAnsiTheme="majorHAnsi" w:cstheme="majorHAnsi"/>
          <w:sz w:val="24"/>
          <w:shd w:val="clear" w:color="auto" w:fill="FFFFFF"/>
        </w:rPr>
        <w:t xml:space="preserve"> e que todos os estudantes possuam um celular que seja capaz de realizar as atividades propostas. No segundo, esses problemas desaparecem, mas a IES deve ter estrutura que garanta esse suporte a todos os estudantes. O terceiro pode apresentar o mesmo problema que o primeiro com relação à qualidade do</w:t>
      </w:r>
      <w:r w:rsidRPr="007C41F7">
        <w:rPr>
          <w:rFonts w:asciiTheme="majorHAnsi" w:hAnsiTheme="majorHAnsi" w:cstheme="majorHAnsi"/>
          <w:i/>
          <w:iCs/>
          <w:sz w:val="24"/>
          <w:shd w:val="clear" w:color="auto" w:fill="FFFFFF"/>
        </w:rPr>
        <w:t xml:space="preserve"> hardware</w:t>
      </w:r>
      <w:r w:rsidRPr="007C41F7">
        <w:rPr>
          <w:rFonts w:asciiTheme="majorHAnsi" w:hAnsiTheme="majorHAnsi" w:cstheme="majorHAnsi"/>
          <w:sz w:val="24"/>
          <w:shd w:val="clear" w:color="auto" w:fill="FFFFFF"/>
        </w:rPr>
        <w:t xml:space="preserve"> dos estudantes em sua casa ou trabalho, mas garante uma maior liberdade no controle do tempo e da atividade pelo próprio aluno. A destacar a necessidade de um planejamento para cada atividade, permitindo que haja tempo suficiente para a sua realização e, no caso de subdivisão da turma, que a exposição do professor não se revista de um fechamento do tema, já que ela ocorrerá em diferentes momentos para cada grupo. Finalmente, o último modelo é considerado disruptivo, pois tem uma abrangência total, mas pode prescindir de estruturas formais existentes, como o laboratório de informática ou sala de aula por exemplo. </w:t>
      </w:r>
    </w:p>
    <w:p w14:paraId="33490D17" w14:textId="77777777" w:rsidR="00EE3346" w:rsidRPr="007C41F7" w:rsidRDefault="00EE3346" w:rsidP="007C41F7">
      <w:pPr>
        <w:pStyle w:val="PargrafodaLista"/>
        <w:numPr>
          <w:ilvl w:val="0"/>
          <w:numId w:val="8"/>
        </w:numPr>
        <w:tabs>
          <w:tab w:val="clear" w:pos="1615"/>
        </w:tabs>
        <w:spacing w:line="360" w:lineRule="auto"/>
        <w:ind w:left="714" w:hanging="357"/>
        <w:contextualSpacing w:val="0"/>
        <w:jc w:val="both"/>
        <w:rPr>
          <w:rFonts w:asciiTheme="majorHAnsi" w:hAnsiTheme="majorHAnsi" w:cstheme="majorHAnsi"/>
          <w:b/>
          <w:sz w:val="24"/>
          <w:shd w:val="clear" w:color="auto" w:fill="FFFFFF"/>
        </w:rPr>
      </w:pPr>
      <w:r w:rsidRPr="007C41F7">
        <w:rPr>
          <w:rFonts w:asciiTheme="majorHAnsi" w:hAnsiTheme="majorHAnsi" w:cstheme="majorHAnsi"/>
          <w:b/>
          <w:sz w:val="24"/>
          <w:shd w:val="clear" w:color="auto" w:fill="FFFFFF"/>
        </w:rPr>
        <w:t xml:space="preserve">Modelo flex: </w:t>
      </w:r>
      <w:r w:rsidRPr="007C41F7">
        <w:rPr>
          <w:rFonts w:asciiTheme="majorHAnsi" w:hAnsiTheme="majorHAnsi" w:cstheme="majorHAnsi"/>
          <w:sz w:val="24"/>
          <w:shd w:val="clear" w:color="auto" w:fill="FFFFFF"/>
        </w:rPr>
        <w:t>modelo em que a flexibilidade dos momentos presenciais e a distância se revezam e variam conforme a necessidade expressa no planejamento daquela(s) atividade(s). Por exemplo: a realização de uma dependência em disciplina em que a primeira realização não obteve êxito desenvolvida de forma presencial. A segunda realização pode ser estruturada predominantemente com atividades a distância e com encontros presenciais esporádicos para dúvidas e/ou avaliações. Com isso, o estudante tem a oportunidade de realizar de uma outra maneira os estudos de um conteúdo onde a primeira tentativa não obteve sucesso. Também pode ser utilizado para a realização on-line de exercícios domiciliares, atividades de reforço ou aprofundamento. Em cursos com predominância de atividades EaD, a mesma lógica pode ser aplicada para as dependências, por exemplo, mas agora com momentos presenciais mais frequentes para possibilitar uma segunda forma de aprendizado.</w:t>
      </w:r>
    </w:p>
    <w:p w14:paraId="1487F0F8" w14:textId="77777777" w:rsidR="00EE3346" w:rsidRPr="007C41F7" w:rsidRDefault="00EE3346" w:rsidP="007C41F7">
      <w:pPr>
        <w:pStyle w:val="PargrafodaLista"/>
        <w:numPr>
          <w:ilvl w:val="0"/>
          <w:numId w:val="8"/>
        </w:numPr>
        <w:tabs>
          <w:tab w:val="clear" w:pos="1615"/>
        </w:tabs>
        <w:spacing w:line="360" w:lineRule="auto"/>
        <w:jc w:val="both"/>
        <w:rPr>
          <w:rFonts w:asciiTheme="majorHAnsi" w:hAnsiTheme="majorHAnsi" w:cstheme="majorHAnsi"/>
          <w:b/>
          <w:sz w:val="24"/>
          <w:shd w:val="clear" w:color="auto" w:fill="FFFFFF"/>
        </w:rPr>
      </w:pPr>
      <w:r w:rsidRPr="007C41F7">
        <w:rPr>
          <w:rFonts w:asciiTheme="majorHAnsi" w:hAnsiTheme="majorHAnsi" w:cstheme="majorHAnsi"/>
          <w:b/>
          <w:sz w:val="24"/>
          <w:shd w:val="clear" w:color="auto" w:fill="FFFFFF"/>
        </w:rPr>
        <w:t xml:space="preserve">Modelo </w:t>
      </w:r>
      <w:r w:rsidRPr="007C41F7">
        <w:rPr>
          <w:rFonts w:asciiTheme="majorHAnsi" w:hAnsiTheme="majorHAnsi" w:cstheme="majorHAnsi"/>
          <w:b/>
          <w:i/>
          <w:iCs/>
          <w:sz w:val="24"/>
          <w:shd w:val="clear" w:color="auto" w:fill="FFFFFF"/>
        </w:rPr>
        <w:t>à la carte</w:t>
      </w:r>
      <w:r w:rsidRPr="007C41F7">
        <w:rPr>
          <w:rFonts w:asciiTheme="majorHAnsi" w:hAnsiTheme="majorHAnsi" w:cstheme="majorHAnsi"/>
          <w:b/>
          <w:sz w:val="24"/>
          <w:shd w:val="clear" w:color="auto" w:fill="FFFFFF"/>
        </w:rPr>
        <w:t xml:space="preserve">: </w:t>
      </w:r>
      <w:r w:rsidRPr="007C41F7">
        <w:rPr>
          <w:rFonts w:asciiTheme="majorHAnsi" w:hAnsiTheme="majorHAnsi" w:cstheme="majorHAnsi"/>
          <w:sz w:val="24"/>
          <w:shd w:val="clear" w:color="auto" w:fill="FFFFFF"/>
        </w:rPr>
        <w:t xml:space="preserve">a instituição seleciona uma série de atividades para oferta a distância com encontros presenciais ou vice-versa e oferece como um elenco de disciplinas que o estudante elege, seja em atividades optativas, eletivas, complementares ou até obrigatórias. Quanto maior o “cardápio” de oferta, mais opções terão os estudantes que eventualmente prefiram um desenvolvimento da atividade de forma diversa àquela oferecida regularmente. </w:t>
      </w:r>
    </w:p>
    <w:p w14:paraId="3E3403C1" w14:textId="4739BCB8" w:rsidR="00EE3346" w:rsidRPr="007C41F7" w:rsidRDefault="00EE3346" w:rsidP="007C41F7">
      <w:pPr>
        <w:tabs>
          <w:tab w:val="clear" w:pos="1615"/>
        </w:tabs>
        <w:spacing w:line="360" w:lineRule="auto"/>
        <w:ind w:firstLine="709"/>
        <w:jc w:val="both"/>
        <w:rPr>
          <w:rFonts w:asciiTheme="majorHAnsi" w:hAnsiTheme="majorHAnsi" w:cstheme="majorHAnsi"/>
          <w:sz w:val="24"/>
          <w:shd w:val="clear" w:color="auto" w:fill="FFFFFF"/>
        </w:rPr>
      </w:pPr>
      <w:r w:rsidRPr="007C41F7">
        <w:rPr>
          <w:rFonts w:asciiTheme="majorHAnsi" w:hAnsiTheme="majorHAnsi" w:cstheme="majorHAnsi"/>
          <w:sz w:val="24"/>
          <w:shd w:val="clear" w:color="auto" w:fill="FFFFFF"/>
        </w:rPr>
        <w:t xml:space="preserve">O modelo flex e o modelo </w:t>
      </w:r>
      <w:r w:rsidRPr="007C41F7">
        <w:rPr>
          <w:rFonts w:asciiTheme="majorHAnsi" w:hAnsiTheme="majorHAnsi" w:cstheme="majorHAnsi"/>
          <w:i/>
          <w:iCs/>
          <w:sz w:val="24"/>
          <w:shd w:val="clear" w:color="auto" w:fill="FFFFFF"/>
        </w:rPr>
        <w:t>à la carte</w:t>
      </w:r>
      <w:r w:rsidRPr="007C41F7">
        <w:rPr>
          <w:rFonts w:asciiTheme="majorHAnsi" w:hAnsiTheme="majorHAnsi" w:cstheme="majorHAnsi"/>
          <w:sz w:val="24"/>
          <w:shd w:val="clear" w:color="auto" w:fill="FFFFFF"/>
        </w:rPr>
        <w:t xml:space="preserve"> podem ser complementares e servir, inclusive, para a oferta de atividades domiciliares ligadas à licença gestante ou a impedimentos diversos causados por motivo de saúde, de trabalho, ou pessoais que justifiquem que as atividades sejam realizadas dessa forma.</w:t>
      </w:r>
    </w:p>
    <w:p w14:paraId="6C80DCA6" w14:textId="0D09AF2C" w:rsidR="00EE3346" w:rsidRPr="007C41F7" w:rsidRDefault="00EE3346" w:rsidP="007C41F7">
      <w:pPr>
        <w:tabs>
          <w:tab w:val="clear" w:pos="1615"/>
        </w:tabs>
        <w:spacing w:line="360" w:lineRule="auto"/>
        <w:ind w:firstLine="709"/>
        <w:jc w:val="both"/>
        <w:rPr>
          <w:rFonts w:asciiTheme="majorHAnsi" w:hAnsiTheme="majorHAnsi" w:cstheme="majorHAnsi"/>
          <w:b/>
          <w:sz w:val="24"/>
          <w:shd w:val="clear" w:color="auto" w:fill="FFFFFF"/>
        </w:rPr>
      </w:pPr>
      <w:r w:rsidRPr="007C41F7">
        <w:rPr>
          <w:rFonts w:asciiTheme="majorHAnsi" w:hAnsiTheme="majorHAnsi" w:cstheme="majorHAnsi"/>
          <w:sz w:val="24"/>
          <w:shd w:val="clear" w:color="auto" w:fill="FFFFFF"/>
        </w:rPr>
        <w:t xml:space="preserve">É bom notar que, em um sistema de desenvolvimento bastante hibridizado, pode necessitar credenciamento específico para atividades EaD, uma vez que 40% de atividades não presenciais é o percentual atualmente concedido para que um curso não necessite realizá-lo (MEC, 2019). </w:t>
      </w:r>
    </w:p>
    <w:p w14:paraId="269DCED5" w14:textId="4791D3AC" w:rsidR="00EE3346" w:rsidRPr="007C41F7" w:rsidRDefault="00EE3346" w:rsidP="007C41F7">
      <w:pPr>
        <w:tabs>
          <w:tab w:val="clear" w:pos="1615"/>
        </w:tabs>
        <w:spacing w:line="360" w:lineRule="auto"/>
        <w:ind w:right="-1" w:firstLine="709"/>
        <w:jc w:val="both"/>
        <w:rPr>
          <w:rFonts w:asciiTheme="majorHAnsi" w:hAnsiTheme="majorHAnsi" w:cstheme="majorHAnsi"/>
          <w:color w:val="000000"/>
          <w:sz w:val="24"/>
          <w:shd w:val="clear" w:color="auto" w:fill="FFFFFF"/>
        </w:rPr>
      </w:pPr>
      <w:r w:rsidRPr="007C41F7">
        <w:rPr>
          <w:rFonts w:asciiTheme="majorHAnsi" w:hAnsiTheme="majorHAnsi" w:cstheme="majorHAnsi"/>
          <w:color w:val="000000"/>
          <w:sz w:val="24"/>
          <w:shd w:val="clear" w:color="auto" w:fill="FFFFFF"/>
        </w:rPr>
        <w:t>Além das premissas para sua caracterização e dos modelos acima e de outros apresentados pelos autores (HORN e SLAKER, 2015), a integração entre o momento presencial e a distância é essencial para o sucesso da aprendizagem e assim, tecnologias e metodologias ativas são condições para que isso ocorra. Desse modo, não foi o acaso que determinou o tema do 23.</w:t>
      </w:r>
      <w:r w:rsidRPr="007C41F7">
        <w:rPr>
          <w:rFonts w:asciiTheme="majorHAnsi" w:hAnsiTheme="majorHAnsi" w:cstheme="majorHAnsi"/>
          <w:color w:val="000000"/>
          <w:sz w:val="24"/>
          <w:shd w:val="clear" w:color="auto" w:fill="FFFFFF"/>
          <w:vertAlign w:val="superscript"/>
        </w:rPr>
        <w:t>o</w:t>
      </w:r>
      <w:r w:rsidRPr="007C41F7">
        <w:rPr>
          <w:rFonts w:asciiTheme="majorHAnsi" w:hAnsiTheme="majorHAnsi" w:cstheme="majorHAnsi"/>
          <w:color w:val="000000"/>
          <w:sz w:val="24"/>
          <w:shd w:val="clear" w:color="auto" w:fill="FFFFFF"/>
        </w:rPr>
        <w:t xml:space="preserve"> Congresso Internacional ABED de Ensino a Distância (CIAED) (ABED, 2017), “Metodologias Ativas e Tecnologias Aplicadas à Educação”, assim introduzido em sua página:</w:t>
      </w:r>
    </w:p>
    <w:p w14:paraId="3C4CFA29" w14:textId="77777777" w:rsidR="007C41F7" w:rsidRDefault="007C41F7" w:rsidP="00516038">
      <w:pPr>
        <w:tabs>
          <w:tab w:val="clear" w:pos="1615"/>
        </w:tabs>
        <w:ind w:left="2268" w:right="849"/>
        <w:jc w:val="both"/>
        <w:rPr>
          <w:rFonts w:asciiTheme="majorHAnsi" w:hAnsiTheme="majorHAnsi" w:cstheme="majorHAnsi"/>
          <w:color w:val="000000"/>
          <w:sz w:val="20"/>
          <w:szCs w:val="20"/>
          <w:shd w:val="clear" w:color="auto" w:fill="FFFFFF"/>
        </w:rPr>
      </w:pPr>
    </w:p>
    <w:p w14:paraId="0F14850B" w14:textId="7025B9CE" w:rsidR="00EE3346" w:rsidRDefault="00EE3346" w:rsidP="00516038">
      <w:pPr>
        <w:tabs>
          <w:tab w:val="clear" w:pos="1615"/>
        </w:tabs>
        <w:ind w:left="2268" w:right="849"/>
        <w:jc w:val="both"/>
        <w:rPr>
          <w:rFonts w:asciiTheme="majorHAnsi" w:hAnsiTheme="majorHAnsi" w:cstheme="majorHAnsi"/>
          <w:color w:val="000000"/>
          <w:sz w:val="20"/>
          <w:szCs w:val="20"/>
          <w:shd w:val="clear" w:color="auto" w:fill="FFFFFF"/>
        </w:rPr>
      </w:pPr>
      <w:r w:rsidRPr="00516038">
        <w:rPr>
          <w:rFonts w:asciiTheme="majorHAnsi" w:hAnsiTheme="majorHAnsi" w:cstheme="majorHAnsi"/>
          <w:color w:val="000000"/>
          <w:sz w:val="20"/>
          <w:szCs w:val="20"/>
          <w:shd w:val="clear" w:color="auto" w:fill="FFFFFF"/>
        </w:rPr>
        <w:t>A internet, em conjunto com as tecnologias de redes, socializou um novo ciberespaço de comunicação que nos une e permite a interação de muitos com muitos, a construção de redes de interesses em comum, a disseminação, o compartilhamento e a contribuição coletiva eficaz de informações e conteúdo. Essas tecnologias integram o nosso dia a dia, nosso ambiente de trabalho e cada vez mais intensifica-se o seu uso nos processos de aprendizagem. Assim, acessar praticamente todo conhecimento comum da humanidade é uma realidade hoje, porém aguçar e motivar o aprendiz a buscar seus caminhos de forma proativa, apoiado com aplicações tecnológicas, ainda é um terreno a ser plantado para num futuro próximo colher o que será o novo desenho do ambiente educacional. (Apresentação do 23.</w:t>
      </w:r>
      <w:r w:rsidRPr="00516038">
        <w:rPr>
          <w:rFonts w:asciiTheme="majorHAnsi" w:hAnsiTheme="majorHAnsi" w:cstheme="majorHAnsi"/>
          <w:color w:val="000000"/>
          <w:sz w:val="20"/>
          <w:szCs w:val="20"/>
          <w:shd w:val="clear" w:color="auto" w:fill="FFFFFF"/>
          <w:vertAlign w:val="superscript"/>
        </w:rPr>
        <w:t>o</w:t>
      </w:r>
      <w:r w:rsidRPr="00516038">
        <w:rPr>
          <w:rFonts w:asciiTheme="majorHAnsi" w:hAnsiTheme="majorHAnsi" w:cstheme="majorHAnsi"/>
          <w:color w:val="000000"/>
          <w:sz w:val="20"/>
          <w:szCs w:val="20"/>
          <w:shd w:val="clear" w:color="auto" w:fill="FFFFFF"/>
        </w:rPr>
        <w:t xml:space="preserve"> CIAED, ABED, 2017).</w:t>
      </w:r>
    </w:p>
    <w:p w14:paraId="7255F58A" w14:textId="77777777" w:rsidR="007C41F7" w:rsidRPr="00516038" w:rsidRDefault="007C41F7" w:rsidP="00516038">
      <w:pPr>
        <w:tabs>
          <w:tab w:val="clear" w:pos="1615"/>
        </w:tabs>
        <w:ind w:left="2268" w:right="849"/>
        <w:jc w:val="both"/>
        <w:rPr>
          <w:rFonts w:asciiTheme="majorHAnsi" w:hAnsiTheme="majorHAnsi" w:cstheme="majorHAnsi"/>
          <w:color w:val="000000"/>
          <w:sz w:val="20"/>
          <w:szCs w:val="20"/>
          <w:shd w:val="clear" w:color="auto" w:fill="FFFFFF"/>
        </w:rPr>
      </w:pPr>
    </w:p>
    <w:p w14:paraId="2140AB4C" w14:textId="4072392A" w:rsidR="00EE3346" w:rsidRPr="007C41F7" w:rsidRDefault="00EE3346" w:rsidP="007C41F7">
      <w:pPr>
        <w:tabs>
          <w:tab w:val="clear" w:pos="1615"/>
        </w:tabs>
        <w:spacing w:line="360" w:lineRule="auto"/>
        <w:ind w:right="-1" w:firstLine="709"/>
        <w:jc w:val="both"/>
        <w:rPr>
          <w:rFonts w:asciiTheme="majorHAnsi" w:hAnsiTheme="majorHAnsi" w:cstheme="majorHAnsi"/>
          <w:color w:val="000000"/>
          <w:sz w:val="24"/>
          <w:shd w:val="clear" w:color="auto" w:fill="FFFFFF"/>
        </w:rPr>
      </w:pPr>
      <w:r w:rsidRPr="007C41F7">
        <w:rPr>
          <w:rFonts w:asciiTheme="majorHAnsi" w:hAnsiTheme="majorHAnsi" w:cstheme="majorHAnsi"/>
          <w:color w:val="000000"/>
          <w:sz w:val="24"/>
          <w:shd w:val="clear" w:color="auto" w:fill="FFFFFF"/>
        </w:rPr>
        <w:t>Nesse novo cenário, o uso de “</w:t>
      </w:r>
      <w:r w:rsidRPr="007C41F7">
        <w:rPr>
          <w:rFonts w:asciiTheme="majorHAnsi" w:hAnsiTheme="majorHAnsi" w:cstheme="majorHAnsi"/>
          <w:i/>
          <w:iCs/>
          <w:color w:val="000000"/>
          <w:sz w:val="24"/>
          <w:shd w:val="clear" w:color="auto" w:fill="FFFFFF"/>
        </w:rPr>
        <w:t>blends</w:t>
      </w:r>
      <w:r w:rsidRPr="007C41F7">
        <w:rPr>
          <w:rFonts w:asciiTheme="majorHAnsi" w:hAnsiTheme="majorHAnsi" w:cstheme="majorHAnsi"/>
          <w:color w:val="000000"/>
          <w:sz w:val="24"/>
          <w:shd w:val="clear" w:color="auto" w:fill="FFFFFF"/>
        </w:rPr>
        <w:t>” metodológicos também ganhou importância uma vez que os estudantes possuem diferentes afinidades e o envolvimento com a aprendizagem é uma condição essencial para que isso ocorra, inclusive no que diz respeito aos aspectos ligados à forma como o hipotálamo seleciona as experiências para a formação da nossa memória (POH; SENSON e PICARD, 2010; CORTELAZZO et al., 2018; TIEPPO, 2019; CORTELAZZO, 2020).</w:t>
      </w:r>
    </w:p>
    <w:p w14:paraId="48F85435" w14:textId="7907C543" w:rsidR="00EE3346" w:rsidRPr="007C41F7" w:rsidRDefault="00EE3346" w:rsidP="007C41F7">
      <w:pPr>
        <w:tabs>
          <w:tab w:val="clear" w:pos="1615"/>
        </w:tabs>
        <w:spacing w:line="360" w:lineRule="auto"/>
        <w:ind w:right="-1" w:firstLine="709"/>
        <w:jc w:val="both"/>
        <w:rPr>
          <w:rFonts w:asciiTheme="majorHAnsi" w:hAnsiTheme="majorHAnsi" w:cstheme="majorHAnsi"/>
          <w:color w:val="000000"/>
          <w:sz w:val="24"/>
          <w:shd w:val="clear" w:color="auto" w:fill="FFFFFF"/>
        </w:rPr>
      </w:pPr>
      <w:r w:rsidRPr="007C41F7">
        <w:rPr>
          <w:rFonts w:asciiTheme="majorHAnsi" w:hAnsiTheme="majorHAnsi" w:cstheme="majorHAnsi"/>
          <w:color w:val="000000"/>
          <w:sz w:val="24"/>
          <w:shd w:val="clear" w:color="auto" w:fill="FFFFFF"/>
        </w:rPr>
        <w:t xml:space="preserve">Um outro fator que acabou interferindo de forma sensível foi a pandemia da COVID-19, cujo controle inicial só pôde ser feito a partir de meios não farmacológicos, com destaque para o isolamento social que levou à suspensão das aulas em todos os níveis e em todo o país, cumprindo recomendação da Organização Mundial de Saúde e de outros organismos nacionais. Isso levou à maioria das IES a adotarem o Ensino Remoto Emergencial, com ferramentas utilizadas no EaD, mas agora para os cursos presenciais anteriormente à pandemia. Isso também levou a uma corrida de capacitações e de providências institucionais para que os docentes pudessem, de forma rápida, adequar seu planejamento e os conteúdos abordados à nova forma de desenvolvimento dos cursos. </w:t>
      </w:r>
    </w:p>
    <w:p w14:paraId="79C347AC" w14:textId="3A27A6B5" w:rsidR="00EE3346" w:rsidRPr="007C41F7" w:rsidRDefault="00EE3346" w:rsidP="007C41F7">
      <w:pPr>
        <w:tabs>
          <w:tab w:val="clear" w:pos="1615"/>
        </w:tabs>
        <w:spacing w:line="360" w:lineRule="auto"/>
        <w:ind w:firstLine="709"/>
        <w:jc w:val="both"/>
        <w:rPr>
          <w:rFonts w:asciiTheme="majorHAnsi" w:hAnsiTheme="majorHAnsi" w:cstheme="majorHAnsi"/>
          <w:color w:val="000000"/>
          <w:sz w:val="24"/>
          <w:shd w:val="clear" w:color="auto" w:fill="FFFFFF"/>
        </w:rPr>
      </w:pPr>
      <w:r w:rsidRPr="007C41F7">
        <w:rPr>
          <w:rFonts w:asciiTheme="majorHAnsi" w:hAnsiTheme="majorHAnsi" w:cstheme="majorHAnsi"/>
          <w:color w:val="000000"/>
          <w:sz w:val="24"/>
          <w:shd w:val="clear" w:color="auto" w:fill="FFFFFF"/>
        </w:rPr>
        <w:t>De maneira geral, muitas iniciativas foram exitosas e, talvez, o maior legado desse período seja a diminuição do preconceito quanto ao uso das tecnologias, com uma oferta híbrida de ensino cada vez mais aceita por docentes e estudantes do ensino superior. Obviamente a falta de intencionalidade no planejamento inicial dessas atividades curriculares levou a problemas de várias ordens, mas também serviu para uma maior experimentação e flexibilidade por parte dos docentes, o que acabou contribuindo positivamente para a formação deles, voltada para o ensino superior e para a apropriação de novas tecnologias de informação e comunicação (UNESCO, 2021), capitaneadas por setores ligados ao ensino em diferentes IES como, por exemplo, a Prograd da Universidade Federal de Alfenas, UNIFAL (XAVIER, OLIVEIRA e RIBEIRO, 2021) e o Espaço de Apoio ao Ensino e Aprendizagem – ea</w:t>
      </w:r>
      <w:r w:rsidRPr="007C41F7">
        <w:rPr>
          <w:rFonts w:asciiTheme="majorHAnsi" w:hAnsiTheme="majorHAnsi" w:cstheme="majorHAnsi"/>
          <w:color w:val="000000"/>
          <w:sz w:val="24"/>
          <w:shd w:val="clear" w:color="auto" w:fill="FFFFFF"/>
          <w:vertAlign w:val="superscript"/>
        </w:rPr>
        <w:t>2</w:t>
      </w:r>
      <w:r w:rsidRPr="007C41F7">
        <w:rPr>
          <w:rFonts w:asciiTheme="majorHAnsi" w:hAnsiTheme="majorHAnsi" w:cstheme="majorHAnsi"/>
          <w:color w:val="000000"/>
          <w:sz w:val="24"/>
          <w:shd w:val="clear" w:color="auto" w:fill="FFFFFF"/>
        </w:rPr>
        <w:t xml:space="preserve"> da Universidade Estadual de Campinas, (UNICAMP, 2021).</w:t>
      </w:r>
    </w:p>
    <w:p w14:paraId="53A18A31" w14:textId="1E3341E7" w:rsidR="00EE3346" w:rsidRPr="007C41F7"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Finalmente, cabe ainda salientar que o uso de MAA desenvolve competências socioemocionais de forma mais efetiva, já que, normalmente, o estudante se depara com situações em que é levado a realizar a autogestão, se engajar com os colegas do grupo, ser amável e solidário, entre outras (MEC, 2017).</w:t>
      </w:r>
    </w:p>
    <w:p w14:paraId="773F6B9D" w14:textId="3352B650" w:rsidR="00EE3346"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Convém, ainda, destacar de apesar de muitos autores classificarem o “ensino híbrido” como uma metodologia ativa de aprendizagem, isso está errado a rigor, já que ensino presencial e a distância são formas de desenvolvimento dos cursos e, quando mescladas, originam diferentes densidades de ensino híbrido que, por consequência, também é uma forma de desenvolvimento das atividades, apesar de geralmente ser desenvolvido a partir das MAA, já que implica em espaço on-line para que o aluno realize suas buscas sobre o tema ou faça outras atividades propostas.</w:t>
      </w:r>
    </w:p>
    <w:p w14:paraId="0728F68E" w14:textId="77777777" w:rsidR="007C41F7" w:rsidRPr="007C41F7" w:rsidRDefault="007C41F7" w:rsidP="007C41F7">
      <w:pPr>
        <w:tabs>
          <w:tab w:val="clear" w:pos="1615"/>
        </w:tabs>
        <w:spacing w:line="360" w:lineRule="auto"/>
        <w:ind w:firstLine="709"/>
        <w:jc w:val="both"/>
        <w:rPr>
          <w:rFonts w:asciiTheme="majorHAnsi" w:hAnsiTheme="majorHAnsi" w:cstheme="majorHAnsi"/>
          <w:sz w:val="24"/>
          <w:szCs w:val="24"/>
        </w:rPr>
      </w:pPr>
    </w:p>
    <w:p w14:paraId="571062DD" w14:textId="77777777" w:rsidR="00EE3346" w:rsidRPr="00516038" w:rsidRDefault="00EE3346" w:rsidP="007C41F7">
      <w:pPr>
        <w:pStyle w:val="Ttulo2"/>
        <w:numPr>
          <w:ilvl w:val="1"/>
          <w:numId w:val="1"/>
        </w:numPr>
        <w:tabs>
          <w:tab w:val="clear" w:pos="1615"/>
        </w:tabs>
        <w:spacing w:before="0" w:after="0" w:line="360" w:lineRule="auto"/>
        <w:ind w:left="993"/>
        <w:rPr>
          <w:rFonts w:asciiTheme="majorHAnsi" w:hAnsiTheme="majorHAnsi" w:cstheme="majorHAnsi"/>
        </w:rPr>
      </w:pPr>
      <w:bookmarkStart w:id="56" w:name="_Toc89878051"/>
      <w:bookmarkStart w:id="57" w:name="_Toc102134988"/>
      <w:r w:rsidRPr="00516038">
        <w:rPr>
          <w:rFonts w:asciiTheme="majorHAnsi" w:hAnsiTheme="majorHAnsi" w:cstheme="majorHAnsi"/>
        </w:rPr>
        <w:t>MAA PARA O DESENVOLVIMENTO DE CURSOS</w:t>
      </w:r>
      <w:bookmarkEnd w:id="56"/>
      <w:bookmarkEnd w:id="57"/>
    </w:p>
    <w:p w14:paraId="2AADA9CE" w14:textId="0D738B88" w:rsidR="00EE3346" w:rsidRPr="007C41F7"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 xml:space="preserve">Algumas metodologias ativas podem ser o fio condutor do desenvolvimento dos cursos e, por isso, devem estar previstas em seus projetos pedagógicos. Há várias possibilidades, mas aqui serão destacadas três: a Aprendizagem Baseada em Problemas (ABP) </w:t>
      </w:r>
      <w:r w:rsidRPr="007C41F7">
        <w:rPr>
          <w:rFonts w:asciiTheme="majorHAnsi" w:hAnsiTheme="majorHAnsi" w:cstheme="majorHAnsi"/>
          <w:i/>
          <w:iCs/>
          <w:sz w:val="24"/>
          <w:szCs w:val="24"/>
        </w:rPr>
        <w:t>ou Problem Based Learning</w:t>
      </w:r>
      <w:r w:rsidRPr="007C41F7">
        <w:rPr>
          <w:rFonts w:asciiTheme="majorHAnsi" w:hAnsiTheme="majorHAnsi" w:cstheme="majorHAnsi"/>
          <w:sz w:val="24"/>
          <w:szCs w:val="24"/>
        </w:rPr>
        <w:t xml:space="preserve"> (PBL); a Pedagogia da Problematização (PP); e Aprendizagem Baseada em Projetos (ABP) ou </w:t>
      </w:r>
      <w:r w:rsidRPr="007C41F7">
        <w:rPr>
          <w:rFonts w:asciiTheme="majorHAnsi" w:hAnsiTheme="majorHAnsi" w:cstheme="majorHAnsi"/>
          <w:i/>
          <w:iCs/>
          <w:sz w:val="24"/>
          <w:szCs w:val="24"/>
        </w:rPr>
        <w:t>Project Based Learning</w:t>
      </w:r>
      <w:r w:rsidRPr="007C41F7">
        <w:rPr>
          <w:rFonts w:asciiTheme="majorHAnsi" w:hAnsiTheme="majorHAnsi" w:cstheme="majorHAnsi"/>
          <w:sz w:val="24"/>
          <w:szCs w:val="24"/>
        </w:rPr>
        <w:t xml:space="preserve"> (PBL). A sala de aula invertida também pode ser considerada uma técnica que pode permear a realização de todo um curso, mas será colocada juntamente com as metodologias ativas de aprendizagem para atividades curriculares mais especificas.</w:t>
      </w:r>
    </w:p>
    <w:p w14:paraId="6357FE6E" w14:textId="300FF3DC" w:rsidR="00EE3346" w:rsidRPr="00516038" w:rsidRDefault="007C41F7" w:rsidP="00516038">
      <w:pPr>
        <w:pStyle w:val="Ttulo3"/>
        <w:numPr>
          <w:ilvl w:val="2"/>
          <w:numId w:val="1"/>
        </w:numPr>
        <w:tabs>
          <w:tab w:val="clear" w:pos="1615"/>
        </w:tabs>
        <w:rPr>
          <w:rFonts w:asciiTheme="majorHAnsi" w:hAnsiTheme="majorHAnsi" w:cstheme="majorHAnsi"/>
        </w:rPr>
      </w:pPr>
      <w:bookmarkStart w:id="58" w:name="_Toc89878052"/>
      <w:bookmarkStart w:id="59" w:name="_Toc102134989"/>
      <w:r w:rsidRPr="00516038">
        <w:rPr>
          <w:rFonts w:asciiTheme="majorHAnsi" w:hAnsiTheme="majorHAnsi" w:cstheme="majorHAnsi"/>
        </w:rPr>
        <w:t>APRENDIZAGEM BASEADA EM PROBLEMAS (ABP)</w:t>
      </w:r>
      <w:bookmarkEnd w:id="58"/>
      <w:bookmarkEnd w:id="59"/>
    </w:p>
    <w:p w14:paraId="41C89D73" w14:textId="24BC9229" w:rsidR="00EE3346" w:rsidRPr="007C41F7"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 xml:space="preserve">A aprendizagem baseada em problemas, do inglês </w:t>
      </w:r>
      <w:r w:rsidRPr="007C41F7">
        <w:rPr>
          <w:rFonts w:asciiTheme="majorHAnsi" w:hAnsiTheme="majorHAnsi" w:cstheme="majorHAnsi"/>
          <w:i/>
          <w:iCs/>
          <w:sz w:val="24"/>
          <w:szCs w:val="24"/>
        </w:rPr>
        <w:t>Problem Based Learning</w:t>
      </w:r>
      <w:r w:rsidRPr="007C41F7">
        <w:rPr>
          <w:rFonts w:asciiTheme="majorHAnsi" w:hAnsiTheme="majorHAnsi" w:cstheme="majorHAnsi"/>
          <w:sz w:val="24"/>
          <w:szCs w:val="24"/>
        </w:rPr>
        <w:t xml:space="preserve"> e por isso conhecida como PBL, foi inicialmente utilizada no Canadá e Holanda ainda nos anos 1960 em cursos de medicina. O método se difundiu de forma acentuada especialmente nesses cursos e, posteriormente, também em outros cursos da área da saúde em especial, havendo hoje algumas outras áreas que fazem uso da metodologia, mas normalmente apenas em parte do curso ou em atividades curriculares específicas (RIBEIRO, 2008; ALMEIDA, 2016; ARAÚJO et al., 2016b).</w:t>
      </w:r>
    </w:p>
    <w:p w14:paraId="484D164D" w14:textId="3E5CFFD6" w:rsidR="00EE3346" w:rsidRPr="007C41F7"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Conforme salientado, a ABP é bastante utilizada na área da saúde em especial e consiste, basicamente, na apresentação de um problema que será resolvido ao longo de um determinado período do curso, normalmente um módulo, que congrega conhecimentos, habilidades e competências que serão necessários para isso. Assim, a partir de atividades diversas em sala de aula e em grupo, o problema é apresentado, discutido e são sugeridas questões de estudo que auxiliarão para que ele seja, ao final do período ou do módulo, equacionado. Também podem ser estruturados problemas de menor complexidade e em maior número, de modo a possibilitar o uso de diferentes conhecimentos para o desenvolvimento de um dado módulo ou tema.</w:t>
      </w:r>
    </w:p>
    <w:p w14:paraId="505D536D" w14:textId="10CF7A81" w:rsidR="00EE3346" w:rsidRPr="007C41F7"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A metodologia facilita uma abordagem interdisciplinar e desenvolve algumas habilidades entre os estudantes, como a capacidade de trabalho em grupos, criatividade, resiliência, empatia e organização. Pelo método, o grupo que em geral tem cerca de oito alunos, escolhe um líder para dirigir os trabalhos e um relator registrar. Os trabalhos do grupo são acompanhados por um tutor, mediador, ou docente que procura não interferir nos trabalhos e que não necessita, obrigatoriamente, de ter o conhecimento técnico para a resolução do problema apresentado, funcionando mais como um estimulador das tarefas e como auxiliador do controle do tempo, dos registros, e também da avaliação do grupo. Além dele, outro(s) docente(s) pode(m) participar na orientação e de esclarecimento de dúvidas específicas de conteúdo e para realizar exposições teóricas, palestras, debates etc.</w:t>
      </w:r>
    </w:p>
    <w:p w14:paraId="27565311" w14:textId="029B5E77" w:rsidR="00EE3346" w:rsidRPr="007C41F7"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Segundo Enemark e Kjaersdam (2009), a ABP traz como benefícios: a) auxiliar na integração universidade-empresa, ensino-pesquisa, pesquisa-empresa e na construção do conhecimento interdisciplinar; b) estimular a busca por conhecimentos atuais, a atualização dos professores, a criatividade, a capacidade de desenvolvimento de projetos e habilidades de comunicação; e c) criar um ambiente de aprendizagem eficaz e um entorno social dentro e fora da sala de aula.</w:t>
      </w:r>
    </w:p>
    <w:p w14:paraId="35BD7E2E" w14:textId="06B82CC7" w:rsidR="00EE3346" w:rsidRDefault="00EE3346" w:rsidP="007C41F7">
      <w:pPr>
        <w:tabs>
          <w:tab w:val="clear" w:pos="1615"/>
        </w:tabs>
        <w:spacing w:line="360" w:lineRule="auto"/>
        <w:ind w:firstLine="709"/>
        <w:jc w:val="both"/>
        <w:rPr>
          <w:rFonts w:asciiTheme="majorHAnsi" w:hAnsiTheme="majorHAnsi" w:cstheme="majorHAnsi"/>
          <w:sz w:val="24"/>
          <w:szCs w:val="24"/>
        </w:rPr>
      </w:pPr>
      <w:r w:rsidRPr="007C41F7">
        <w:rPr>
          <w:rFonts w:asciiTheme="majorHAnsi" w:hAnsiTheme="majorHAnsi" w:cstheme="majorHAnsi"/>
          <w:sz w:val="24"/>
          <w:szCs w:val="24"/>
        </w:rPr>
        <w:t>Soares et al. (2017) se baseiam em diferentes autores para apresentarem os sete passos que normalmente compõem a trajetória para desenvolvimento das ações na ABP. São eles:</w:t>
      </w:r>
    </w:p>
    <w:p w14:paraId="629A8357" w14:textId="77777777" w:rsidR="007C41F7" w:rsidRPr="007C41F7" w:rsidRDefault="007C41F7" w:rsidP="007C41F7">
      <w:pPr>
        <w:tabs>
          <w:tab w:val="clear" w:pos="1615"/>
        </w:tabs>
        <w:spacing w:line="360" w:lineRule="auto"/>
        <w:ind w:firstLine="709"/>
        <w:jc w:val="both"/>
        <w:rPr>
          <w:rFonts w:asciiTheme="majorHAnsi" w:hAnsiTheme="majorHAnsi" w:cstheme="majorHAnsi"/>
          <w:sz w:val="24"/>
          <w:szCs w:val="24"/>
        </w:rPr>
      </w:pPr>
    </w:p>
    <w:p w14:paraId="419E7DBB" w14:textId="77777777" w:rsidR="00EE3346" w:rsidRPr="0075363D" w:rsidRDefault="00EE3346" w:rsidP="00516038">
      <w:pPr>
        <w:pStyle w:val="PargrafodaLista"/>
        <w:numPr>
          <w:ilvl w:val="0"/>
          <w:numId w:val="7"/>
        </w:numPr>
        <w:tabs>
          <w:tab w:val="clear" w:pos="1615"/>
        </w:tabs>
        <w:ind w:right="849"/>
        <w:jc w:val="both"/>
        <w:rPr>
          <w:rFonts w:asciiTheme="majorHAnsi" w:hAnsiTheme="majorHAnsi" w:cstheme="majorHAnsi"/>
        </w:rPr>
      </w:pPr>
      <w:r w:rsidRPr="0075363D">
        <w:rPr>
          <w:rFonts w:asciiTheme="majorHAnsi" w:hAnsiTheme="majorHAnsi" w:cstheme="majorHAnsi"/>
        </w:rPr>
        <w:t>Apresentação da situação-problema/esclarecer termos;</w:t>
      </w:r>
    </w:p>
    <w:p w14:paraId="784A52A9" w14:textId="77777777" w:rsidR="00EE3346" w:rsidRPr="0075363D" w:rsidRDefault="00EE3346" w:rsidP="00516038">
      <w:pPr>
        <w:pStyle w:val="PargrafodaLista"/>
        <w:numPr>
          <w:ilvl w:val="0"/>
          <w:numId w:val="7"/>
        </w:numPr>
        <w:tabs>
          <w:tab w:val="clear" w:pos="1615"/>
        </w:tabs>
        <w:ind w:right="849"/>
        <w:jc w:val="both"/>
        <w:rPr>
          <w:rFonts w:asciiTheme="majorHAnsi" w:hAnsiTheme="majorHAnsi" w:cstheme="majorHAnsi"/>
        </w:rPr>
      </w:pPr>
      <w:r w:rsidRPr="0075363D">
        <w:rPr>
          <w:rFonts w:asciiTheme="majorHAnsi" w:hAnsiTheme="majorHAnsi" w:cstheme="majorHAnsi"/>
        </w:rPr>
        <w:t>Identificação do problema;</w:t>
      </w:r>
    </w:p>
    <w:p w14:paraId="56521488" w14:textId="77777777" w:rsidR="00EE3346" w:rsidRPr="0075363D" w:rsidRDefault="00EE3346" w:rsidP="00516038">
      <w:pPr>
        <w:pStyle w:val="PargrafodaLista"/>
        <w:numPr>
          <w:ilvl w:val="0"/>
          <w:numId w:val="7"/>
        </w:numPr>
        <w:tabs>
          <w:tab w:val="clear" w:pos="1615"/>
        </w:tabs>
        <w:ind w:right="849"/>
        <w:jc w:val="both"/>
        <w:rPr>
          <w:rFonts w:asciiTheme="majorHAnsi" w:hAnsiTheme="majorHAnsi" w:cstheme="majorHAnsi"/>
        </w:rPr>
      </w:pPr>
      <w:r w:rsidRPr="0075363D">
        <w:rPr>
          <w:rFonts w:asciiTheme="majorHAnsi" w:hAnsiTheme="majorHAnsi" w:cstheme="majorHAnsi"/>
        </w:rPr>
        <w:t>Tentativa de resolução com conhecimento disponível/discussão dos problemas;</w:t>
      </w:r>
    </w:p>
    <w:p w14:paraId="25EA780E" w14:textId="77777777" w:rsidR="00EE3346" w:rsidRPr="0075363D" w:rsidRDefault="00EE3346" w:rsidP="00516038">
      <w:pPr>
        <w:pStyle w:val="PargrafodaLista"/>
        <w:numPr>
          <w:ilvl w:val="0"/>
          <w:numId w:val="7"/>
        </w:numPr>
        <w:tabs>
          <w:tab w:val="clear" w:pos="1615"/>
        </w:tabs>
        <w:ind w:right="849"/>
        <w:jc w:val="both"/>
        <w:rPr>
          <w:rFonts w:asciiTheme="majorHAnsi" w:hAnsiTheme="majorHAnsi" w:cstheme="majorHAnsi"/>
        </w:rPr>
      </w:pPr>
      <w:r w:rsidRPr="0075363D">
        <w:rPr>
          <w:rFonts w:asciiTheme="majorHAnsi" w:hAnsiTheme="majorHAnsi" w:cstheme="majorHAnsi"/>
        </w:rPr>
        <w:t>Resumo da discussão;</w:t>
      </w:r>
    </w:p>
    <w:p w14:paraId="2F0C71FA" w14:textId="77777777" w:rsidR="00EE3346" w:rsidRPr="0075363D" w:rsidRDefault="00EE3346" w:rsidP="00516038">
      <w:pPr>
        <w:pStyle w:val="PargrafodaLista"/>
        <w:numPr>
          <w:ilvl w:val="0"/>
          <w:numId w:val="7"/>
        </w:numPr>
        <w:tabs>
          <w:tab w:val="clear" w:pos="1615"/>
        </w:tabs>
        <w:ind w:right="849"/>
        <w:jc w:val="both"/>
        <w:rPr>
          <w:rFonts w:asciiTheme="majorHAnsi" w:hAnsiTheme="majorHAnsi" w:cstheme="majorHAnsi"/>
        </w:rPr>
      </w:pPr>
      <w:r w:rsidRPr="0075363D">
        <w:rPr>
          <w:rFonts w:asciiTheme="majorHAnsi" w:hAnsiTheme="majorHAnsi" w:cstheme="majorHAnsi"/>
        </w:rPr>
        <w:t>Questões de estudo/objetivos de aprendizado;</w:t>
      </w:r>
    </w:p>
    <w:p w14:paraId="0B7D42D7" w14:textId="77777777" w:rsidR="00EE3346" w:rsidRPr="0075363D" w:rsidRDefault="00EE3346" w:rsidP="00516038">
      <w:pPr>
        <w:pStyle w:val="PargrafodaLista"/>
        <w:numPr>
          <w:ilvl w:val="0"/>
          <w:numId w:val="7"/>
        </w:numPr>
        <w:tabs>
          <w:tab w:val="clear" w:pos="1615"/>
        </w:tabs>
        <w:ind w:right="849"/>
        <w:jc w:val="both"/>
        <w:rPr>
          <w:rFonts w:asciiTheme="majorHAnsi" w:hAnsiTheme="majorHAnsi" w:cstheme="majorHAnsi"/>
        </w:rPr>
      </w:pPr>
      <w:r w:rsidRPr="0075363D">
        <w:rPr>
          <w:rFonts w:asciiTheme="majorHAnsi" w:hAnsiTheme="majorHAnsi" w:cstheme="majorHAnsi"/>
        </w:rPr>
        <w:t>Tentativa de resolução com conhecimento disponível/discussão dos problemas; e</w:t>
      </w:r>
    </w:p>
    <w:p w14:paraId="5F79DC5D" w14:textId="2F02DA4E" w:rsidR="00EE3346" w:rsidRPr="0075363D" w:rsidRDefault="00EE3346" w:rsidP="00516038">
      <w:pPr>
        <w:pStyle w:val="PargrafodaLista"/>
        <w:numPr>
          <w:ilvl w:val="0"/>
          <w:numId w:val="7"/>
        </w:numPr>
        <w:tabs>
          <w:tab w:val="clear" w:pos="1615"/>
        </w:tabs>
        <w:ind w:right="849"/>
        <w:jc w:val="both"/>
        <w:rPr>
          <w:rFonts w:asciiTheme="majorHAnsi" w:hAnsiTheme="majorHAnsi" w:cstheme="majorHAnsi"/>
        </w:rPr>
      </w:pPr>
      <w:r w:rsidRPr="0075363D">
        <w:rPr>
          <w:rFonts w:asciiTheme="majorHAnsi" w:hAnsiTheme="majorHAnsi" w:cstheme="majorHAnsi"/>
        </w:rPr>
        <w:t>Integração das informações e resolução do problema (SOARES et al., 2017, p. 115-116).</w:t>
      </w:r>
    </w:p>
    <w:p w14:paraId="1B7DA912" w14:textId="77777777" w:rsidR="007C41F7" w:rsidRPr="00516038" w:rsidRDefault="007C41F7" w:rsidP="007C41F7">
      <w:pPr>
        <w:pStyle w:val="PargrafodaLista"/>
        <w:tabs>
          <w:tab w:val="clear" w:pos="1615"/>
        </w:tabs>
        <w:ind w:left="2628" w:right="849"/>
        <w:jc w:val="both"/>
        <w:rPr>
          <w:rFonts w:asciiTheme="majorHAnsi" w:hAnsiTheme="majorHAnsi" w:cstheme="majorHAnsi"/>
        </w:rPr>
      </w:pPr>
    </w:p>
    <w:p w14:paraId="6107C6B5" w14:textId="5E8A762B" w:rsidR="00EE3346" w:rsidRPr="007C41F7" w:rsidRDefault="00EE3346" w:rsidP="007C41F7">
      <w:pPr>
        <w:tabs>
          <w:tab w:val="clear" w:pos="1615"/>
        </w:tabs>
        <w:spacing w:line="360" w:lineRule="auto"/>
        <w:ind w:right="-1" w:firstLine="709"/>
        <w:jc w:val="both"/>
        <w:rPr>
          <w:rFonts w:asciiTheme="majorHAnsi" w:hAnsiTheme="majorHAnsi" w:cstheme="majorHAnsi"/>
          <w:sz w:val="24"/>
          <w:szCs w:val="24"/>
        </w:rPr>
      </w:pPr>
      <w:r w:rsidRPr="007C41F7">
        <w:rPr>
          <w:rFonts w:asciiTheme="majorHAnsi" w:hAnsiTheme="majorHAnsi" w:cstheme="majorHAnsi"/>
          <w:sz w:val="24"/>
          <w:szCs w:val="24"/>
        </w:rPr>
        <w:t>Efetivamente, para cumprir os passos estabelecidos, os alunos necessitam compreender o problema apresentado e isso só pode ocorrer a partir da pesquisa sobre o que existe sobre o assunto na bibliografia especializada. Além disso, os dados obtidos a partir da pesquisa realizada devem ser compreendidos e analisados, substituindo a simples memorização dos métodos expositivos para o raciocínio, o que tem como consequência uma constante reflexão sobre tais conhecimentos, auxiliada pelos trabalhos que são desenvolvidos sempre em grupo (DIAS, TURRIONI e SILVA, 2012).</w:t>
      </w:r>
    </w:p>
    <w:p w14:paraId="025EEF51" w14:textId="00E44975" w:rsidR="00EE3346" w:rsidRPr="007C41F7" w:rsidRDefault="00EE3346" w:rsidP="007C41F7">
      <w:pPr>
        <w:tabs>
          <w:tab w:val="clear" w:pos="1615"/>
        </w:tabs>
        <w:spacing w:line="360" w:lineRule="auto"/>
        <w:ind w:right="-1" w:firstLine="709"/>
        <w:jc w:val="both"/>
        <w:rPr>
          <w:rFonts w:asciiTheme="majorHAnsi" w:hAnsiTheme="majorHAnsi" w:cstheme="majorHAnsi"/>
          <w:sz w:val="24"/>
          <w:szCs w:val="24"/>
        </w:rPr>
      </w:pPr>
      <w:r w:rsidRPr="007C41F7">
        <w:rPr>
          <w:rFonts w:asciiTheme="majorHAnsi" w:hAnsiTheme="majorHAnsi" w:cstheme="majorHAnsi"/>
          <w:sz w:val="24"/>
          <w:szCs w:val="24"/>
        </w:rPr>
        <w:t>A construção do problema é feita, normalmente, por uma comissão específica que conhece profundamente os conteúdos que devem fazer parte daquela formação, bem como os módulos temáticos que a compõem. Analisando o curso de medicina de Maastricht na Holanda, Sakai e Lima (1996) observam que essa construção também deve seguir a sete passos: 1) consistir de uma descrição neutra do fenômeno para o qual se deseja uma explicação no grupo tutorial; 2) ser formulado em termos concretos; 3) ser conciso; 4) ser isento de distrações; 5) dirigir o aprendizado a um número limitado de itens; 6) dirigir apenas a itens que possam ter alguma explicação baseada no conhecimento prévio dos alunos; e 7) exigir não mais que em torno de 16 horas de estudo independente dos alunos para que seja completamente entendido de um ponto de vista científico.</w:t>
      </w:r>
    </w:p>
    <w:p w14:paraId="0F0F9693" w14:textId="50E2CE51" w:rsidR="00EE3346" w:rsidRPr="007C41F7" w:rsidRDefault="00EE3346" w:rsidP="007C41F7">
      <w:pPr>
        <w:tabs>
          <w:tab w:val="clear" w:pos="1615"/>
        </w:tabs>
        <w:spacing w:line="360" w:lineRule="auto"/>
        <w:ind w:right="-1" w:firstLine="709"/>
        <w:jc w:val="both"/>
        <w:rPr>
          <w:rFonts w:asciiTheme="majorHAnsi" w:hAnsiTheme="majorHAnsi" w:cstheme="majorHAnsi"/>
          <w:sz w:val="24"/>
          <w:szCs w:val="24"/>
        </w:rPr>
      </w:pPr>
      <w:r w:rsidRPr="007C41F7">
        <w:rPr>
          <w:rFonts w:asciiTheme="majorHAnsi" w:hAnsiTheme="majorHAnsi" w:cstheme="majorHAnsi"/>
          <w:sz w:val="24"/>
          <w:szCs w:val="24"/>
        </w:rPr>
        <w:t>Isso remete a uma complexidade e uma aparente neutralidade científica que aumenta ainda mais o grau de dificuldade para as escolhas dos temas, o que ocasiona uma certa perenização dos problemas, causando alguns prejuízos que são sentidos em instituições brasileiras que usam a metodologia: estudantes de turmas ingressantes procuram seus colegas que já cumpriram o módulo em que se encontram, visando a abreviar o tempo gasto para o equacionamento e resolução do(s) problema(s) daquele módulo, o que deturpa totalmente a finalidade do uso dessa metodologia.</w:t>
      </w:r>
    </w:p>
    <w:p w14:paraId="641035F5" w14:textId="2811D7D7" w:rsidR="00EE3346" w:rsidRPr="007C41F7" w:rsidRDefault="00EE3346" w:rsidP="007C41F7">
      <w:pPr>
        <w:tabs>
          <w:tab w:val="clear" w:pos="1615"/>
        </w:tabs>
        <w:spacing w:line="360" w:lineRule="auto"/>
        <w:ind w:right="-1" w:firstLine="709"/>
        <w:jc w:val="both"/>
        <w:rPr>
          <w:rFonts w:asciiTheme="majorHAnsi" w:hAnsiTheme="majorHAnsi" w:cstheme="majorHAnsi"/>
          <w:sz w:val="24"/>
          <w:szCs w:val="24"/>
        </w:rPr>
      </w:pPr>
      <w:r w:rsidRPr="007C41F7">
        <w:rPr>
          <w:rFonts w:asciiTheme="majorHAnsi" w:hAnsiTheme="majorHAnsi" w:cstheme="majorHAnsi"/>
          <w:sz w:val="24"/>
          <w:szCs w:val="24"/>
        </w:rPr>
        <w:t>Além disso, os passos propostos em Maastricht levam a crer que os problemas são tratados com mais tecnicismo do que realismo, já que é difícil descontextualizar o problema para garantir sua neutralidade, concretude e rigor científico.</w:t>
      </w:r>
    </w:p>
    <w:p w14:paraId="5CF2DD75" w14:textId="77777777" w:rsidR="00EE3346" w:rsidRPr="00516038" w:rsidRDefault="00EE3346" w:rsidP="007C41F7">
      <w:pPr>
        <w:pStyle w:val="Ttulo3"/>
        <w:numPr>
          <w:ilvl w:val="3"/>
          <w:numId w:val="1"/>
        </w:numPr>
        <w:tabs>
          <w:tab w:val="clear" w:pos="1615"/>
          <w:tab w:val="left" w:pos="1276"/>
        </w:tabs>
        <w:ind w:left="993" w:hanging="709"/>
        <w:rPr>
          <w:rFonts w:asciiTheme="majorHAnsi" w:hAnsiTheme="majorHAnsi" w:cstheme="majorHAnsi"/>
        </w:rPr>
      </w:pPr>
      <w:r w:rsidRPr="00516038">
        <w:rPr>
          <w:rFonts w:asciiTheme="majorHAnsi" w:hAnsiTheme="majorHAnsi" w:cstheme="majorHAnsi"/>
        </w:rPr>
        <w:t>Os Cursos de Enfermagem e Medicina já ofertados pela ESCS da UnDF</w:t>
      </w:r>
    </w:p>
    <w:p w14:paraId="6C26A918" w14:textId="4F920CF3" w:rsidR="00EE3346" w:rsidRPr="0075363D" w:rsidRDefault="00EE3346" w:rsidP="0075363D">
      <w:pPr>
        <w:tabs>
          <w:tab w:val="clear" w:pos="1615"/>
        </w:tabs>
        <w:spacing w:line="360" w:lineRule="auto"/>
        <w:ind w:right="-1"/>
        <w:jc w:val="both"/>
        <w:rPr>
          <w:rFonts w:asciiTheme="majorHAnsi" w:hAnsiTheme="majorHAnsi" w:cstheme="majorHAnsi"/>
          <w:sz w:val="24"/>
          <w:szCs w:val="24"/>
        </w:rPr>
      </w:pPr>
      <w:r w:rsidRPr="0075363D">
        <w:rPr>
          <w:rFonts w:asciiTheme="majorHAnsi" w:hAnsiTheme="majorHAnsi" w:cstheme="majorHAnsi"/>
          <w:sz w:val="24"/>
          <w:szCs w:val="24"/>
        </w:rPr>
        <w:t>A ESCS, agora pertencente à UnDF, tem seus cursos estruturados com a ABP e isso tem acarretado uma formação de qualidade e reconhecida socialmente, a partir da formação de um egresso mais independente e apto para lidar com problemas e situações diversas.</w:t>
      </w:r>
    </w:p>
    <w:p w14:paraId="2231E486" w14:textId="3107A8CF" w:rsidR="00EE3346" w:rsidRPr="0075363D" w:rsidRDefault="00EE3346" w:rsidP="0075363D">
      <w:pPr>
        <w:tabs>
          <w:tab w:val="clear" w:pos="1615"/>
        </w:tabs>
        <w:spacing w:line="360" w:lineRule="auto"/>
        <w:ind w:right="-1"/>
        <w:jc w:val="both"/>
        <w:rPr>
          <w:rFonts w:asciiTheme="majorHAnsi" w:hAnsiTheme="majorHAnsi" w:cstheme="majorHAnsi"/>
          <w:sz w:val="24"/>
          <w:szCs w:val="24"/>
        </w:rPr>
      </w:pPr>
      <w:r w:rsidRPr="0075363D">
        <w:rPr>
          <w:rFonts w:asciiTheme="majorHAnsi" w:hAnsiTheme="majorHAnsi" w:cstheme="majorHAnsi"/>
          <w:sz w:val="24"/>
          <w:szCs w:val="24"/>
        </w:rPr>
        <w:t>Um esquema simplificado do curso é mostrado na Figura 3.2, a seguir, que apresenta uma distribuição das atividades em cada um dos quatro anos de funcionamento do curso, que sofreu alterações para sua melhoria a partir de 2019 e que leva em conta uma carga horária de 36 horas de atividades semanais.</w:t>
      </w:r>
    </w:p>
    <w:p w14:paraId="6F18A43F" w14:textId="77777777" w:rsidR="00EE3346" w:rsidRPr="00516038" w:rsidRDefault="00EE3346" w:rsidP="0075363D">
      <w:pPr>
        <w:tabs>
          <w:tab w:val="clear" w:pos="1615"/>
        </w:tabs>
        <w:ind w:right="849"/>
        <w:rPr>
          <w:rFonts w:asciiTheme="majorHAnsi" w:hAnsiTheme="majorHAnsi" w:cstheme="majorHAnsi"/>
          <w:sz w:val="20"/>
        </w:rPr>
      </w:pPr>
      <w:r w:rsidRPr="00516038">
        <w:rPr>
          <w:rFonts w:asciiTheme="majorHAnsi" w:hAnsiTheme="majorHAnsi" w:cstheme="majorHAnsi"/>
          <w:sz w:val="20"/>
        </w:rPr>
        <w:t>Figura 3.2. Resumo do desenvolvimento do curso de Enfermagem da UnDF</w:t>
      </w:r>
    </w:p>
    <w:p w14:paraId="1F61EE3D" w14:textId="77777777" w:rsidR="00EE3346" w:rsidRPr="00516038" w:rsidRDefault="00EE3346" w:rsidP="00516038">
      <w:pPr>
        <w:tabs>
          <w:tab w:val="clear" w:pos="1615"/>
        </w:tabs>
        <w:spacing w:after="0"/>
        <w:ind w:right="851"/>
        <w:jc w:val="both"/>
        <w:rPr>
          <w:rFonts w:asciiTheme="majorHAnsi" w:hAnsiTheme="majorHAnsi" w:cstheme="majorHAnsi"/>
        </w:rPr>
      </w:pPr>
      <w:r w:rsidRPr="00516038">
        <w:rPr>
          <w:rFonts w:asciiTheme="majorHAnsi" w:hAnsiTheme="majorHAnsi" w:cstheme="majorHAnsi"/>
          <w:noProof/>
          <w:lang w:eastAsia="pt-BR"/>
        </w:rPr>
        <w:drawing>
          <wp:inline distT="0" distB="0" distL="0" distR="0" wp14:anchorId="40634FF4" wp14:editId="3CFF0DBF">
            <wp:extent cx="6120130" cy="1514212"/>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0130" cy="1514212"/>
                    </a:xfrm>
                    <a:prstGeom prst="rect">
                      <a:avLst/>
                    </a:prstGeom>
                    <a:noFill/>
                    <a:ln>
                      <a:noFill/>
                    </a:ln>
                  </pic:spPr>
                </pic:pic>
              </a:graphicData>
            </a:graphic>
          </wp:inline>
        </w:drawing>
      </w:r>
    </w:p>
    <w:p w14:paraId="0AFD5CA0" w14:textId="77777777" w:rsidR="00EE3346" w:rsidRPr="00516038" w:rsidRDefault="00EE3346" w:rsidP="0075363D">
      <w:pPr>
        <w:tabs>
          <w:tab w:val="clear" w:pos="1615"/>
        </w:tabs>
        <w:ind w:right="851"/>
        <w:rPr>
          <w:rFonts w:asciiTheme="majorHAnsi" w:hAnsiTheme="majorHAnsi" w:cstheme="majorHAnsi"/>
          <w:sz w:val="16"/>
        </w:rPr>
      </w:pPr>
      <w:r w:rsidRPr="00516038">
        <w:rPr>
          <w:rFonts w:asciiTheme="majorHAnsi" w:hAnsiTheme="majorHAnsi" w:cstheme="majorHAnsi"/>
          <w:sz w:val="16"/>
        </w:rPr>
        <w:t>Fonte: Projeto Pedagógico do Curso de Enfermagem (FEPCS, 2021a)</w:t>
      </w:r>
    </w:p>
    <w:p w14:paraId="34D71E06" w14:textId="77777777" w:rsidR="00EE3346" w:rsidRPr="00516038" w:rsidRDefault="00EE3346" w:rsidP="00516038">
      <w:pPr>
        <w:tabs>
          <w:tab w:val="clear" w:pos="1615"/>
        </w:tabs>
        <w:ind w:right="851"/>
        <w:jc w:val="center"/>
        <w:rPr>
          <w:rFonts w:asciiTheme="majorHAnsi" w:hAnsiTheme="majorHAnsi" w:cstheme="majorHAnsi"/>
          <w:sz w:val="16"/>
        </w:rPr>
      </w:pPr>
    </w:p>
    <w:p w14:paraId="3BA792FD" w14:textId="0DE3E192" w:rsidR="00EE3346" w:rsidRPr="0075363D" w:rsidRDefault="00EE3346" w:rsidP="0075363D">
      <w:pPr>
        <w:tabs>
          <w:tab w:val="clear" w:pos="1615"/>
        </w:tabs>
        <w:spacing w:line="360" w:lineRule="auto"/>
        <w:ind w:right="-1" w:firstLine="709"/>
        <w:jc w:val="both"/>
        <w:rPr>
          <w:rFonts w:asciiTheme="majorHAnsi" w:hAnsiTheme="majorHAnsi" w:cstheme="majorHAnsi"/>
          <w:sz w:val="24"/>
          <w:szCs w:val="24"/>
        </w:rPr>
      </w:pPr>
      <w:r w:rsidRPr="0075363D">
        <w:rPr>
          <w:rFonts w:asciiTheme="majorHAnsi" w:hAnsiTheme="majorHAnsi" w:cstheme="majorHAnsi"/>
          <w:sz w:val="24"/>
          <w:szCs w:val="24"/>
        </w:rPr>
        <w:t>O projeto pedagógico do curso de enfermagem (FEPCS, 2021a), modificado a partir de 2019, prevê carga horária total de 6.048 horas de atividades, distribuídas em 23 módulos desenvolvidos com a metodologia ABP, que perfazem 702 horas anuais ou 2.106 horas totais nos três anos em que são desenvolvidas como dinâmicas tutoriais (DT). Além delas, há a mesma carga horária (702 horas/ano ou 2.106 horas totais) em atividades que desenvolvem Habilidades Profissionais em Enfermagem (HPE) e, finalmente, 324 horas (102/ano) correspondem a três disciplinas eletivas em elenco fornecido pela instituição. O 4.</w:t>
      </w:r>
      <w:r w:rsidRPr="0075363D">
        <w:rPr>
          <w:rFonts w:asciiTheme="majorHAnsi" w:hAnsiTheme="majorHAnsi" w:cstheme="majorHAnsi"/>
          <w:sz w:val="24"/>
          <w:szCs w:val="24"/>
          <w:vertAlign w:val="superscript"/>
        </w:rPr>
        <w:t>o</w:t>
      </w:r>
      <w:r w:rsidRPr="0075363D">
        <w:rPr>
          <w:rFonts w:asciiTheme="majorHAnsi" w:hAnsiTheme="majorHAnsi" w:cstheme="majorHAnsi"/>
          <w:sz w:val="24"/>
          <w:szCs w:val="24"/>
        </w:rPr>
        <w:t xml:space="preserve"> ano, apresenta 1.428 horas de estágios nos setores ligados à Secretaria de Saúde Distrital (EC) e 84 horas para o desenvolvimento do Trabalho de Conclusão do Curso (TCC). </w:t>
      </w:r>
    </w:p>
    <w:p w14:paraId="26BEC057" w14:textId="7A5165BE" w:rsidR="00EE3346" w:rsidRPr="0075363D" w:rsidRDefault="00EE3346" w:rsidP="0075363D">
      <w:pPr>
        <w:tabs>
          <w:tab w:val="clear" w:pos="1615"/>
        </w:tabs>
        <w:spacing w:line="360" w:lineRule="auto"/>
        <w:ind w:right="-1" w:firstLine="709"/>
        <w:jc w:val="both"/>
        <w:rPr>
          <w:rFonts w:asciiTheme="majorHAnsi" w:hAnsiTheme="majorHAnsi" w:cstheme="majorHAnsi"/>
          <w:sz w:val="24"/>
          <w:szCs w:val="24"/>
        </w:rPr>
      </w:pPr>
      <w:r w:rsidRPr="0075363D">
        <w:rPr>
          <w:rFonts w:asciiTheme="majorHAnsi" w:hAnsiTheme="majorHAnsi" w:cstheme="majorHAnsi"/>
          <w:sz w:val="24"/>
          <w:szCs w:val="24"/>
        </w:rPr>
        <w:t>Segundo consta no PPC de enfermagem, a ABP desenvolve o domínio cognitivo do estudante e se processa nas DT que se desenvolvem nos sete passos já citados acima para a metodologia; as HPE se desenvolvem com a metodologia da problematização, no domínio das habilidades e usa o arco de Maguerez que será detalhado adiante. Os grupos na ABP têm de oito a dez discentes e têm a direção de um tutor. Cada módulo tem, em média, oito problemas e dura em torno de seis semanas.</w:t>
      </w:r>
    </w:p>
    <w:p w14:paraId="7EE58791" w14:textId="1FB923B6" w:rsidR="00EE3346" w:rsidRPr="0075363D" w:rsidRDefault="00EE3346" w:rsidP="0075363D">
      <w:pPr>
        <w:tabs>
          <w:tab w:val="clear" w:pos="1615"/>
        </w:tabs>
        <w:spacing w:line="360" w:lineRule="auto"/>
        <w:ind w:right="-1" w:firstLine="709"/>
        <w:jc w:val="both"/>
        <w:rPr>
          <w:rFonts w:asciiTheme="majorHAnsi" w:hAnsiTheme="majorHAnsi" w:cstheme="majorHAnsi"/>
          <w:sz w:val="24"/>
          <w:szCs w:val="24"/>
        </w:rPr>
      </w:pPr>
      <w:r w:rsidRPr="0075363D">
        <w:rPr>
          <w:rFonts w:asciiTheme="majorHAnsi" w:hAnsiTheme="majorHAnsi" w:cstheme="majorHAnsi"/>
          <w:sz w:val="24"/>
          <w:szCs w:val="24"/>
        </w:rPr>
        <w:t xml:space="preserve">Assim, as atividades modulares são desenvolvidas com a ABP e também com a metodologia problematizadora e Arco de Maguerez e as habilidades profissionais podem ser laboratoriais ou desenvolvidas na Secretaria de Saúde do DF. </w:t>
      </w:r>
    </w:p>
    <w:p w14:paraId="468ECE32" w14:textId="1C9BAFFF" w:rsidR="00EE3346" w:rsidRPr="0075363D" w:rsidRDefault="00EE3346" w:rsidP="0075363D">
      <w:pPr>
        <w:tabs>
          <w:tab w:val="clear" w:pos="1615"/>
        </w:tabs>
        <w:spacing w:line="360" w:lineRule="auto"/>
        <w:ind w:right="-1" w:firstLine="709"/>
        <w:jc w:val="both"/>
        <w:rPr>
          <w:rFonts w:asciiTheme="majorHAnsi" w:hAnsiTheme="majorHAnsi" w:cstheme="majorHAnsi"/>
          <w:sz w:val="24"/>
          <w:szCs w:val="24"/>
        </w:rPr>
      </w:pPr>
      <w:r w:rsidRPr="0075363D">
        <w:rPr>
          <w:rFonts w:asciiTheme="majorHAnsi" w:hAnsiTheme="majorHAnsi" w:cstheme="majorHAnsi"/>
          <w:sz w:val="24"/>
          <w:szCs w:val="24"/>
        </w:rPr>
        <w:t>Há um conjunto de 12 docentes para a gestão do curso, envolvendo suas coordenações, gerências e coordenadorias explicitadas no PPC em sua página 82 (FEPCS, 2021a).</w:t>
      </w:r>
    </w:p>
    <w:p w14:paraId="6F892C34" w14:textId="1BBB89EE" w:rsidR="00EE3346" w:rsidRPr="0075363D" w:rsidRDefault="00EE3346" w:rsidP="0075363D">
      <w:pPr>
        <w:tabs>
          <w:tab w:val="clear" w:pos="1615"/>
        </w:tabs>
        <w:spacing w:line="360" w:lineRule="auto"/>
        <w:ind w:right="-1" w:firstLine="709"/>
        <w:jc w:val="both"/>
        <w:rPr>
          <w:rFonts w:asciiTheme="majorHAnsi" w:hAnsiTheme="majorHAnsi" w:cstheme="majorHAnsi"/>
          <w:sz w:val="24"/>
          <w:szCs w:val="24"/>
        </w:rPr>
      </w:pPr>
      <w:r w:rsidRPr="0075363D">
        <w:rPr>
          <w:rFonts w:asciiTheme="majorHAnsi" w:hAnsiTheme="majorHAnsi" w:cstheme="majorHAnsi"/>
          <w:sz w:val="24"/>
          <w:szCs w:val="24"/>
        </w:rPr>
        <w:t>O Projeto Pedagógico da Medicina data de 2018 e teve sua última revisão em 2021 (FEPCS, 2021b). Na medicina, há 26 módulos desenvolvidos do 1.</w:t>
      </w:r>
      <w:r w:rsidRPr="0075363D">
        <w:rPr>
          <w:rFonts w:asciiTheme="majorHAnsi" w:hAnsiTheme="majorHAnsi" w:cstheme="majorHAnsi"/>
          <w:sz w:val="24"/>
          <w:szCs w:val="24"/>
          <w:vertAlign w:val="superscript"/>
        </w:rPr>
        <w:t>o</w:t>
      </w:r>
      <w:r w:rsidRPr="0075363D">
        <w:rPr>
          <w:rFonts w:asciiTheme="majorHAnsi" w:hAnsiTheme="majorHAnsi" w:cstheme="majorHAnsi"/>
          <w:sz w:val="24"/>
          <w:szCs w:val="24"/>
        </w:rPr>
        <w:t xml:space="preserve"> ao 4.</w:t>
      </w:r>
      <w:r w:rsidRPr="0075363D">
        <w:rPr>
          <w:rFonts w:asciiTheme="majorHAnsi" w:hAnsiTheme="majorHAnsi" w:cstheme="majorHAnsi"/>
          <w:sz w:val="24"/>
          <w:szCs w:val="24"/>
          <w:vertAlign w:val="superscript"/>
        </w:rPr>
        <w:t>o</w:t>
      </w:r>
      <w:r w:rsidRPr="0075363D" w:rsidDel="00042610">
        <w:rPr>
          <w:rFonts w:asciiTheme="majorHAnsi" w:hAnsiTheme="majorHAnsi" w:cstheme="majorHAnsi"/>
          <w:sz w:val="24"/>
          <w:szCs w:val="24"/>
        </w:rPr>
        <w:t xml:space="preserve"> </w:t>
      </w:r>
      <w:r w:rsidRPr="0075363D">
        <w:rPr>
          <w:rFonts w:asciiTheme="majorHAnsi" w:hAnsiTheme="majorHAnsi" w:cstheme="majorHAnsi"/>
          <w:sz w:val="24"/>
          <w:szCs w:val="24"/>
        </w:rPr>
        <w:t>ano do curso, a partir da ABP e que representam pouco menos de 50% da carga horária total para a integralização, que atinge 9.972 horas de atividades.</w:t>
      </w:r>
    </w:p>
    <w:p w14:paraId="7C71B123" w14:textId="04A71D19" w:rsidR="00EE3346" w:rsidRPr="0075363D" w:rsidRDefault="00EE3346" w:rsidP="0075363D">
      <w:pPr>
        <w:tabs>
          <w:tab w:val="clear" w:pos="1615"/>
        </w:tabs>
        <w:spacing w:line="360" w:lineRule="auto"/>
        <w:ind w:right="-1" w:firstLine="709"/>
        <w:jc w:val="both"/>
        <w:rPr>
          <w:rFonts w:asciiTheme="majorHAnsi" w:hAnsiTheme="majorHAnsi" w:cstheme="majorHAnsi"/>
          <w:sz w:val="24"/>
          <w:szCs w:val="24"/>
        </w:rPr>
      </w:pPr>
      <w:r w:rsidRPr="0075363D">
        <w:rPr>
          <w:rFonts w:asciiTheme="majorHAnsi" w:hAnsiTheme="majorHAnsi" w:cstheme="majorHAnsi"/>
          <w:sz w:val="24"/>
          <w:szCs w:val="24"/>
        </w:rPr>
        <w:t>Um resumo esquemático do desenvolvimento do curso é mostrado na Figura 3.3</w:t>
      </w:r>
    </w:p>
    <w:p w14:paraId="30A57B6F" w14:textId="77777777" w:rsidR="00EE3346" w:rsidRPr="00516038" w:rsidRDefault="00EE3346" w:rsidP="0075363D">
      <w:pPr>
        <w:tabs>
          <w:tab w:val="clear" w:pos="1615"/>
        </w:tabs>
        <w:ind w:right="-1"/>
        <w:rPr>
          <w:rFonts w:asciiTheme="majorHAnsi" w:hAnsiTheme="majorHAnsi" w:cstheme="majorHAnsi"/>
          <w:sz w:val="20"/>
        </w:rPr>
      </w:pPr>
      <w:r w:rsidRPr="00516038">
        <w:rPr>
          <w:rFonts w:asciiTheme="majorHAnsi" w:hAnsiTheme="majorHAnsi" w:cstheme="majorHAnsi"/>
          <w:sz w:val="20"/>
        </w:rPr>
        <w:t>Figura 3.3. Resumo do desenvolvimento do curso de Medicina da UnDF</w:t>
      </w:r>
    </w:p>
    <w:p w14:paraId="577D2492" w14:textId="77777777" w:rsidR="00EE3346" w:rsidRPr="00516038" w:rsidRDefault="00EE3346" w:rsidP="00516038">
      <w:pPr>
        <w:tabs>
          <w:tab w:val="clear" w:pos="1615"/>
        </w:tabs>
        <w:spacing w:after="0"/>
        <w:ind w:right="851"/>
        <w:jc w:val="both"/>
        <w:rPr>
          <w:rFonts w:asciiTheme="majorHAnsi" w:hAnsiTheme="majorHAnsi" w:cstheme="majorHAnsi"/>
        </w:rPr>
      </w:pPr>
      <w:r w:rsidRPr="00516038">
        <w:rPr>
          <w:rFonts w:asciiTheme="majorHAnsi" w:hAnsiTheme="majorHAnsi" w:cstheme="majorHAnsi"/>
          <w:noProof/>
          <w:lang w:eastAsia="pt-BR"/>
        </w:rPr>
        <w:drawing>
          <wp:inline distT="0" distB="0" distL="0" distR="0" wp14:anchorId="1FBF2484" wp14:editId="7827785E">
            <wp:extent cx="5638800" cy="2754168"/>
            <wp:effectExtent l="0" t="0" r="0" b="825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42250" cy="2755853"/>
                    </a:xfrm>
                    <a:prstGeom prst="rect">
                      <a:avLst/>
                    </a:prstGeom>
                    <a:noFill/>
                    <a:ln>
                      <a:noFill/>
                    </a:ln>
                  </pic:spPr>
                </pic:pic>
              </a:graphicData>
            </a:graphic>
          </wp:inline>
        </w:drawing>
      </w:r>
    </w:p>
    <w:p w14:paraId="76F0C74F" w14:textId="77777777" w:rsidR="00EE3346" w:rsidRPr="00516038" w:rsidRDefault="00EE3346" w:rsidP="0075363D">
      <w:pPr>
        <w:tabs>
          <w:tab w:val="clear" w:pos="1615"/>
        </w:tabs>
        <w:ind w:right="851"/>
        <w:rPr>
          <w:rFonts w:asciiTheme="majorHAnsi" w:hAnsiTheme="majorHAnsi" w:cstheme="majorHAnsi"/>
          <w:sz w:val="16"/>
        </w:rPr>
      </w:pPr>
      <w:r w:rsidRPr="00516038">
        <w:rPr>
          <w:rFonts w:asciiTheme="majorHAnsi" w:hAnsiTheme="majorHAnsi" w:cstheme="majorHAnsi"/>
          <w:sz w:val="16"/>
        </w:rPr>
        <w:t>Fonte: Projeto Pedagógico do Curso de Medicina (FEPCS, 2021b)</w:t>
      </w:r>
    </w:p>
    <w:p w14:paraId="0E1B0C7A" w14:textId="77777777" w:rsidR="00EE3346" w:rsidRPr="00516038" w:rsidRDefault="00EE3346" w:rsidP="00516038">
      <w:pPr>
        <w:tabs>
          <w:tab w:val="clear" w:pos="1615"/>
        </w:tabs>
        <w:ind w:right="851"/>
        <w:jc w:val="center"/>
        <w:rPr>
          <w:rFonts w:asciiTheme="majorHAnsi" w:hAnsiTheme="majorHAnsi" w:cstheme="majorHAnsi"/>
          <w:sz w:val="16"/>
        </w:rPr>
      </w:pPr>
    </w:p>
    <w:p w14:paraId="3EBA51A7" w14:textId="1A13ECF3" w:rsidR="00EE3346" w:rsidRPr="0075363D" w:rsidRDefault="00EE3346" w:rsidP="0075363D">
      <w:pPr>
        <w:tabs>
          <w:tab w:val="clear" w:pos="1615"/>
        </w:tabs>
        <w:spacing w:line="360" w:lineRule="auto"/>
        <w:ind w:right="-1" w:firstLine="708"/>
        <w:jc w:val="both"/>
        <w:rPr>
          <w:rFonts w:asciiTheme="majorHAnsi" w:hAnsiTheme="majorHAnsi" w:cstheme="majorHAnsi"/>
          <w:sz w:val="24"/>
          <w:szCs w:val="24"/>
        </w:rPr>
      </w:pPr>
      <w:r w:rsidRPr="0075363D">
        <w:rPr>
          <w:rFonts w:asciiTheme="majorHAnsi" w:hAnsiTheme="majorHAnsi" w:cstheme="majorHAnsi"/>
          <w:sz w:val="24"/>
          <w:szCs w:val="24"/>
        </w:rPr>
        <w:t>Além dos módulos reservados para os problemas escolhidos pela comissão específica para tal, existem 984 horas de atividades chamadas de Interação Ensino-Serviços e Comunidade (IESC) que desenvolvem atividades vinculadas à realidade da saúde da população, com ações de promoção, de proteção e de recuperação da saúde em equipe multidisciplinar. Elas são desenvolvidas usando a pedagogia da problematização e o Arco de Maguerez.</w:t>
      </w:r>
    </w:p>
    <w:p w14:paraId="0CDB4964" w14:textId="0975E7D8" w:rsidR="00EE3346" w:rsidRPr="0075363D" w:rsidRDefault="00EE3346" w:rsidP="0075363D">
      <w:pPr>
        <w:tabs>
          <w:tab w:val="clear" w:pos="1615"/>
        </w:tabs>
        <w:spacing w:line="360" w:lineRule="auto"/>
        <w:ind w:right="-1" w:firstLine="708"/>
        <w:jc w:val="both"/>
        <w:rPr>
          <w:rFonts w:asciiTheme="majorHAnsi" w:hAnsiTheme="majorHAnsi" w:cstheme="majorHAnsi"/>
          <w:sz w:val="24"/>
          <w:szCs w:val="24"/>
        </w:rPr>
      </w:pPr>
      <w:r w:rsidRPr="0075363D">
        <w:rPr>
          <w:rFonts w:asciiTheme="majorHAnsi" w:hAnsiTheme="majorHAnsi" w:cstheme="majorHAnsi"/>
          <w:sz w:val="24"/>
          <w:szCs w:val="24"/>
        </w:rPr>
        <w:t>Outras 760 horas, chamadas de Habilidades e Atitudes (HA), compõem a aprendizagem de habilidades clínicas complexas e treinamentos, desenvolvidas com metodologia específica, denominada: Cognição, Demonstração, Explicação, Execução, Repetição (CDEER), segundo Ker (2009, apud FEPCS, 2021b).</w:t>
      </w:r>
    </w:p>
    <w:p w14:paraId="539B2D03" w14:textId="0B4BFA7A" w:rsidR="00EE3346" w:rsidRPr="0075363D" w:rsidRDefault="00EE3346" w:rsidP="0075363D">
      <w:pPr>
        <w:tabs>
          <w:tab w:val="clear" w:pos="1615"/>
        </w:tabs>
        <w:spacing w:line="360" w:lineRule="auto"/>
        <w:ind w:right="-1" w:firstLine="708"/>
        <w:jc w:val="both"/>
        <w:rPr>
          <w:rFonts w:asciiTheme="majorHAnsi" w:hAnsiTheme="majorHAnsi" w:cstheme="majorHAnsi"/>
          <w:sz w:val="24"/>
          <w:szCs w:val="24"/>
        </w:rPr>
      </w:pPr>
      <w:r w:rsidRPr="0075363D">
        <w:rPr>
          <w:rFonts w:asciiTheme="majorHAnsi" w:hAnsiTheme="majorHAnsi" w:cstheme="majorHAnsi"/>
          <w:sz w:val="24"/>
          <w:szCs w:val="24"/>
        </w:rPr>
        <w:t>Finalmente, há o estágio curricular obrigatório ou o internato, que corresponde a dois anos de atividades e que resulta em 3.720 horas.</w:t>
      </w:r>
    </w:p>
    <w:p w14:paraId="031AA1F6" w14:textId="7CD4C5DA" w:rsidR="00EE3346" w:rsidRPr="0075363D" w:rsidRDefault="00EE3346" w:rsidP="0075363D">
      <w:pPr>
        <w:tabs>
          <w:tab w:val="clear" w:pos="1615"/>
        </w:tabs>
        <w:spacing w:line="360" w:lineRule="auto"/>
        <w:ind w:right="-1" w:firstLine="708"/>
        <w:jc w:val="both"/>
        <w:rPr>
          <w:rFonts w:asciiTheme="majorHAnsi" w:hAnsiTheme="majorHAnsi" w:cstheme="majorHAnsi"/>
          <w:sz w:val="24"/>
          <w:szCs w:val="24"/>
        </w:rPr>
      </w:pPr>
      <w:r w:rsidRPr="0075363D">
        <w:rPr>
          <w:rFonts w:asciiTheme="majorHAnsi" w:hAnsiTheme="majorHAnsi" w:cstheme="majorHAnsi"/>
          <w:sz w:val="24"/>
          <w:szCs w:val="24"/>
        </w:rPr>
        <w:t>A gestão do curso é realizada por um conjunto de 14 docentes, conforme informa o PPC em sua página 4 (FEPCS, 2021b).</w:t>
      </w:r>
    </w:p>
    <w:p w14:paraId="103F9E8B" w14:textId="4F55194A" w:rsidR="00EE3346" w:rsidRPr="00516038" w:rsidRDefault="00EE3346" w:rsidP="0075363D">
      <w:pPr>
        <w:tabs>
          <w:tab w:val="clear" w:pos="1615"/>
        </w:tabs>
        <w:spacing w:line="360" w:lineRule="auto"/>
        <w:ind w:right="-1" w:firstLine="708"/>
        <w:jc w:val="both"/>
        <w:rPr>
          <w:rFonts w:asciiTheme="majorHAnsi" w:hAnsiTheme="majorHAnsi" w:cstheme="majorHAnsi"/>
        </w:rPr>
      </w:pPr>
      <w:r w:rsidRPr="0075363D">
        <w:rPr>
          <w:rFonts w:asciiTheme="majorHAnsi" w:hAnsiTheme="majorHAnsi" w:cstheme="majorHAnsi"/>
          <w:sz w:val="24"/>
          <w:szCs w:val="24"/>
        </w:rPr>
        <w:t>Pode-se notar que os cursos ofertados apresentam estruturação baseada na ABP que responde por cerca de 35% da carga horária do curso de enfermagem e 45% da carga horária do curso de medicina.</w:t>
      </w:r>
    </w:p>
    <w:p w14:paraId="73B1E581" w14:textId="2CDA5755" w:rsidR="00EE3346" w:rsidRPr="00516038" w:rsidRDefault="0075363D" w:rsidP="0075363D">
      <w:pPr>
        <w:pStyle w:val="Ttulo3"/>
        <w:numPr>
          <w:ilvl w:val="2"/>
          <w:numId w:val="1"/>
        </w:numPr>
        <w:ind w:left="709" w:hanging="709"/>
        <w:rPr>
          <w:rFonts w:asciiTheme="majorHAnsi" w:hAnsiTheme="majorHAnsi" w:cstheme="majorHAnsi"/>
        </w:rPr>
      </w:pPr>
      <w:bookmarkStart w:id="60" w:name="_Toc89878053"/>
      <w:bookmarkStart w:id="61" w:name="_Toc102134990"/>
      <w:r w:rsidRPr="00516038">
        <w:rPr>
          <w:rFonts w:asciiTheme="majorHAnsi" w:hAnsiTheme="majorHAnsi" w:cstheme="majorHAnsi"/>
        </w:rPr>
        <w:t>PEDAGOGIA DA PROBLEMATIZAÇÃO (PP)</w:t>
      </w:r>
      <w:bookmarkEnd w:id="60"/>
      <w:bookmarkEnd w:id="61"/>
    </w:p>
    <w:p w14:paraId="0ABE69BF" w14:textId="77777777" w:rsidR="00EE3346" w:rsidRPr="0075363D" w:rsidRDefault="00EE3346" w:rsidP="0075363D">
      <w:pPr>
        <w:pStyle w:val="Pa25"/>
        <w:spacing w:after="160" w:line="360" w:lineRule="auto"/>
        <w:ind w:firstLine="708"/>
        <w:jc w:val="both"/>
        <w:rPr>
          <w:rFonts w:asciiTheme="majorHAnsi" w:hAnsiTheme="majorHAnsi" w:cstheme="majorHAnsi"/>
        </w:rPr>
      </w:pPr>
      <w:bookmarkStart w:id="62" w:name="_Toc89878054"/>
      <w:r w:rsidRPr="0075363D">
        <w:rPr>
          <w:rFonts w:asciiTheme="majorHAnsi" w:hAnsiTheme="majorHAnsi" w:cstheme="majorHAnsi"/>
        </w:rPr>
        <w:t>Considerada por alguns como a mesma metodologia proposta pela Aprendizagem Baseada em Problemas (ABP), a pedagogia da problematização tem, entretanto, algumas concepções e características que permitem colocá-la como uma forma diferenciada de desenvolvimento dos cursos daquele proposto e explicitado no item anterior.</w:t>
      </w:r>
    </w:p>
    <w:p w14:paraId="45EB7CCF" w14:textId="77777777" w:rsidR="00EE3346" w:rsidRPr="0075363D" w:rsidRDefault="00EE3346" w:rsidP="0075363D">
      <w:pPr>
        <w:pStyle w:val="Pa25"/>
        <w:spacing w:after="160" w:line="360" w:lineRule="auto"/>
        <w:ind w:firstLine="708"/>
        <w:jc w:val="both"/>
        <w:rPr>
          <w:rFonts w:asciiTheme="majorHAnsi" w:hAnsiTheme="majorHAnsi" w:cstheme="majorHAnsi"/>
        </w:rPr>
      </w:pPr>
      <w:r w:rsidRPr="0075363D">
        <w:rPr>
          <w:rFonts w:asciiTheme="majorHAnsi" w:hAnsiTheme="majorHAnsi" w:cstheme="majorHAnsi"/>
        </w:rPr>
        <w:t>Se a ABP teve origem nos cursos de medicina, a problematização é uma prática que vem se desenvolvendo em cursos de enfermagem há algumas décadas, nas formações mais técnicas de atuação e em cursos não universitários, com o uso do “Método do Arco, de Charles Maguerez”, descrito em cinco etapas a partir de um recorte da realidade desses cursos (BORDENAVE e PEREIRA, 1982). A sua adequação e uso em cursos superiores vem sendo proposta desde os anos 1990 pelo grupo da Prof</w:t>
      </w:r>
      <w:r w:rsidRPr="0075363D">
        <w:rPr>
          <w:rFonts w:asciiTheme="majorHAnsi" w:hAnsiTheme="majorHAnsi" w:cstheme="majorHAnsi"/>
          <w:vertAlign w:val="superscript"/>
        </w:rPr>
        <w:t>a</w:t>
      </w:r>
      <w:r w:rsidRPr="0075363D">
        <w:rPr>
          <w:rFonts w:asciiTheme="majorHAnsi" w:hAnsiTheme="majorHAnsi" w:cstheme="majorHAnsi"/>
        </w:rPr>
        <w:t>. Neusi Berbel que preconiza a sua utilização em situações em que os temas de estudo guardem relação com a vida em sociedade, mas não para todas as situações como propõe a ABP (BERBEL, 1998).</w:t>
      </w:r>
    </w:p>
    <w:p w14:paraId="761FE26B" w14:textId="19B73091" w:rsidR="00EE3346" w:rsidRDefault="00EE3346" w:rsidP="0075363D">
      <w:pPr>
        <w:pStyle w:val="Pa25"/>
        <w:spacing w:after="160" w:line="360" w:lineRule="auto"/>
        <w:ind w:firstLine="708"/>
        <w:jc w:val="both"/>
        <w:rPr>
          <w:rFonts w:asciiTheme="majorHAnsi" w:hAnsiTheme="majorHAnsi" w:cstheme="majorHAnsi"/>
        </w:rPr>
      </w:pPr>
      <w:r w:rsidRPr="0075363D">
        <w:rPr>
          <w:rFonts w:asciiTheme="majorHAnsi" w:hAnsiTheme="majorHAnsi" w:cstheme="majorHAnsi"/>
        </w:rPr>
        <w:t>Pelo Arco de Maguerez, há etapas a serem vencidas desde a observação, o equacionamento, a análise e a resolução de um determinado problema, conforme esquematizado na Figura 3.4.</w:t>
      </w:r>
    </w:p>
    <w:p w14:paraId="23CED769" w14:textId="77777777" w:rsidR="0075363D" w:rsidRPr="0075363D" w:rsidRDefault="0075363D" w:rsidP="0075363D">
      <w:pPr>
        <w:pStyle w:val="Default"/>
        <w:rPr>
          <w:lang w:eastAsia="en-US"/>
        </w:rPr>
      </w:pPr>
    </w:p>
    <w:p w14:paraId="403E1F2D" w14:textId="77777777" w:rsidR="00EE3346" w:rsidRPr="00516038" w:rsidRDefault="00EE3346" w:rsidP="0075363D">
      <w:pPr>
        <w:pStyle w:val="Default"/>
        <w:spacing w:after="160"/>
        <w:rPr>
          <w:rFonts w:asciiTheme="majorHAnsi" w:hAnsiTheme="majorHAnsi" w:cstheme="majorHAnsi"/>
          <w:sz w:val="20"/>
          <w:lang w:eastAsia="en-US"/>
        </w:rPr>
      </w:pPr>
      <w:r w:rsidRPr="00516038">
        <w:rPr>
          <w:rFonts w:asciiTheme="majorHAnsi" w:hAnsiTheme="majorHAnsi" w:cstheme="majorHAnsi"/>
          <w:sz w:val="20"/>
          <w:lang w:eastAsia="en-US"/>
        </w:rPr>
        <w:t>Figura 3.4. Esquema adaptado para o arco de Maguerez</w:t>
      </w:r>
    </w:p>
    <w:p w14:paraId="2A3EE860" w14:textId="77777777" w:rsidR="00EE3346" w:rsidRPr="00516038" w:rsidRDefault="00EE3346" w:rsidP="00516038">
      <w:pPr>
        <w:pStyle w:val="Default"/>
        <w:jc w:val="center"/>
        <w:rPr>
          <w:rFonts w:asciiTheme="majorHAnsi" w:hAnsiTheme="majorHAnsi" w:cstheme="majorHAnsi"/>
          <w:lang w:eastAsia="en-US"/>
        </w:rPr>
      </w:pPr>
      <w:r w:rsidRPr="00516038">
        <w:rPr>
          <w:rFonts w:asciiTheme="majorHAnsi" w:hAnsiTheme="majorHAnsi" w:cstheme="majorHAnsi"/>
          <w:noProof/>
        </w:rPr>
        <w:drawing>
          <wp:inline distT="0" distB="0" distL="0" distR="0" wp14:anchorId="31F81C6C" wp14:editId="726EA4DA">
            <wp:extent cx="4874268" cy="2064327"/>
            <wp:effectExtent l="0" t="0" r="254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18257" cy="2082957"/>
                    </a:xfrm>
                    <a:prstGeom prst="rect">
                      <a:avLst/>
                    </a:prstGeom>
                    <a:noFill/>
                    <a:ln>
                      <a:noFill/>
                    </a:ln>
                  </pic:spPr>
                </pic:pic>
              </a:graphicData>
            </a:graphic>
          </wp:inline>
        </w:drawing>
      </w:r>
    </w:p>
    <w:p w14:paraId="4A657B59" w14:textId="77777777" w:rsidR="00EE3346" w:rsidRPr="00516038" w:rsidRDefault="00EE3346" w:rsidP="0075363D">
      <w:pPr>
        <w:pStyle w:val="Default"/>
        <w:spacing w:after="160"/>
        <w:rPr>
          <w:rFonts w:asciiTheme="majorHAnsi" w:hAnsiTheme="majorHAnsi" w:cstheme="majorHAnsi"/>
          <w:sz w:val="16"/>
          <w:lang w:eastAsia="en-US"/>
        </w:rPr>
      </w:pPr>
      <w:r w:rsidRPr="00516038">
        <w:rPr>
          <w:rFonts w:asciiTheme="majorHAnsi" w:hAnsiTheme="majorHAnsi" w:cstheme="majorHAnsi"/>
          <w:sz w:val="16"/>
          <w:lang w:eastAsia="en-US"/>
        </w:rPr>
        <w:t>Fonte: Elaborado pelo autor a partir dos trabalhos de Bordenave e Pereira (1982) e Berbel (1998).</w:t>
      </w:r>
    </w:p>
    <w:p w14:paraId="6A9B8A55" w14:textId="77777777" w:rsidR="0075363D" w:rsidRDefault="0075363D" w:rsidP="0075363D">
      <w:pPr>
        <w:pStyle w:val="Default"/>
        <w:spacing w:after="160" w:line="360" w:lineRule="auto"/>
        <w:ind w:firstLine="708"/>
        <w:jc w:val="both"/>
        <w:rPr>
          <w:rFonts w:asciiTheme="majorHAnsi" w:hAnsiTheme="majorHAnsi" w:cstheme="majorHAnsi"/>
          <w:szCs w:val="28"/>
        </w:rPr>
      </w:pPr>
    </w:p>
    <w:p w14:paraId="3239E252" w14:textId="512A9B7A" w:rsidR="00EE3346" w:rsidRPr="0075363D" w:rsidRDefault="00EE3346" w:rsidP="0075363D">
      <w:pPr>
        <w:pStyle w:val="Default"/>
        <w:spacing w:after="160" w:line="360" w:lineRule="auto"/>
        <w:ind w:firstLine="708"/>
        <w:jc w:val="both"/>
        <w:rPr>
          <w:rFonts w:asciiTheme="majorHAnsi" w:hAnsiTheme="majorHAnsi" w:cstheme="majorHAnsi"/>
          <w:szCs w:val="28"/>
        </w:rPr>
      </w:pPr>
      <w:r w:rsidRPr="0075363D">
        <w:rPr>
          <w:rFonts w:asciiTheme="majorHAnsi" w:hAnsiTheme="majorHAnsi" w:cstheme="majorHAnsi"/>
          <w:szCs w:val="28"/>
        </w:rPr>
        <w:t>As cinco etapas que descrevem o formato em arco proposto por Maguerez se iniciam pela observação (a) onde os estudantes são instigados a observar aquela situação ou recorte dela a partir de sua ocorrência real, descrevendo as principais dificuldades que ela apresenta, de modo a focar um determinado problema (e daí o termo “pedagogia da problematização”). Tais dificuldades, mas também suas causas, características etc. vão constituir a segunda etapa, denominada “pontos-chave” (b) que compõem o problema e que vão permitir que haja a pesquisa e o aprofundamento desses pontos-chave que terão maior ou menor influência sobre a expressão do problema, mas que serão esmiuçados visando ao seu entendimento inter e até transdisciplinar, na etapa denominada “teorização” (c). A partir das discussões sobre essa compreensão e sua sistematização, poderão ser construídas as diferentes possibilidades de resolução (d) que levarão a uma intervenção no mesmo meio em que o problema foi encontrado (e), visando a influenciar, na sua resolução ou, pelo menos, na sua transformação, o que completa o ciclo dialético da ação–reflexão–ação e, assim, o Arco de Maguerez (BERBEL, 1998).</w:t>
      </w:r>
    </w:p>
    <w:p w14:paraId="71AC2739" w14:textId="77777777" w:rsidR="00EE3346" w:rsidRPr="0075363D" w:rsidRDefault="00EE3346" w:rsidP="0075363D">
      <w:pPr>
        <w:pStyle w:val="Default"/>
        <w:spacing w:after="160" w:line="360" w:lineRule="auto"/>
        <w:ind w:firstLine="708"/>
        <w:jc w:val="both"/>
        <w:rPr>
          <w:rFonts w:asciiTheme="majorHAnsi" w:hAnsiTheme="majorHAnsi" w:cstheme="majorHAnsi"/>
          <w:szCs w:val="28"/>
        </w:rPr>
      </w:pPr>
      <w:r w:rsidRPr="0075363D">
        <w:rPr>
          <w:rFonts w:asciiTheme="majorHAnsi" w:hAnsiTheme="majorHAnsi" w:cstheme="majorHAnsi"/>
          <w:szCs w:val="28"/>
        </w:rPr>
        <w:t xml:space="preserve">Desse modo, a utilização da pedagogia da problematização pode lançar mão de diferentes metodologias ativas de aprendizagem em seu bojo, o que pode variar em função do tipo de problema detectado e analisado, mas que contempla a mesma sistemática metodológica intencional e geral para a abordagem de um determinado tema problematizado e em qualquer área do conhecimento (COLOMBO e BERBEL, 2007). Assim, se de um lado é muito mais consistente do que a ABP no sentido de seu significado prático, perde quando a discussão recai sobre aspectos não ligados a essa realidade. </w:t>
      </w:r>
    </w:p>
    <w:p w14:paraId="7469A1D3" w14:textId="77777777" w:rsidR="00EE3346" w:rsidRPr="0075363D" w:rsidRDefault="00EE3346" w:rsidP="0075363D">
      <w:pPr>
        <w:pStyle w:val="Default"/>
        <w:spacing w:after="160" w:line="360" w:lineRule="auto"/>
        <w:ind w:firstLine="708"/>
        <w:jc w:val="both"/>
        <w:rPr>
          <w:rFonts w:asciiTheme="majorHAnsi" w:hAnsiTheme="majorHAnsi" w:cstheme="majorHAnsi"/>
          <w:szCs w:val="28"/>
        </w:rPr>
      </w:pPr>
      <w:r w:rsidRPr="0075363D">
        <w:rPr>
          <w:rFonts w:asciiTheme="majorHAnsi" w:hAnsiTheme="majorHAnsi" w:cstheme="majorHAnsi"/>
          <w:szCs w:val="28"/>
        </w:rPr>
        <w:t>Na problematização, a turma (estudantes e professores) acaba atuando para que um tema extraído da realidade seja equacionado e resolvido ou modificado. Na ABP, os problemas são cuidadosamente escolhidos por uma comissão que avalia a sua relevância para que os conceitos que devem ser trabalhados pelos alunos naquela etapa do curso, somados àqueles já incorporados, possam permitir a resolução correta daquele problema proposto.</w:t>
      </w:r>
    </w:p>
    <w:p w14:paraId="1372200E" w14:textId="77777777" w:rsidR="00EE3346" w:rsidRPr="0075363D" w:rsidRDefault="00EE3346" w:rsidP="0075363D">
      <w:pPr>
        <w:pStyle w:val="Default"/>
        <w:spacing w:after="160" w:line="360" w:lineRule="auto"/>
        <w:ind w:firstLine="708"/>
        <w:jc w:val="both"/>
        <w:rPr>
          <w:rFonts w:asciiTheme="majorHAnsi" w:hAnsiTheme="majorHAnsi" w:cstheme="majorHAnsi"/>
          <w:szCs w:val="28"/>
        </w:rPr>
      </w:pPr>
      <w:r w:rsidRPr="0075363D">
        <w:rPr>
          <w:rFonts w:asciiTheme="majorHAnsi" w:hAnsiTheme="majorHAnsi" w:cstheme="majorHAnsi"/>
          <w:szCs w:val="28"/>
        </w:rPr>
        <w:t xml:space="preserve">A rigor, a pedagogia da problematização requer um esforço mais individual do professor na condução das discussões com relação à temática apresentada, não exigindo, entretanto, uma infraestrutura técnica especial e em constante atividade como ocorre com a ABP e, de certa forma, também com a ABP. Mais do que isso, é o </w:t>
      </w:r>
      <w:r w:rsidRPr="0075363D">
        <w:rPr>
          <w:rFonts w:asciiTheme="majorHAnsi" w:hAnsiTheme="majorHAnsi" w:cstheme="majorHAnsi"/>
          <w:i/>
          <w:szCs w:val="28"/>
        </w:rPr>
        <w:t>modus operandi</w:t>
      </w:r>
      <w:r w:rsidRPr="0075363D">
        <w:rPr>
          <w:rFonts w:asciiTheme="majorHAnsi" w:hAnsiTheme="majorHAnsi" w:cstheme="majorHAnsi"/>
          <w:szCs w:val="28"/>
        </w:rPr>
        <w:t xml:space="preserve"> com que a metodologia para a produção de novos conhecimentos estará constantemente em ação.</w:t>
      </w:r>
    </w:p>
    <w:p w14:paraId="1C446B11" w14:textId="403326BF" w:rsidR="00EE3346" w:rsidRPr="00516038" w:rsidRDefault="0075363D" w:rsidP="0075363D">
      <w:pPr>
        <w:pStyle w:val="Ttulo3"/>
        <w:numPr>
          <w:ilvl w:val="2"/>
          <w:numId w:val="1"/>
        </w:numPr>
        <w:ind w:left="709" w:hanging="709"/>
        <w:rPr>
          <w:rFonts w:asciiTheme="majorHAnsi" w:hAnsiTheme="majorHAnsi" w:cstheme="majorHAnsi"/>
        </w:rPr>
      </w:pPr>
      <w:bookmarkStart w:id="63" w:name="_Toc102134991"/>
      <w:r w:rsidRPr="00516038">
        <w:rPr>
          <w:rFonts w:asciiTheme="majorHAnsi" w:hAnsiTheme="majorHAnsi" w:cstheme="majorHAnsi"/>
        </w:rPr>
        <w:t>APRENDIZAGEM BASEADA EM PROJETOS (ABP)</w:t>
      </w:r>
      <w:bookmarkEnd w:id="63"/>
    </w:p>
    <w:bookmarkEnd w:id="62"/>
    <w:p w14:paraId="07CC2493" w14:textId="52E5E5A2" w:rsidR="00EE3346" w:rsidRPr="0075363D" w:rsidRDefault="00EE3346" w:rsidP="0075363D">
      <w:pPr>
        <w:tabs>
          <w:tab w:val="clear" w:pos="1615"/>
        </w:tabs>
        <w:spacing w:line="360" w:lineRule="auto"/>
        <w:ind w:firstLine="709"/>
        <w:jc w:val="both"/>
        <w:rPr>
          <w:rFonts w:asciiTheme="majorHAnsi" w:hAnsiTheme="majorHAnsi" w:cstheme="majorHAnsi"/>
          <w:sz w:val="24"/>
          <w:szCs w:val="24"/>
        </w:rPr>
      </w:pPr>
      <w:r w:rsidRPr="0075363D">
        <w:rPr>
          <w:rFonts w:asciiTheme="majorHAnsi" w:hAnsiTheme="majorHAnsi" w:cstheme="majorHAnsi"/>
          <w:sz w:val="24"/>
          <w:szCs w:val="24"/>
        </w:rPr>
        <w:t xml:space="preserve">O desenvolvimento de cursos a partir de projetos vem ganhando espaço nas organizações curriculares modernas. Na verdade, foi propositalmente colocada ao final das considerações sobre metodologias para o desenvolvimento total de cursos, pois, em nosso entendimento, pode englobar as anteriores e tratar os temas de forma transdisciplinar, já que um projeto abrangente não pode se desenvolver apenas de forma disciplinar ou interdisciplinar. </w:t>
      </w:r>
    </w:p>
    <w:p w14:paraId="3DA3D420" w14:textId="58A76B17" w:rsidR="00EE3346" w:rsidRPr="0075363D" w:rsidRDefault="00EE3346" w:rsidP="0075363D">
      <w:pPr>
        <w:tabs>
          <w:tab w:val="clear" w:pos="1615"/>
        </w:tabs>
        <w:spacing w:line="360" w:lineRule="auto"/>
        <w:ind w:firstLine="709"/>
        <w:jc w:val="both"/>
        <w:rPr>
          <w:rFonts w:asciiTheme="majorHAnsi" w:hAnsiTheme="majorHAnsi" w:cstheme="majorHAnsi"/>
          <w:sz w:val="24"/>
          <w:szCs w:val="24"/>
        </w:rPr>
      </w:pPr>
      <w:r w:rsidRPr="0075363D">
        <w:rPr>
          <w:rFonts w:asciiTheme="majorHAnsi" w:hAnsiTheme="majorHAnsi" w:cstheme="majorHAnsi"/>
          <w:sz w:val="24"/>
          <w:szCs w:val="24"/>
        </w:rPr>
        <w:t>Nessa metodologia, ocorre a resolução de problemas, mas mais do que isso, ocorre a apropriação metodológica necessária para o seu equacionamento além da proposição das ações necessárias para a sua realização e que, via de regra, em cursos de engenharia, leva à construção de protótipos que demonstram a forma como o problema deve ser equacionado e resolvido.</w:t>
      </w:r>
    </w:p>
    <w:p w14:paraId="510D965B" w14:textId="29C43922" w:rsidR="00EE3346" w:rsidRPr="0075363D" w:rsidRDefault="00EE3346" w:rsidP="0075363D">
      <w:pPr>
        <w:tabs>
          <w:tab w:val="clear" w:pos="1615"/>
        </w:tabs>
        <w:spacing w:line="360" w:lineRule="auto"/>
        <w:ind w:firstLine="709"/>
        <w:jc w:val="both"/>
        <w:rPr>
          <w:rFonts w:asciiTheme="majorHAnsi" w:hAnsiTheme="majorHAnsi" w:cstheme="majorHAnsi"/>
          <w:sz w:val="24"/>
          <w:szCs w:val="24"/>
        </w:rPr>
      </w:pPr>
      <w:r w:rsidRPr="0075363D">
        <w:rPr>
          <w:rFonts w:asciiTheme="majorHAnsi" w:hAnsiTheme="majorHAnsi" w:cstheme="majorHAnsi"/>
          <w:sz w:val="24"/>
          <w:szCs w:val="24"/>
        </w:rPr>
        <w:t>Uma forma interessante de desenvolvimento da metodologia é a realização de um projeto por período e por grupo de estudantes. Os docentes participantes desse período determinam uma temática geral e os grupos de alunos escolhem seu projeto desde que haja aderência à temática escolhida. Assim, os professores envolvidos na oferta das disciplinas de um dado período ou o núcleo docente estruturante do curso poderá(ão) direcionar, mas não determinar a natureza de cada projeto proposto pelos diferentes grupos de alunos. Tais atividades serão obrigatoriamente diferentes e terão abordagens que podem envolver um trabalho mais científico, mais voltado a um problema socioambiental ou mais voltado para uma ação empreendedora refletindo, de certa forma, a própria composição do grupo. Assim, pesquisa, extensão e inovação caminham juntas com o ensino e a formação escolar passa a ter um significado maior pois os processos passam a fazer parte inerente a todas as ações, contribuindo para a tão desejada mobilização do conhecimento para a vida e não apenas para a resolução de desafios acadêmicos em exercícios, provas ou trabalhos em geral. Além disso, a complexidade com que os projetos tendem a apresentar à medida que o curso avança, incorpora novos conhecimentos e novas interações que podem levar a contribuições locais, regionais, nacionais ou internacionais de maior monta, levando a uma preocupação constante do educando na observação e nas ações propositivas junto ao seu entorno, qualquer que seja seu limite e sempre mediado pelos docentes, escorados no projeto pedagógico do curso e da instituição para garantir essa abrangência dos temas propostos.</w:t>
      </w:r>
    </w:p>
    <w:p w14:paraId="114E0CE2" w14:textId="67D096C7" w:rsidR="00EE3346" w:rsidRPr="0075363D" w:rsidRDefault="00EE3346" w:rsidP="0075363D">
      <w:pPr>
        <w:tabs>
          <w:tab w:val="clear" w:pos="1615"/>
        </w:tabs>
        <w:spacing w:line="360" w:lineRule="auto"/>
        <w:ind w:firstLine="709"/>
        <w:jc w:val="both"/>
        <w:rPr>
          <w:rFonts w:asciiTheme="majorHAnsi" w:hAnsiTheme="majorHAnsi" w:cstheme="majorHAnsi"/>
          <w:sz w:val="24"/>
          <w:szCs w:val="24"/>
        </w:rPr>
      </w:pPr>
      <w:r w:rsidRPr="0075363D">
        <w:rPr>
          <w:rFonts w:asciiTheme="majorHAnsi" w:hAnsiTheme="majorHAnsi" w:cstheme="majorHAnsi"/>
          <w:sz w:val="24"/>
          <w:szCs w:val="24"/>
        </w:rPr>
        <w:t>Essa natureza de projetos escolhida pelos alunos traz, em consequência, um maior envolvimento deles no desenvolvimento do que foi proposto (MALONEY, 2010) e, como em qualquer situação de aprendizagem, a motivação e envolvimento são determinantes para o seu êxito.</w:t>
      </w:r>
    </w:p>
    <w:p w14:paraId="7A50FC2F" w14:textId="483550CB" w:rsidR="00EE3346" w:rsidRPr="0075363D" w:rsidRDefault="00EE3346" w:rsidP="0075363D">
      <w:pPr>
        <w:tabs>
          <w:tab w:val="clear" w:pos="1615"/>
        </w:tabs>
        <w:spacing w:line="360" w:lineRule="auto"/>
        <w:ind w:firstLine="709"/>
        <w:jc w:val="both"/>
        <w:rPr>
          <w:rFonts w:asciiTheme="majorHAnsi" w:hAnsiTheme="majorHAnsi" w:cstheme="majorHAnsi"/>
          <w:sz w:val="24"/>
          <w:szCs w:val="24"/>
        </w:rPr>
      </w:pPr>
      <w:r w:rsidRPr="0075363D">
        <w:rPr>
          <w:rFonts w:asciiTheme="majorHAnsi" w:hAnsiTheme="majorHAnsi" w:cstheme="majorHAnsi"/>
          <w:sz w:val="24"/>
          <w:szCs w:val="24"/>
        </w:rPr>
        <w:t xml:space="preserve">Além disso, se o projeto for desenvolvido em duas etapas, como ocorre em algumas instituições como a Univesp, por exemplo, ele poderá ter um momento de reflexão do grupo a partir da sua apresentação e discussão para a turma, para os professores envolvidos e bastante desejável também para o grupo inspirador do projeto e para especialistas convidados para a apresentação. Esse </w:t>
      </w:r>
      <w:r w:rsidRPr="0075363D">
        <w:rPr>
          <w:rFonts w:asciiTheme="majorHAnsi" w:hAnsiTheme="majorHAnsi" w:cstheme="majorHAnsi"/>
          <w:i/>
          <w:sz w:val="24"/>
          <w:szCs w:val="24"/>
        </w:rPr>
        <w:t xml:space="preserve">feedback </w:t>
      </w:r>
      <w:r w:rsidRPr="0075363D">
        <w:rPr>
          <w:rFonts w:asciiTheme="majorHAnsi" w:hAnsiTheme="majorHAnsi" w:cstheme="majorHAnsi"/>
          <w:sz w:val="24"/>
          <w:szCs w:val="24"/>
        </w:rPr>
        <w:t>acaba por qualificar o projeto e enriquecê-lo de tal maneira que, na segunda parte de seu desenvolvimento, as soluções apresentadas podem ser mais eficazes e inovadoras.</w:t>
      </w:r>
    </w:p>
    <w:p w14:paraId="0FE79F39" w14:textId="4069694B" w:rsidR="00EE3346" w:rsidRPr="0075363D" w:rsidRDefault="00EE3346" w:rsidP="0075363D">
      <w:pPr>
        <w:tabs>
          <w:tab w:val="clear" w:pos="1615"/>
        </w:tabs>
        <w:spacing w:line="360" w:lineRule="auto"/>
        <w:ind w:firstLine="709"/>
        <w:jc w:val="both"/>
        <w:rPr>
          <w:rFonts w:asciiTheme="majorHAnsi" w:hAnsiTheme="majorHAnsi" w:cstheme="majorHAnsi"/>
          <w:sz w:val="24"/>
          <w:szCs w:val="24"/>
        </w:rPr>
      </w:pPr>
      <w:r w:rsidRPr="0075363D">
        <w:rPr>
          <w:rFonts w:asciiTheme="majorHAnsi" w:hAnsiTheme="majorHAnsi" w:cstheme="majorHAnsi"/>
          <w:sz w:val="24"/>
          <w:szCs w:val="24"/>
        </w:rPr>
        <w:t>Essas ponderações têm respaldo nas pesquisas sobre as formações desenvolvidas a partir de projetos. Segundo Drake e Long (2009), um curso baseado na metodologia da Aprendizagem Baseada em Projetos deve apresentar três características:</w:t>
      </w:r>
    </w:p>
    <w:p w14:paraId="43D402D5" w14:textId="77777777" w:rsidR="00EE3346" w:rsidRPr="0075363D" w:rsidRDefault="00EE3346" w:rsidP="0075363D">
      <w:pPr>
        <w:pStyle w:val="PargrafodaLista"/>
        <w:numPr>
          <w:ilvl w:val="0"/>
          <w:numId w:val="9"/>
        </w:numPr>
        <w:tabs>
          <w:tab w:val="clear" w:pos="1615"/>
        </w:tabs>
        <w:spacing w:line="360" w:lineRule="auto"/>
        <w:rPr>
          <w:rFonts w:asciiTheme="majorHAnsi" w:hAnsiTheme="majorHAnsi" w:cstheme="majorHAnsi"/>
          <w:sz w:val="24"/>
          <w:szCs w:val="24"/>
        </w:rPr>
      </w:pPr>
      <w:r w:rsidRPr="0075363D">
        <w:rPr>
          <w:rFonts w:asciiTheme="majorHAnsi" w:hAnsiTheme="majorHAnsi" w:cstheme="majorHAnsi"/>
          <w:sz w:val="24"/>
          <w:szCs w:val="24"/>
        </w:rPr>
        <w:t>Um currículo elaborado em torno de problemas com ênfase em habilidades cognitivas e conhecimento;</w:t>
      </w:r>
    </w:p>
    <w:p w14:paraId="377D76E7" w14:textId="77777777" w:rsidR="00EE3346" w:rsidRPr="0075363D" w:rsidRDefault="00EE3346" w:rsidP="0075363D">
      <w:pPr>
        <w:pStyle w:val="PargrafodaLista"/>
        <w:numPr>
          <w:ilvl w:val="0"/>
          <w:numId w:val="9"/>
        </w:numPr>
        <w:tabs>
          <w:tab w:val="clear" w:pos="1615"/>
        </w:tabs>
        <w:spacing w:line="360" w:lineRule="auto"/>
        <w:rPr>
          <w:rFonts w:asciiTheme="majorHAnsi" w:hAnsiTheme="majorHAnsi" w:cstheme="majorHAnsi"/>
          <w:sz w:val="24"/>
          <w:szCs w:val="24"/>
        </w:rPr>
      </w:pPr>
      <w:r w:rsidRPr="0075363D">
        <w:rPr>
          <w:rFonts w:asciiTheme="majorHAnsi" w:hAnsiTheme="majorHAnsi" w:cstheme="majorHAnsi"/>
          <w:sz w:val="24"/>
          <w:szCs w:val="24"/>
        </w:rPr>
        <w:t>Um ambiente de aprendizagem centrado no aluno, que utilize pequenos grupos, e uma aprendizagem ativa em que os professores atuem como facilitadores;</w:t>
      </w:r>
    </w:p>
    <w:p w14:paraId="6347475E" w14:textId="77777777" w:rsidR="00EE3346" w:rsidRPr="0075363D" w:rsidRDefault="00EE3346" w:rsidP="0075363D">
      <w:pPr>
        <w:pStyle w:val="PargrafodaLista"/>
        <w:numPr>
          <w:ilvl w:val="0"/>
          <w:numId w:val="9"/>
        </w:numPr>
        <w:tabs>
          <w:tab w:val="clear" w:pos="1615"/>
        </w:tabs>
        <w:spacing w:line="360" w:lineRule="auto"/>
        <w:rPr>
          <w:rFonts w:asciiTheme="majorHAnsi" w:hAnsiTheme="majorHAnsi" w:cstheme="majorHAnsi"/>
          <w:sz w:val="24"/>
          <w:szCs w:val="24"/>
        </w:rPr>
      </w:pPr>
      <w:r w:rsidRPr="0075363D">
        <w:rPr>
          <w:rFonts w:asciiTheme="majorHAnsi" w:hAnsiTheme="majorHAnsi" w:cstheme="majorHAnsi"/>
          <w:sz w:val="24"/>
          <w:szCs w:val="24"/>
        </w:rPr>
        <w:t>Resultados dos alunos focados no desenvolvimento de habilidades, motivação e amor pela aprendizagem permanente.</w:t>
      </w:r>
    </w:p>
    <w:p w14:paraId="4089DDFB" w14:textId="26F92B27" w:rsidR="00EE3346" w:rsidRPr="0075363D" w:rsidRDefault="00EE3346" w:rsidP="0075363D">
      <w:pPr>
        <w:tabs>
          <w:tab w:val="clear" w:pos="1615"/>
        </w:tabs>
        <w:spacing w:line="360" w:lineRule="auto"/>
        <w:ind w:firstLine="709"/>
        <w:jc w:val="both"/>
        <w:rPr>
          <w:rFonts w:asciiTheme="majorHAnsi" w:hAnsiTheme="majorHAnsi" w:cstheme="majorHAnsi"/>
          <w:sz w:val="24"/>
          <w:szCs w:val="24"/>
        </w:rPr>
      </w:pPr>
      <w:r w:rsidRPr="0075363D">
        <w:rPr>
          <w:rFonts w:asciiTheme="majorHAnsi" w:hAnsiTheme="majorHAnsi" w:cstheme="majorHAnsi"/>
          <w:sz w:val="24"/>
          <w:szCs w:val="24"/>
        </w:rPr>
        <w:t>É importante levar em conta, ainda, que a metodologia ABP deve ser construída com base no uso inovador de tecnologias modernas, o que vem sendo visto como uma marca de seu desenvolvimento (BENDER, 2014). Nesse sentido, a metodologia acaba por inverter a ordem normalmente utilizada para o desenvolvimento do ensino-aprendizagem, a partir de conceitos básicos que vão se tornando mais complexos com o tempo, após a assimilação dos conteúdos e conhecimentos necessários, permitindo que o egresso ocupe um espaço na sociedade em que ele poderá mostrar e aplicar o conhecimento que adquiriu ao longo do tempo. A metodologia ABP, de certa forma, inverte essa lógica, iniciando o aprendizado a partir do espaço em que o problema se configura e o tempo também será utilizado com a lógica invertida com relação aos métodos tradicionais. Alguns estudos na área de engenharia mostram experiências interessantes com essa inversão pedagógica do tempo-espaço dos métodos tradicionais, para o espaço-tempo dos projetos e metodologias mais inovadoras (QUEIROZ, LIMA e CERQUEIRA, 2017).</w:t>
      </w:r>
    </w:p>
    <w:p w14:paraId="0415B131" w14:textId="3FF946E4" w:rsidR="00EE3346" w:rsidRPr="0075363D" w:rsidRDefault="00EE3346" w:rsidP="0075363D">
      <w:pPr>
        <w:tabs>
          <w:tab w:val="clear" w:pos="1615"/>
        </w:tabs>
        <w:spacing w:line="360" w:lineRule="auto"/>
        <w:ind w:firstLine="709"/>
        <w:jc w:val="both"/>
        <w:rPr>
          <w:rFonts w:asciiTheme="majorHAnsi" w:hAnsiTheme="majorHAnsi" w:cstheme="majorHAnsi"/>
          <w:sz w:val="24"/>
          <w:szCs w:val="24"/>
        </w:rPr>
      </w:pPr>
      <w:r w:rsidRPr="0075363D">
        <w:rPr>
          <w:rFonts w:asciiTheme="majorHAnsi" w:hAnsiTheme="majorHAnsi" w:cstheme="majorHAnsi"/>
          <w:sz w:val="24"/>
          <w:szCs w:val="24"/>
        </w:rPr>
        <w:t xml:space="preserve">A apresentação parcial do projeto pode ser feita por meio de uma apresentação utilizando a técnica do </w:t>
      </w:r>
      <w:r w:rsidRPr="0075363D">
        <w:rPr>
          <w:rFonts w:asciiTheme="majorHAnsi" w:hAnsiTheme="majorHAnsi" w:cstheme="majorHAnsi"/>
          <w:i/>
          <w:sz w:val="24"/>
          <w:szCs w:val="24"/>
        </w:rPr>
        <w:t xml:space="preserve">fish bowl, </w:t>
      </w:r>
      <w:r w:rsidRPr="0075363D">
        <w:rPr>
          <w:rFonts w:asciiTheme="majorHAnsi" w:hAnsiTheme="majorHAnsi" w:cstheme="majorHAnsi"/>
          <w:sz w:val="24"/>
          <w:szCs w:val="24"/>
        </w:rPr>
        <w:t>que consiste na disposição da sala ao redor de um conjunto de cadeiras que tem uma unidade a mais do que o número de componentes do grupo, como se fosse o programa “Roda Viva” da TV Cultura de SP, com os estudantes, professores e convidados ocupando a arena e o grupo apresentador, o local do entrevistado (ARAÚJO et al., 2016a; GARBIN et al., 2017). O grupo, a seu critério, faz a apresentação do projeto de modo a todos os participantes fazerem uso da palavra. Uma dúvida ou questionamento deve ser feita com a ida do interessado até a cadeira vaga para que todos possam ter contato com a indagação/observação. Nesse momento, também a critério do grupo, um de seus componentes desocupa seu assento, permitindo que novas questões sejam elaboradas, utilizando o mesmo esquema da primeira intervenção. O professor, mediador ou tutor, terminados todos os componentes do grupo, pode perguntar se todos estão suficientemente esclarecidos e satisfeitos com a discussão e, em caso negativo, que também deve levar em conta a sua percepção, solicitar que os membros do grupo retornem e, assim, um assento fique novamente vago para nova rodada de exposição e de questões, até que o assunto esteja bem debatido e a discussão encerrada. Convém, nesse momento, o mediador realizar um breve fechamento, que servirá de orientação para os trabalhos do grupo na segunda etapa de desenvolvimento do projeto, que será apresentado ao final do semestre letivo, em um esquema semelhante ou na forma de congresso ou outra que o projeto pedagógico do curso determinar.</w:t>
      </w:r>
    </w:p>
    <w:p w14:paraId="4F3B5175" w14:textId="59217CDB" w:rsidR="00EE3346" w:rsidRPr="0075363D" w:rsidRDefault="00EE3346" w:rsidP="0075363D">
      <w:pPr>
        <w:tabs>
          <w:tab w:val="clear" w:pos="1615"/>
        </w:tabs>
        <w:spacing w:line="360" w:lineRule="auto"/>
        <w:ind w:firstLine="709"/>
        <w:jc w:val="both"/>
        <w:rPr>
          <w:rFonts w:asciiTheme="majorHAnsi" w:hAnsiTheme="majorHAnsi" w:cstheme="majorHAnsi"/>
          <w:sz w:val="24"/>
          <w:szCs w:val="24"/>
        </w:rPr>
      </w:pPr>
      <w:r w:rsidRPr="0075363D">
        <w:rPr>
          <w:rFonts w:asciiTheme="majorHAnsi" w:hAnsiTheme="majorHAnsi" w:cstheme="majorHAnsi"/>
          <w:sz w:val="24"/>
          <w:szCs w:val="24"/>
        </w:rPr>
        <w:t xml:space="preserve">É muito importante salientar que os docentes da IES, envolvidos ou não com aquele projeto e, mais ainda, os interessados em geral, permitam que o projeto possa ser desenvolvido na sequência do curso, seja para a publicação em algum periódico especializado, no caso de um projeto mais acadêmico, seja na sua aplicação nos setores da sociedade que foram contemplados, seja na sua apresentação como possível negócio a ser incubado no setor voltado para </w:t>
      </w:r>
      <w:r w:rsidRPr="0075363D">
        <w:rPr>
          <w:rFonts w:asciiTheme="majorHAnsi" w:hAnsiTheme="majorHAnsi" w:cstheme="majorHAnsi"/>
          <w:i/>
          <w:sz w:val="24"/>
          <w:szCs w:val="24"/>
        </w:rPr>
        <w:t>startups</w:t>
      </w:r>
      <w:r w:rsidRPr="0075363D">
        <w:rPr>
          <w:rFonts w:asciiTheme="majorHAnsi" w:hAnsiTheme="majorHAnsi" w:cstheme="majorHAnsi"/>
          <w:sz w:val="24"/>
          <w:szCs w:val="24"/>
        </w:rPr>
        <w:t xml:space="preserve"> ou incubadoras de empresas da instituição.</w:t>
      </w:r>
    </w:p>
    <w:p w14:paraId="31B0D93C" w14:textId="095ECBD7" w:rsidR="00EE3346" w:rsidRPr="00516038" w:rsidRDefault="0075363D" w:rsidP="0075363D">
      <w:pPr>
        <w:pStyle w:val="Ttulo3"/>
        <w:numPr>
          <w:ilvl w:val="2"/>
          <w:numId w:val="1"/>
        </w:numPr>
        <w:ind w:left="709" w:hanging="709"/>
        <w:rPr>
          <w:rFonts w:asciiTheme="majorHAnsi" w:hAnsiTheme="majorHAnsi" w:cstheme="majorHAnsi"/>
        </w:rPr>
      </w:pPr>
      <w:bookmarkStart w:id="64" w:name="_Toc102134992"/>
      <w:r w:rsidRPr="00516038">
        <w:rPr>
          <w:rFonts w:asciiTheme="majorHAnsi" w:hAnsiTheme="majorHAnsi" w:cstheme="majorHAnsi"/>
        </w:rPr>
        <w:t>SÍNTESE COMPARATIVA</w:t>
      </w:r>
      <w:bookmarkEnd w:id="64"/>
    </w:p>
    <w:p w14:paraId="688AA391" w14:textId="74BFCA34" w:rsidR="00EE3346" w:rsidRPr="0075363D" w:rsidRDefault="00EE3346" w:rsidP="00B07722">
      <w:pPr>
        <w:tabs>
          <w:tab w:val="clear" w:pos="1615"/>
        </w:tabs>
        <w:spacing w:line="360" w:lineRule="auto"/>
        <w:ind w:firstLine="709"/>
        <w:jc w:val="both"/>
        <w:rPr>
          <w:rFonts w:asciiTheme="majorHAnsi" w:hAnsiTheme="majorHAnsi" w:cstheme="majorHAnsi"/>
          <w:sz w:val="24"/>
          <w:szCs w:val="24"/>
        </w:rPr>
      </w:pPr>
      <w:r w:rsidRPr="0075363D">
        <w:rPr>
          <w:rFonts w:asciiTheme="majorHAnsi" w:hAnsiTheme="majorHAnsi" w:cstheme="majorHAnsi"/>
          <w:sz w:val="24"/>
          <w:szCs w:val="24"/>
        </w:rPr>
        <w:t>A título comparativo, é apresentada a seguir uma síntese de algumas das principais características das três metodologias apresentadas para orientar e desenvolver os cursos (Tabela 3.1):</w:t>
      </w:r>
    </w:p>
    <w:p w14:paraId="29B1EA89" w14:textId="77777777" w:rsidR="00EE3346" w:rsidRPr="00516038" w:rsidRDefault="00EE3346" w:rsidP="00516038">
      <w:pPr>
        <w:tabs>
          <w:tab w:val="clear" w:pos="1615"/>
        </w:tabs>
        <w:rPr>
          <w:rFonts w:asciiTheme="majorHAnsi" w:hAnsiTheme="majorHAnsi" w:cstheme="majorHAnsi"/>
        </w:rPr>
      </w:pPr>
    </w:p>
    <w:p w14:paraId="297F6316" w14:textId="77777777" w:rsidR="00EE3346" w:rsidRPr="00516038" w:rsidRDefault="00EE3346" w:rsidP="0075363D">
      <w:pPr>
        <w:pStyle w:val="Default"/>
        <w:spacing w:after="160"/>
        <w:rPr>
          <w:rFonts w:asciiTheme="majorHAnsi" w:hAnsiTheme="majorHAnsi" w:cstheme="majorHAnsi"/>
          <w:sz w:val="20"/>
          <w:lang w:eastAsia="en-US"/>
        </w:rPr>
      </w:pPr>
      <w:r w:rsidRPr="00516038">
        <w:rPr>
          <w:rFonts w:asciiTheme="majorHAnsi" w:hAnsiTheme="majorHAnsi" w:cstheme="majorHAnsi"/>
          <w:sz w:val="20"/>
          <w:lang w:eastAsia="en-US"/>
        </w:rPr>
        <w:t>Tabela 3.1. Síntese comparativa entre as principais características dos modelos de desenvolvimento abordados</w:t>
      </w:r>
    </w:p>
    <w:tbl>
      <w:tblPr>
        <w:tblStyle w:val="TabeladeGrade4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7"/>
        <w:gridCol w:w="2717"/>
        <w:gridCol w:w="2717"/>
        <w:gridCol w:w="2717"/>
      </w:tblGrid>
      <w:tr w:rsidR="0075363D" w:rsidRPr="0075363D" w14:paraId="2AADE815" w14:textId="77777777" w:rsidTr="007536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 w:type="pct"/>
            <w:tcBorders>
              <w:top w:val="single" w:sz="4" w:space="0" w:color="auto"/>
              <w:left w:val="single" w:sz="4" w:space="0" w:color="auto"/>
              <w:bottom w:val="single" w:sz="4" w:space="0" w:color="auto"/>
              <w:right w:val="single" w:sz="4" w:space="0" w:color="auto"/>
            </w:tcBorders>
          </w:tcPr>
          <w:p w14:paraId="17090A40" w14:textId="77777777" w:rsidR="00EE3346" w:rsidRPr="0075363D" w:rsidRDefault="00EE3346" w:rsidP="00516038">
            <w:pPr>
              <w:pStyle w:val="Default"/>
              <w:rPr>
                <w:rFonts w:asciiTheme="majorHAnsi" w:hAnsiTheme="majorHAnsi" w:cstheme="majorHAnsi"/>
                <w:b w:val="0"/>
                <w:color w:val="FFFFFF" w:themeColor="background1"/>
                <w:sz w:val="22"/>
                <w:szCs w:val="36"/>
                <w:lang w:eastAsia="en-US"/>
              </w:rPr>
            </w:pPr>
            <w:r w:rsidRPr="0075363D">
              <w:rPr>
                <w:rFonts w:asciiTheme="majorHAnsi" w:hAnsiTheme="majorHAnsi" w:cstheme="majorHAnsi"/>
                <w:color w:val="FFFFFF" w:themeColor="background1"/>
                <w:sz w:val="22"/>
                <w:szCs w:val="36"/>
                <w:lang w:eastAsia="en-US"/>
              </w:rPr>
              <w:t>Tipo</w:t>
            </w:r>
          </w:p>
        </w:tc>
        <w:tc>
          <w:tcPr>
            <w:tcW w:w="1421" w:type="pct"/>
            <w:tcBorders>
              <w:top w:val="single" w:sz="4" w:space="0" w:color="auto"/>
              <w:left w:val="single" w:sz="4" w:space="0" w:color="auto"/>
              <w:bottom w:val="single" w:sz="4" w:space="0" w:color="auto"/>
              <w:right w:val="single" w:sz="4" w:space="0" w:color="auto"/>
            </w:tcBorders>
          </w:tcPr>
          <w:p w14:paraId="50DB091F" w14:textId="77777777" w:rsidR="00EE3346" w:rsidRPr="0075363D" w:rsidRDefault="00EE3346" w:rsidP="00516038">
            <w:pPr>
              <w:pStyle w:val="Default"/>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FFFFFF" w:themeColor="background1"/>
                <w:sz w:val="22"/>
                <w:szCs w:val="36"/>
                <w:lang w:eastAsia="en-US"/>
              </w:rPr>
            </w:pPr>
            <w:r w:rsidRPr="0075363D">
              <w:rPr>
                <w:rFonts w:asciiTheme="majorHAnsi" w:hAnsiTheme="majorHAnsi" w:cstheme="majorHAnsi"/>
                <w:color w:val="FFFFFF" w:themeColor="background1"/>
                <w:sz w:val="22"/>
                <w:szCs w:val="36"/>
                <w:lang w:eastAsia="en-US"/>
              </w:rPr>
              <w:t>ABP</w:t>
            </w:r>
          </w:p>
        </w:tc>
        <w:tc>
          <w:tcPr>
            <w:tcW w:w="1421" w:type="pct"/>
            <w:tcBorders>
              <w:top w:val="single" w:sz="4" w:space="0" w:color="auto"/>
              <w:left w:val="single" w:sz="4" w:space="0" w:color="auto"/>
              <w:bottom w:val="single" w:sz="4" w:space="0" w:color="auto"/>
              <w:right w:val="single" w:sz="4" w:space="0" w:color="auto"/>
            </w:tcBorders>
          </w:tcPr>
          <w:p w14:paraId="7DF9DC39" w14:textId="77777777" w:rsidR="00EE3346" w:rsidRPr="0075363D" w:rsidRDefault="00EE3346" w:rsidP="00516038">
            <w:pPr>
              <w:pStyle w:val="Default"/>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FFFFFF" w:themeColor="background1"/>
                <w:sz w:val="22"/>
                <w:szCs w:val="36"/>
                <w:lang w:eastAsia="en-US"/>
              </w:rPr>
            </w:pPr>
            <w:r w:rsidRPr="0075363D">
              <w:rPr>
                <w:rFonts w:asciiTheme="majorHAnsi" w:hAnsiTheme="majorHAnsi" w:cstheme="majorHAnsi"/>
                <w:color w:val="FFFFFF" w:themeColor="background1"/>
                <w:sz w:val="22"/>
                <w:szCs w:val="36"/>
                <w:lang w:eastAsia="en-US"/>
              </w:rPr>
              <w:t>PP</w:t>
            </w:r>
          </w:p>
        </w:tc>
        <w:tc>
          <w:tcPr>
            <w:tcW w:w="1421" w:type="pct"/>
            <w:tcBorders>
              <w:top w:val="single" w:sz="4" w:space="0" w:color="auto"/>
              <w:left w:val="single" w:sz="4" w:space="0" w:color="auto"/>
              <w:bottom w:val="single" w:sz="4" w:space="0" w:color="auto"/>
              <w:right w:val="single" w:sz="4" w:space="0" w:color="auto"/>
            </w:tcBorders>
          </w:tcPr>
          <w:p w14:paraId="75828179" w14:textId="77777777" w:rsidR="00EE3346" w:rsidRPr="0075363D" w:rsidRDefault="00EE3346" w:rsidP="00516038">
            <w:pPr>
              <w:pStyle w:val="Default"/>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FFFFFF" w:themeColor="background1"/>
                <w:sz w:val="22"/>
                <w:szCs w:val="36"/>
                <w:lang w:eastAsia="en-US"/>
              </w:rPr>
            </w:pPr>
            <w:r w:rsidRPr="0075363D">
              <w:rPr>
                <w:rFonts w:asciiTheme="majorHAnsi" w:hAnsiTheme="majorHAnsi" w:cstheme="majorHAnsi"/>
                <w:color w:val="FFFFFF" w:themeColor="background1"/>
                <w:sz w:val="22"/>
                <w:szCs w:val="36"/>
                <w:lang w:eastAsia="en-US"/>
              </w:rPr>
              <w:t>ABP</w:t>
            </w:r>
          </w:p>
        </w:tc>
      </w:tr>
      <w:tr w:rsidR="00EE3346" w:rsidRPr="0075363D" w14:paraId="46D675EE" w14:textId="77777777" w:rsidTr="007536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 w:type="pct"/>
            <w:tcBorders>
              <w:top w:val="single" w:sz="4" w:space="0" w:color="auto"/>
            </w:tcBorders>
          </w:tcPr>
          <w:p w14:paraId="6CAD4179" w14:textId="77777777" w:rsidR="00EE3346" w:rsidRPr="0075363D" w:rsidRDefault="00EE3346" w:rsidP="00516038">
            <w:pPr>
              <w:pStyle w:val="Default"/>
              <w:spacing w:before="120"/>
              <w:rPr>
                <w:rFonts w:asciiTheme="majorHAnsi" w:hAnsiTheme="majorHAnsi" w:cstheme="majorHAnsi"/>
                <w:sz w:val="22"/>
                <w:szCs w:val="36"/>
                <w:lang w:eastAsia="en-US"/>
              </w:rPr>
            </w:pPr>
            <w:r w:rsidRPr="0075363D">
              <w:rPr>
                <w:rFonts w:asciiTheme="majorHAnsi" w:hAnsiTheme="majorHAnsi" w:cstheme="majorHAnsi"/>
                <w:sz w:val="22"/>
                <w:szCs w:val="36"/>
                <w:lang w:eastAsia="en-US"/>
              </w:rPr>
              <w:t>Apresentação</w:t>
            </w:r>
          </w:p>
        </w:tc>
        <w:tc>
          <w:tcPr>
            <w:tcW w:w="1421" w:type="pct"/>
            <w:tcBorders>
              <w:top w:val="single" w:sz="4" w:space="0" w:color="auto"/>
            </w:tcBorders>
          </w:tcPr>
          <w:p w14:paraId="4DB5A29C" w14:textId="77777777" w:rsidR="00EE3346" w:rsidRPr="0075363D" w:rsidRDefault="00EE3346" w:rsidP="00516038">
            <w:pPr>
              <w:pStyle w:val="Default"/>
              <w:spacing w:before="12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36"/>
                <w:lang w:eastAsia="en-US"/>
              </w:rPr>
            </w:pPr>
            <w:r w:rsidRPr="0075363D">
              <w:rPr>
                <w:rFonts w:asciiTheme="majorHAnsi" w:hAnsiTheme="majorHAnsi" w:cstheme="majorHAnsi"/>
                <w:sz w:val="22"/>
                <w:szCs w:val="36"/>
                <w:lang w:eastAsia="en-US"/>
              </w:rPr>
              <w:t>Um problema específico e previamente escolhido por comissão de especialistas</w:t>
            </w:r>
          </w:p>
        </w:tc>
        <w:tc>
          <w:tcPr>
            <w:tcW w:w="1421" w:type="pct"/>
            <w:tcBorders>
              <w:top w:val="single" w:sz="4" w:space="0" w:color="auto"/>
            </w:tcBorders>
          </w:tcPr>
          <w:p w14:paraId="4C2C2AFD" w14:textId="77777777" w:rsidR="00EE3346" w:rsidRPr="0075363D" w:rsidRDefault="00EE3346" w:rsidP="00516038">
            <w:pPr>
              <w:pStyle w:val="Default"/>
              <w:spacing w:before="12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36"/>
                <w:lang w:eastAsia="en-US"/>
              </w:rPr>
            </w:pPr>
            <w:r w:rsidRPr="0075363D">
              <w:rPr>
                <w:rFonts w:asciiTheme="majorHAnsi" w:hAnsiTheme="majorHAnsi" w:cstheme="majorHAnsi"/>
                <w:sz w:val="22"/>
                <w:szCs w:val="36"/>
                <w:lang w:eastAsia="en-US"/>
              </w:rPr>
              <w:t>Uma situação é apresentada ou observada e possíveis problemas que ela possui são levantados</w:t>
            </w:r>
          </w:p>
        </w:tc>
        <w:tc>
          <w:tcPr>
            <w:tcW w:w="1421" w:type="pct"/>
            <w:tcBorders>
              <w:top w:val="single" w:sz="4" w:space="0" w:color="auto"/>
            </w:tcBorders>
          </w:tcPr>
          <w:p w14:paraId="557A1077" w14:textId="77777777" w:rsidR="00EE3346" w:rsidRPr="0075363D" w:rsidRDefault="00EE3346" w:rsidP="00516038">
            <w:pPr>
              <w:pStyle w:val="Default"/>
              <w:spacing w:before="12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36"/>
                <w:lang w:eastAsia="en-US"/>
              </w:rPr>
            </w:pPr>
            <w:r w:rsidRPr="0075363D">
              <w:rPr>
                <w:rFonts w:asciiTheme="majorHAnsi" w:hAnsiTheme="majorHAnsi" w:cstheme="majorHAnsi"/>
                <w:sz w:val="22"/>
                <w:szCs w:val="36"/>
                <w:lang w:eastAsia="en-US"/>
              </w:rPr>
              <w:t>Um tema escolhido previamente pelos docentes do período é apresentado</w:t>
            </w:r>
          </w:p>
        </w:tc>
      </w:tr>
      <w:tr w:rsidR="00EE3346" w:rsidRPr="0075363D" w14:paraId="66C6ADD2" w14:textId="77777777" w:rsidTr="0075363D">
        <w:tc>
          <w:tcPr>
            <w:cnfStyle w:val="001000000000" w:firstRow="0" w:lastRow="0" w:firstColumn="1" w:lastColumn="0" w:oddVBand="0" w:evenVBand="0" w:oddHBand="0" w:evenHBand="0" w:firstRowFirstColumn="0" w:firstRowLastColumn="0" w:lastRowFirstColumn="0" w:lastRowLastColumn="0"/>
            <w:tcW w:w="737" w:type="pct"/>
          </w:tcPr>
          <w:p w14:paraId="2C76F6FD" w14:textId="77777777" w:rsidR="00EE3346" w:rsidRPr="0075363D" w:rsidRDefault="00EE3346" w:rsidP="00516038">
            <w:pPr>
              <w:pStyle w:val="Default"/>
              <w:spacing w:before="120"/>
              <w:rPr>
                <w:rFonts w:asciiTheme="majorHAnsi" w:hAnsiTheme="majorHAnsi" w:cstheme="majorHAnsi"/>
                <w:sz w:val="22"/>
                <w:szCs w:val="36"/>
                <w:lang w:eastAsia="en-US"/>
              </w:rPr>
            </w:pPr>
            <w:r w:rsidRPr="0075363D">
              <w:rPr>
                <w:rFonts w:asciiTheme="majorHAnsi" w:hAnsiTheme="majorHAnsi" w:cstheme="majorHAnsi"/>
                <w:sz w:val="22"/>
                <w:szCs w:val="36"/>
                <w:lang w:eastAsia="en-US"/>
              </w:rPr>
              <w:t>Ação 1</w:t>
            </w:r>
          </w:p>
        </w:tc>
        <w:tc>
          <w:tcPr>
            <w:tcW w:w="1421" w:type="pct"/>
          </w:tcPr>
          <w:p w14:paraId="6AEE2558" w14:textId="77777777" w:rsidR="00EE3346" w:rsidRPr="0075363D" w:rsidRDefault="00EE3346" w:rsidP="00516038">
            <w:pPr>
              <w:pStyle w:val="Default"/>
              <w:spacing w:before="12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36"/>
                <w:lang w:eastAsia="en-US"/>
              </w:rPr>
            </w:pPr>
            <w:r w:rsidRPr="0075363D">
              <w:rPr>
                <w:rFonts w:asciiTheme="majorHAnsi" w:hAnsiTheme="majorHAnsi" w:cstheme="majorHAnsi"/>
                <w:sz w:val="22"/>
                <w:szCs w:val="36"/>
                <w:lang w:eastAsia="en-US"/>
              </w:rPr>
              <w:t>O problema é identificado</w:t>
            </w:r>
          </w:p>
        </w:tc>
        <w:tc>
          <w:tcPr>
            <w:tcW w:w="1421" w:type="pct"/>
          </w:tcPr>
          <w:p w14:paraId="4D1B8E37" w14:textId="77777777" w:rsidR="00EE3346" w:rsidRPr="0075363D" w:rsidRDefault="00EE3346" w:rsidP="00516038">
            <w:pPr>
              <w:pStyle w:val="Default"/>
              <w:spacing w:before="12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36"/>
                <w:lang w:eastAsia="en-US"/>
              </w:rPr>
            </w:pPr>
            <w:r w:rsidRPr="0075363D">
              <w:rPr>
                <w:rFonts w:asciiTheme="majorHAnsi" w:hAnsiTheme="majorHAnsi" w:cstheme="majorHAnsi"/>
                <w:sz w:val="22"/>
                <w:szCs w:val="36"/>
                <w:lang w:eastAsia="en-US"/>
              </w:rPr>
              <w:t>Uma situação-problema considerada mais relevante (ou não) é encontrada para discussão</w:t>
            </w:r>
          </w:p>
        </w:tc>
        <w:tc>
          <w:tcPr>
            <w:tcW w:w="1421" w:type="pct"/>
          </w:tcPr>
          <w:p w14:paraId="352BA787" w14:textId="77777777" w:rsidR="00EE3346" w:rsidRPr="0075363D" w:rsidRDefault="00EE3346" w:rsidP="00516038">
            <w:pPr>
              <w:pStyle w:val="Default"/>
              <w:spacing w:before="12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36"/>
                <w:lang w:eastAsia="en-US"/>
              </w:rPr>
            </w:pPr>
            <w:r w:rsidRPr="0075363D">
              <w:rPr>
                <w:rFonts w:asciiTheme="majorHAnsi" w:hAnsiTheme="majorHAnsi" w:cstheme="majorHAnsi"/>
                <w:sz w:val="22"/>
                <w:szCs w:val="36"/>
                <w:lang w:eastAsia="en-US"/>
              </w:rPr>
              <w:t>Um projeto ligado ao tema é escolhido pelos alunos</w:t>
            </w:r>
          </w:p>
        </w:tc>
      </w:tr>
      <w:tr w:rsidR="00EE3346" w:rsidRPr="0075363D" w14:paraId="1D9C94C8" w14:textId="77777777" w:rsidTr="007536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 w:type="pct"/>
          </w:tcPr>
          <w:p w14:paraId="6F0751F0" w14:textId="77777777" w:rsidR="00EE3346" w:rsidRPr="0075363D" w:rsidRDefault="00EE3346" w:rsidP="00516038">
            <w:pPr>
              <w:pStyle w:val="Default"/>
              <w:spacing w:before="120"/>
              <w:rPr>
                <w:rFonts w:asciiTheme="majorHAnsi" w:hAnsiTheme="majorHAnsi" w:cstheme="majorHAnsi"/>
                <w:sz w:val="22"/>
                <w:szCs w:val="36"/>
                <w:lang w:eastAsia="en-US"/>
              </w:rPr>
            </w:pPr>
            <w:r w:rsidRPr="0075363D">
              <w:rPr>
                <w:rFonts w:asciiTheme="majorHAnsi" w:hAnsiTheme="majorHAnsi" w:cstheme="majorHAnsi"/>
                <w:sz w:val="22"/>
                <w:szCs w:val="36"/>
                <w:lang w:eastAsia="en-US"/>
              </w:rPr>
              <w:t>Ação 2</w:t>
            </w:r>
          </w:p>
        </w:tc>
        <w:tc>
          <w:tcPr>
            <w:tcW w:w="1421" w:type="pct"/>
          </w:tcPr>
          <w:p w14:paraId="06DF5FAC" w14:textId="77777777" w:rsidR="00EE3346" w:rsidRPr="0075363D" w:rsidRDefault="00EE3346" w:rsidP="00516038">
            <w:pPr>
              <w:pStyle w:val="Default"/>
              <w:spacing w:before="12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36"/>
                <w:lang w:eastAsia="en-US"/>
              </w:rPr>
            </w:pPr>
            <w:r w:rsidRPr="0075363D">
              <w:rPr>
                <w:rFonts w:asciiTheme="majorHAnsi" w:hAnsiTheme="majorHAnsi" w:cstheme="majorHAnsi"/>
                <w:sz w:val="22"/>
                <w:szCs w:val="36"/>
                <w:lang w:eastAsia="en-US"/>
              </w:rPr>
              <w:t>Novos conhecimentos são obtidos para possibilitar a resolução do problema</w:t>
            </w:r>
          </w:p>
        </w:tc>
        <w:tc>
          <w:tcPr>
            <w:tcW w:w="1421" w:type="pct"/>
          </w:tcPr>
          <w:p w14:paraId="42660A26" w14:textId="77777777" w:rsidR="00EE3346" w:rsidRPr="0075363D" w:rsidRDefault="00EE3346" w:rsidP="00516038">
            <w:pPr>
              <w:pStyle w:val="Default"/>
              <w:spacing w:before="12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36"/>
                <w:lang w:eastAsia="en-US"/>
              </w:rPr>
            </w:pPr>
            <w:r w:rsidRPr="0075363D">
              <w:rPr>
                <w:rFonts w:asciiTheme="majorHAnsi" w:hAnsiTheme="majorHAnsi" w:cstheme="majorHAnsi"/>
                <w:sz w:val="22"/>
                <w:szCs w:val="36"/>
                <w:lang w:eastAsia="en-US"/>
              </w:rPr>
              <w:t>Novos conhecimentos são obtidos para interferir na situação apresentada</w:t>
            </w:r>
          </w:p>
        </w:tc>
        <w:tc>
          <w:tcPr>
            <w:tcW w:w="1421" w:type="pct"/>
          </w:tcPr>
          <w:p w14:paraId="5FA02447" w14:textId="77777777" w:rsidR="00EE3346" w:rsidRPr="0075363D" w:rsidRDefault="00EE3346" w:rsidP="00516038">
            <w:pPr>
              <w:pStyle w:val="Default"/>
              <w:spacing w:before="12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36"/>
                <w:lang w:eastAsia="en-US"/>
              </w:rPr>
            </w:pPr>
            <w:r w:rsidRPr="0075363D">
              <w:rPr>
                <w:rFonts w:asciiTheme="majorHAnsi" w:hAnsiTheme="majorHAnsi" w:cstheme="majorHAnsi"/>
                <w:sz w:val="22"/>
                <w:szCs w:val="36"/>
                <w:lang w:eastAsia="en-US"/>
              </w:rPr>
              <w:t>Novos conhecimentos são obtidos para desenvolver o projeto</w:t>
            </w:r>
          </w:p>
        </w:tc>
      </w:tr>
      <w:tr w:rsidR="00EE3346" w:rsidRPr="0075363D" w14:paraId="4124BA0D" w14:textId="77777777" w:rsidTr="0075363D">
        <w:tc>
          <w:tcPr>
            <w:cnfStyle w:val="001000000000" w:firstRow="0" w:lastRow="0" w:firstColumn="1" w:lastColumn="0" w:oddVBand="0" w:evenVBand="0" w:oddHBand="0" w:evenHBand="0" w:firstRowFirstColumn="0" w:firstRowLastColumn="0" w:lastRowFirstColumn="0" w:lastRowLastColumn="0"/>
            <w:tcW w:w="737" w:type="pct"/>
          </w:tcPr>
          <w:p w14:paraId="1B048018" w14:textId="77777777" w:rsidR="00EE3346" w:rsidRPr="0075363D" w:rsidRDefault="00EE3346" w:rsidP="00516038">
            <w:pPr>
              <w:pStyle w:val="Default"/>
              <w:spacing w:before="120"/>
              <w:rPr>
                <w:rFonts w:asciiTheme="majorHAnsi" w:hAnsiTheme="majorHAnsi" w:cstheme="majorHAnsi"/>
                <w:sz w:val="22"/>
                <w:szCs w:val="36"/>
                <w:lang w:eastAsia="en-US"/>
              </w:rPr>
            </w:pPr>
            <w:r w:rsidRPr="0075363D">
              <w:rPr>
                <w:rFonts w:asciiTheme="majorHAnsi" w:hAnsiTheme="majorHAnsi" w:cstheme="majorHAnsi"/>
                <w:sz w:val="22"/>
                <w:szCs w:val="36"/>
                <w:lang w:eastAsia="en-US"/>
              </w:rPr>
              <w:t>Ação 3</w:t>
            </w:r>
          </w:p>
        </w:tc>
        <w:tc>
          <w:tcPr>
            <w:tcW w:w="1421" w:type="pct"/>
          </w:tcPr>
          <w:p w14:paraId="16B2DE7B" w14:textId="77777777" w:rsidR="00EE3346" w:rsidRPr="0075363D" w:rsidRDefault="00EE3346" w:rsidP="00516038">
            <w:pPr>
              <w:pStyle w:val="Default"/>
              <w:spacing w:before="12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36"/>
                <w:lang w:eastAsia="en-US"/>
              </w:rPr>
            </w:pPr>
            <w:r w:rsidRPr="0075363D">
              <w:rPr>
                <w:rFonts w:asciiTheme="majorHAnsi" w:hAnsiTheme="majorHAnsi" w:cstheme="majorHAnsi"/>
                <w:sz w:val="22"/>
                <w:szCs w:val="36"/>
                <w:lang w:eastAsia="en-US"/>
              </w:rPr>
              <w:t>Sucessivas tentativas de resolução do problema são feitas</w:t>
            </w:r>
          </w:p>
        </w:tc>
        <w:tc>
          <w:tcPr>
            <w:tcW w:w="1421" w:type="pct"/>
          </w:tcPr>
          <w:p w14:paraId="670DCC47" w14:textId="77777777" w:rsidR="00EE3346" w:rsidRPr="0075363D" w:rsidRDefault="00EE3346" w:rsidP="00516038">
            <w:pPr>
              <w:pStyle w:val="Default"/>
              <w:spacing w:before="12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36"/>
                <w:lang w:eastAsia="en-US"/>
              </w:rPr>
            </w:pPr>
            <w:r w:rsidRPr="0075363D">
              <w:rPr>
                <w:rFonts w:asciiTheme="majorHAnsi" w:hAnsiTheme="majorHAnsi" w:cstheme="majorHAnsi"/>
                <w:sz w:val="22"/>
                <w:szCs w:val="36"/>
                <w:lang w:eastAsia="en-US"/>
              </w:rPr>
              <w:t>A situação problema é teorizada</w:t>
            </w:r>
          </w:p>
        </w:tc>
        <w:tc>
          <w:tcPr>
            <w:tcW w:w="1421" w:type="pct"/>
          </w:tcPr>
          <w:p w14:paraId="1762B775" w14:textId="77777777" w:rsidR="00EE3346" w:rsidRPr="0075363D" w:rsidRDefault="00EE3346" w:rsidP="00516038">
            <w:pPr>
              <w:pStyle w:val="Default"/>
              <w:spacing w:before="12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36"/>
                <w:lang w:eastAsia="en-US"/>
              </w:rPr>
            </w:pPr>
            <w:r w:rsidRPr="0075363D">
              <w:rPr>
                <w:rFonts w:asciiTheme="majorHAnsi" w:hAnsiTheme="majorHAnsi" w:cstheme="majorHAnsi"/>
                <w:sz w:val="22"/>
                <w:szCs w:val="36"/>
                <w:lang w:eastAsia="en-US"/>
              </w:rPr>
              <w:t>Projeto é apresentado e recebe críticas e sugestões</w:t>
            </w:r>
          </w:p>
        </w:tc>
      </w:tr>
      <w:tr w:rsidR="00EE3346" w:rsidRPr="0075363D" w14:paraId="54B4668A" w14:textId="77777777" w:rsidTr="007536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 w:type="pct"/>
          </w:tcPr>
          <w:p w14:paraId="3902678E" w14:textId="77777777" w:rsidR="00EE3346" w:rsidRPr="0075363D" w:rsidRDefault="00EE3346" w:rsidP="00516038">
            <w:pPr>
              <w:pStyle w:val="Default"/>
              <w:spacing w:before="120"/>
              <w:rPr>
                <w:rFonts w:asciiTheme="majorHAnsi" w:hAnsiTheme="majorHAnsi" w:cstheme="majorHAnsi"/>
                <w:sz w:val="22"/>
                <w:szCs w:val="36"/>
                <w:lang w:eastAsia="en-US"/>
              </w:rPr>
            </w:pPr>
            <w:r w:rsidRPr="0075363D">
              <w:rPr>
                <w:rFonts w:asciiTheme="majorHAnsi" w:hAnsiTheme="majorHAnsi" w:cstheme="majorHAnsi"/>
                <w:sz w:val="22"/>
                <w:szCs w:val="36"/>
                <w:lang w:eastAsia="en-US"/>
              </w:rPr>
              <w:t xml:space="preserve">Ação 4 </w:t>
            </w:r>
          </w:p>
        </w:tc>
        <w:tc>
          <w:tcPr>
            <w:tcW w:w="1421" w:type="pct"/>
          </w:tcPr>
          <w:p w14:paraId="2C4B7C77" w14:textId="77777777" w:rsidR="00EE3346" w:rsidRPr="0075363D" w:rsidRDefault="00EE3346" w:rsidP="00516038">
            <w:pPr>
              <w:pStyle w:val="Default"/>
              <w:spacing w:before="12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36"/>
                <w:lang w:eastAsia="en-US"/>
              </w:rPr>
            </w:pPr>
            <w:r w:rsidRPr="0075363D">
              <w:rPr>
                <w:rFonts w:asciiTheme="majorHAnsi" w:hAnsiTheme="majorHAnsi" w:cstheme="majorHAnsi"/>
                <w:sz w:val="22"/>
                <w:szCs w:val="36"/>
                <w:lang w:eastAsia="en-US"/>
              </w:rPr>
              <w:t>Interação entre os grupos e resolução do problema</w:t>
            </w:r>
          </w:p>
        </w:tc>
        <w:tc>
          <w:tcPr>
            <w:tcW w:w="1421" w:type="pct"/>
          </w:tcPr>
          <w:p w14:paraId="66F2BED0" w14:textId="77777777" w:rsidR="00EE3346" w:rsidRPr="0075363D" w:rsidRDefault="00EE3346" w:rsidP="00516038">
            <w:pPr>
              <w:pStyle w:val="Default"/>
              <w:spacing w:before="12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36"/>
                <w:lang w:eastAsia="en-US"/>
              </w:rPr>
            </w:pPr>
            <w:r w:rsidRPr="0075363D">
              <w:rPr>
                <w:rFonts w:asciiTheme="majorHAnsi" w:hAnsiTheme="majorHAnsi" w:cstheme="majorHAnsi"/>
                <w:sz w:val="22"/>
                <w:szCs w:val="36"/>
                <w:lang w:eastAsia="en-US"/>
              </w:rPr>
              <w:t>São feitas hipóteses para a solução</w:t>
            </w:r>
          </w:p>
        </w:tc>
        <w:tc>
          <w:tcPr>
            <w:tcW w:w="1421" w:type="pct"/>
          </w:tcPr>
          <w:p w14:paraId="098F2CC0" w14:textId="77777777" w:rsidR="00EE3346" w:rsidRPr="0075363D" w:rsidRDefault="00EE3346" w:rsidP="00516038">
            <w:pPr>
              <w:pStyle w:val="Default"/>
              <w:spacing w:before="12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36"/>
                <w:lang w:eastAsia="en-US"/>
              </w:rPr>
            </w:pPr>
            <w:r w:rsidRPr="0075363D">
              <w:rPr>
                <w:rFonts w:asciiTheme="majorHAnsi" w:hAnsiTheme="majorHAnsi" w:cstheme="majorHAnsi"/>
                <w:sz w:val="22"/>
                <w:szCs w:val="36"/>
                <w:lang w:eastAsia="en-US"/>
              </w:rPr>
              <w:t>Críticas e sugestões são incorporadas e nova fase de desenvolvimento é feita</w:t>
            </w:r>
          </w:p>
        </w:tc>
      </w:tr>
      <w:tr w:rsidR="00EE3346" w:rsidRPr="0075363D" w14:paraId="47A3DA0A" w14:textId="77777777" w:rsidTr="0075363D">
        <w:tc>
          <w:tcPr>
            <w:cnfStyle w:val="001000000000" w:firstRow="0" w:lastRow="0" w:firstColumn="1" w:lastColumn="0" w:oddVBand="0" w:evenVBand="0" w:oddHBand="0" w:evenHBand="0" w:firstRowFirstColumn="0" w:firstRowLastColumn="0" w:lastRowFirstColumn="0" w:lastRowLastColumn="0"/>
            <w:tcW w:w="737" w:type="pct"/>
          </w:tcPr>
          <w:p w14:paraId="27CE9D18" w14:textId="77777777" w:rsidR="00EE3346" w:rsidRPr="0075363D" w:rsidRDefault="00EE3346" w:rsidP="00516038">
            <w:pPr>
              <w:pStyle w:val="Default"/>
              <w:spacing w:before="120"/>
              <w:rPr>
                <w:rFonts w:asciiTheme="majorHAnsi" w:hAnsiTheme="majorHAnsi" w:cstheme="majorHAnsi"/>
                <w:sz w:val="22"/>
                <w:szCs w:val="36"/>
                <w:lang w:eastAsia="en-US"/>
              </w:rPr>
            </w:pPr>
            <w:r w:rsidRPr="0075363D">
              <w:rPr>
                <w:rFonts w:asciiTheme="majorHAnsi" w:hAnsiTheme="majorHAnsi" w:cstheme="majorHAnsi"/>
                <w:sz w:val="22"/>
                <w:szCs w:val="36"/>
                <w:lang w:eastAsia="en-US"/>
              </w:rPr>
              <w:t>Término</w:t>
            </w:r>
          </w:p>
        </w:tc>
        <w:tc>
          <w:tcPr>
            <w:tcW w:w="1421" w:type="pct"/>
          </w:tcPr>
          <w:p w14:paraId="3C6D56D8" w14:textId="77777777" w:rsidR="00EE3346" w:rsidRPr="0075363D" w:rsidRDefault="00EE3346" w:rsidP="00516038">
            <w:pPr>
              <w:pStyle w:val="Default"/>
              <w:spacing w:before="12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36"/>
                <w:lang w:eastAsia="en-US"/>
              </w:rPr>
            </w:pPr>
            <w:r w:rsidRPr="0075363D">
              <w:rPr>
                <w:rFonts w:asciiTheme="majorHAnsi" w:hAnsiTheme="majorHAnsi" w:cstheme="majorHAnsi"/>
                <w:sz w:val="22"/>
                <w:szCs w:val="36"/>
                <w:lang w:eastAsia="en-US"/>
              </w:rPr>
              <w:t>Problema solucionado</w:t>
            </w:r>
          </w:p>
        </w:tc>
        <w:tc>
          <w:tcPr>
            <w:tcW w:w="1421" w:type="pct"/>
          </w:tcPr>
          <w:p w14:paraId="49A96DFE" w14:textId="77777777" w:rsidR="00EE3346" w:rsidRPr="0075363D" w:rsidRDefault="00EE3346" w:rsidP="00516038">
            <w:pPr>
              <w:pStyle w:val="Default"/>
              <w:spacing w:before="12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36"/>
                <w:lang w:eastAsia="en-US"/>
              </w:rPr>
            </w:pPr>
            <w:r w:rsidRPr="0075363D">
              <w:rPr>
                <w:rFonts w:asciiTheme="majorHAnsi" w:hAnsiTheme="majorHAnsi" w:cstheme="majorHAnsi"/>
                <w:sz w:val="22"/>
                <w:szCs w:val="36"/>
                <w:lang w:eastAsia="en-US"/>
              </w:rPr>
              <w:t>Aplicação da solução e intervenção na situação inicial pode ser feita</w:t>
            </w:r>
          </w:p>
        </w:tc>
        <w:tc>
          <w:tcPr>
            <w:tcW w:w="1421" w:type="pct"/>
          </w:tcPr>
          <w:p w14:paraId="03ED74BB" w14:textId="77777777" w:rsidR="00EE3346" w:rsidRPr="0075363D" w:rsidRDefault="00EE3346" w:rsidP="00516038">
            <w:pPr>
              <w:pStyle w:val="Default"/>
              <w:spacing w:before="12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36"/>
                <w:lang w:eastAsia="en-US"/>
              </w:rPr>
            </w:pPr>
            <w:r w:rsidRPr="0075363D">
              <w:rPr>
                <w:rFonts w:asciiTheme="majorHAnsi" w:hAnsiTheme="majorHAnsi" w:cstheme="majorHAnsi"/>
                <w:sz w:val="22"/>
                <w:szCs w:val="36"/>
                <w:lang w:eastAsia="en-US"/>
              </w:rPr>
              <w:t>Apresentação do projeto</w:t>
            </w:r>
          </w:p>
        </w:tc>
      </w:tr>
      <w:tr w:rsidR="00EE3346" w:rsidRPr="0075363D" w14:paraId="7310284A" w14:textId="77777777" w:rsidTr="007536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7" w:type="pct"/>
          </w:tcPr>
          <w:p w14:paraId="73F07CA2" w14:textId="77777777" w:rsidR="00EE3346" w:rsidRPr="0075363D" w:rsidRDefault="00EE3346" w:rsidP="00516038">
            <w:pPr>
              <w:pStyle w:val="Default"/>
              <w:spacing w:before="120"/>
              <w:rPr>
                <w:rFonts w:asciiTheme="majorHAnsi" w:hAnsiTheme="majorHAnsi" w:cstheme="majorHAnsi"/>
                <w:sz w:val="22"/>
                <w:szCs w:val="36"/>
                <w:lang w:eastAsia="en-US"/>
              </w:rPr>
            </w:pPr>
            <w:r w:rsidRPr="0075363D">
              <w:rPr>
                <w:rFonts w:asciiTheme="majorHAnsi" w:hAnsiTheme="majorHAnsi" w:cstheme="majorHAnsi"/>
                <w:sz w:val="22"/>
                <w:szCs w:val="36"/>
                <w:lang w:eastAsia="en-US"/>
              </w:rPr>
              <w:t>Tipo de interação</w:t>
            </w:r>
          </w:p>
        </w:tc>
        <w:tc>
          <w:tcPr>
            <w:tcW w:w="1421" w:type="pct"/>
          </w:tcPr>
          <w:p w14:paraId="6BEA4C3C" w14:textId="77777777" w:rsidR="00EE3346" w:rsidRPr="0075363D" w:rsidRDefault="00EE3346" w:rsidP="00516038">
            <w:pPr>
              <w:pStyle w:val="Default"/>
              <w:spacing w:before="12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36"/>
                <w:lang w:eastAsia="en-US"/>
              </w:rPr>
            </w:pPr>
            <w:r w:rsidRPr="0075363D">
              <w:rPr>
                <w:rFonts w:asciiTheme="majorHAnsi" w:hAnsiTheme="majorHAnsi" w:cstheme="majorHAnsi"/>
                <w:sz w:val="22"/>
                <w:szCs w:val="36"/>
                <w:lang w:eastAsia="en-US"/>
              </w:rPr>
              <w:t>Aluno identifica o problema, de conhecimento dos professores</w:t>
            </w:r>
          </w:p>
        </w:tc>
        <w:tc>
          <w:tcPr>
            <w:tcW w:w="1421" w:type="pct"/>
          </w:tcPr>
          <w:p w14:paraId="167B7D88" w14:textId="77777777" w:rsidR="00EE3346" w:rsidRPr="0075363D" w:rsidRDefault="00EE3346" w:rsidP="00516038">
            <w:pPr>
              <w:pStyle w:val="Default"/>
              <w:spacing w:before="12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36"/>
                <w:lang w:eastAsia="en-US"/>
              </w:rPr>
            </w:pPr>
            <w:r w:rsidRPr="0075363D">
              <w:rPr>
                <w:rFonts w:asciiTheme="majorHAnsi" w:hAnsiTheme="majorHAnsi" w:cstheme="majorHAnsi"/>
                <w:sz w:val="22"/>
                <w:szCs w:val="36"/>
                <w:lang w:eastAsia="en-US"/>
              </w:rPr>
              <w:t>Aluno encontra um problema ligado à realidade observada e tem apoio do professor para isso</w:t>
            </w:r>
          </w:p>
        </w:tc>
        <w:tc>
          <w:tcPr>
            <w:tcW w:w="1421" w:type="pct"/>
          </w:tcPr>
          <w:p w14:paraId="1A8B74E5" w14:textId="77777777" w:rsidR="00EE3346" w:rsidRPr="0075363D" w:rsidRDefault="00EE3346" w:rsidP="00516038">
            <w:pPr>
              <w:pStyle w:val="Default"/>
              <w:spacing w:before="12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36"/>
                <w:lang w:eastAsia="en-US"/>
              </w:rPr>
            </w:pPr>
            <w:r w:rsidRPr="0075363D">
              <w:rPr>
                <w:rFonts w:asciiTheme="majorHAnsi" w:hAnsiTheme="majorHAnsi" w:cstheme="majorHAnsi"/>
                <w:sz w:val="22"/>
                <w:szCs w:val="36"/>
                <w:lang w:eastAsia="en-US"/>
              </w:rPr>
              <w:t>Aluno escolhe o desenvolvimento de um projeto ligado ao tema proposto pelos professores, que pode ser a resolução de um problema ou não</w:t>
            </w:r>
          </w:p>
        </w:tc>
      </w:tr>
    </w:tbl>
    <w:p w14:paraId="4DE69A70" w14:textId="7BC5FFC5" w:rsidR="00EE3346" w:rsidRDefault="00EE3346" w:rsidP="0075363D">
      <w:pPr>
        <w:pStyle w:val="Default"/>
        <w:spacing w:after="160"/>
        <w:rPr>
          <w:rFonts w:asciiTheme="majorHAnsi" w:hAnsiTheme="majorHAnsi" w:cstheme="majorHAnsi"/>
          <w:sz w:val="16"/>
          <w:lang w:eastAsia="en-US"/>
        </w:rPr>
      </w:pPr>
      <w:r w:rsidRPr="00516038">
        <w:rPr>
          <w:rFonts w:asciiTheme="majorHAnsi" w:hAnsiTheme="majorHAnsi" w:cstheme="majorHAnsi"/>
          <w:sz w:val="16"/>
          <w:lang w:eastAsia="en-US"/>
        </w:rPr>
        <w:t>Fonte: Elaborado pelo autor</w:t>
      </w:r>
    </w:p>
    <w:p w14:paraId="75F220E6" w14:textId="77777777" w:rsidR="0075363D" w:rsidRPr="00516038" w:rsidRDefault="0075363D" w:rsidP="0075363D">
      <w:pPr>
        <w:pStyle w:val="Default"/>
        <w:spacing w:after="160"/>
        <w:rPr>
          <w:rFonts w:asciiTheme="majorHAnsi" w:hAnsiTheme="majorHAnsi" w:cstheme="majorHAnsi"/>
          <w:sz w:val="16"/>
          <w:lang w:eastAsia="en-US"/>
        </w:rPr>
      </w:pPr>
    </w:p>
    <w:p w14:paraId="22BFA8C2" w14:textId="7CBD1543" w:rsidR="00EE3346" w:rsidRPr="0075363D" w:rsidRDefault="00EE3346" w:rsidP="00FD37DC">
      <w:pPr>
        <w:tabs>
          <w:tab w:val="clear" w:pos="1615"/>
        </w:tabs>
        <w:spacing w:line="360" w:lineRule="auto"/>
        <w:ind w:firstLine="709"/>
        <w:jc w:val="both"/>
        <w:rPr>
          <w:rFonts w:asciiTheme="majorHAnsi" w:hAnsiTheme="majorHAnsi" w:cstheme="majorHAnsi"/>
          <w:sz w:val="24"/>
          <w:szCs w:val="24"/>
        </w:rPr>
      </w:pPr>
      <w:r w:rsidRPr="0075363D">
        <w:rPr>
          <w:rFonts w:asciiTheme="majorHAnsi" w:hAnsiTheme="majorHAnsi" w:cstheme="majorHAnsi"/>
          <w:sz w:val="24"/>
          <w:szCs w:val="24"/>
        </w:rPr>
        <w:t>Percebe-se que as metodologias podem se interseccionar, mas, basicamente, a abrangência da ABP é maior e leva a um maior envolvimento dos estudantes já que a escolha do tema é do próprio grupo de alunos</w:t>
      </w:r>
    </w:p>
    <w:p w14:paraId="2DB9EDCC" w14:textId="7CE5AC96" w:rsidR="00EE3346" w:rsidRPr="0075363D" w:rsidRDefault="00EE3346" w:rsidP="00FD37DC">
      <w:pPr>
        <w:tabs>
          <w:tab w:val="clear" w:pos="1615"/>
        </w:tabs>
        <w:spacing w:line="360" w:lineRule="auto"/>
        <w:ind w:firstLine="709"/>
        <w:jc w:val="both"/>
        <w:rPr>
          <w:rFonts w:asciiTheme="majorHAnsi" w:hAnsiTheme="majorHAnsi" w:cstheme="majorHAnsi"/>
          <w:sz w:val="24"/>
          <w:szCs w:val="24"/>
        </w:rPr>
      </w:pPr>
      <w:r w:rsidRPr="0075363D">
        <w:rPr>
          <w:rFonts w:asciiTheme="majorHAnsi" w:hAnsiTheme="majorHAnsi" w:cstheme="majorHAnsi"/>
          <w:sz w:val="24"/>
          <w:szCs w:val="24"/>
        </w:rPr>
        <w:t>Em qualquer metodologia, a apropriação de novos conhecimentos é prevista e se dá a partir de estudos em grupo, de exposições e de outras metodologias ativas da escolha do(s) professor(es) envolvido(s) com seu desenvolvimento.</w:t>
      </w:r>
    </w:p>
    <w:p w14:paraId="50E48459" w14:textId="121B036F" w:rsidR="00EE3346" w:rsidRPr="0075363D" w:rsidRDefault="00EE3346" w:rsidP="00FD37DC">
      <w:pPr>
        <w:tabs>
          <w:tab w:val="clear" w:pos="1615"/>
        </w:tabs>
        <w:spacing w:line="360" w:lineRule="auto"/>
        <w:ind w:firstLine="709"/>
        <w:jc w:val="both"/>
        <w:rPr>
          <w:rFonts w:asciiTheme="majorHAnsi" w:hAnsiTheme="majorHAnsi" w:cstheme="majorHAnsi"/>
          <w:sz w:val="24"/>
          <w:szCs w:val="24"/>
        </w:rPr>
      </w:pPr>
      <w:r w:rsidRPr="0075363D">
        <w:rPr>
          <w:rFonts w:asciiTheme="majorHAnsi" w:hAnsiTheme="majorHAnsi" w:cstheme="majorHAnsi"/>
          <w:sz w:val="24"/>
          <w:szCs w:val="24"/>
        </w:rPr>
        <w:t>A existência de um produto final estruturado e com aplicabilidade ou intervenção na realidade não ocorre na ABP; ocorre na PP, apesar de ficar condicionado ao tipo de problema focado e que tem o auxílio do(a) docente; pode ocorrer na ABP se o projeto visar à obtenção de um produto ou de uma sistemática que equacione um problema, mas pode visar a uma prospecção sobre comportamento futuro, simulações e outras alternativas que a tornam mais abrangentes para a análise final, que deve ocorrer a cada período letivo e ser socializada da forma mais abrangente possível.</w:t>
      </w:r>
    </w:p>
    <w:p w14:paraId="69B630FB" w14:textId="5524D7C4" w:rsidR="00EE3346" w:rsidRDefault="00EE3346" w:rsidP="00FD37DC">
      <w:pPr>
        <w:tabs>
          <w:tab w:val="clear" w:pos="1615"/>
        </w:tabs>
        <w:spacing w:line="360" w:lineRule="auto"/>
        <w:ind w:firstLine="709"/>
        <w:jc w:val="both"/>
        <w:rPr>
          <w:rFonts w:asciiTheme="majorHAnsi" w:hAnsiTheme="majorHAnsi" w:cstheme="majorHAnsi"/>
          <w:sz w:val="24"/>
          <w:szCs w:val="24"/>
        </w:rPr>
      </w:pPr>
      <w:r w:rsidRPr="0075363D">
        <w:rPr>
          <w:rFonts w:asciiTheme="majorHAnsi" w:hAnsiTheme="majorHAnsi" w:cstheme="majorHAnsi"/>
          <w:sz w:val="24"/>
          <w:szCs w:val="24"/>
        </w:rPr>
        <w:t>Nessa síntese, é defendida a ideia de que a diversidade que a ABP pode possibilitar garante o cumprimento do preceito constitucional da indissociabilidade entre ensino, pesquisa e extensão, sem disciplinarizar nenhuma dessas ações em especial.</w:t>
      </w:r>
    </w:p>
    <w:p w14:paraId="01764C8E" w14:textId="77777777" w:rsidR="00FD37DC" w:rsidRPr="0075363D" w:rsidRDefault="00FD37DC" w:rsidP="00FD37DC">
      <w:pPr>
        <w:tabs>
          <w:tab w:val="clear" w:pos="1615"/>
        </w:tabs>
        <w:spacing w:line="360" w:lineRule="auto"/>
        <w:ind w:firstLine="709"/>
        <w:jc w:val="both"/>
        <w:rPr>
          <w:rFonts w:asciiTheme="majorHAnsi" w:hAnsiTheme="majorHAnsi" w:cstheme="majorHAnsi"/>
          <w:sz w:val="24"/>
          <w:szCs w:val="24"/>
        </w:rPr>
      </w:pPr>
    </w:p>
    <w:p w14:paraId="0D82078B" w14:textId="77777777" w:rsidR="00EE3346" w:rsidRPr="00516038" w:rsidRDefault="00EE3346" w:rsidP="00FD37DC">
      <w:pPr>
        <w:pStyle w:val="Ttulo2"/>
        <w:numPr>
          <w:ilvl w:val="1"/>
          <w:numId w:val="1"/>
        </w:numPr>
        <w:tabs>
          <w:tab w:val="clear" w:pos="1615"/>
        </w:tabs>
        <w:spacing w:before="0" w:after="0" w:line="360" w:lineRule="auto"/>
        <w:ind w:left="993"/>
        <w:rPr>
          <w:rFonts w:asciiTheme="majorHAnsi" w:hAnsiTheme="majorHAnsi" w:cstheme="majorHAnsi"/>
        </w:rPr>
      </w:pPr>
      <w:bookmarkStart w:id="65" w:name="_Toc89878055"/>
      <w:bookmarkStart w:id="66" w:name="_Toc102134993"/>
      <w:r w:rsidRPr="00516038">
        <w:rPr>
          <w:rFonts w:asciiTheme="majorHAnsi" w:hAnsiTheme="majorHAnsi" w:cstheme="majorHAnsi"/>
        </w:rPr>
        <w:t>MAA PARA ATIVIDADES CURRICULARES EM GERAL</w:t>
      </w:r>
      <w:bookmarkEnd w:id="65"/>
      <w:bookmarkEnd w:id="66"/>
    </w:p>
    <w:p w14:paraId="50682AB9" w14:textId="38B4D9EA" w:rsidR="00EE3346" w:rsidRPr="00FD37DC" w:rsidRDefault="00EE3346" w:rsidP="00FD37DC">
      <w:pPr>
        <w:tabs>
          <w:tab w:val="clear" w:pos="1615"/>
        </w:tabs>
        <w:spacing w:line="360" w:lineRule="auto"/>
        <w:ind w:firstLine="709"/>
        <w:jc w:val="both"/>
        <w:rPr>
          <w:rFonts w:asciiTheme="majorHAnsi" w:hAnsiTheme="majorHAnsi" w:cstheme="majorHAnsi"/>
          <w:sz w:val="24"/>
          <w:szCs w:val="24"/>
        </w:rPr>
      </w:pPr>
      <w:r w:rsidRPr="00FD37DC">
        <w:rPr>
          <w:rFonts w:asciiTheme="majorHAnsi" w:hAnsiTheme="majorHAnsi" w:cstheme="majorHAnsi"/>
          <w:sz w:val="24"/>
          <w:szCs w:val="24"/>
        </w:rPr>
        <w:t xml:space="preserve">São inúmeras as possibilidades de metodologias para utilização nas diferentes atividades curriculares. Aqui, serão destacadas as mais utilizadas e algumas que têm potencial de uso em cursos superiores. </w:t>
      </w:r>
    </w:p>
    <w:p w14:paraId="473BE322" w14:textId="0D18C971" w:rsidR="00EE3346" w:rsidRPr="00FD37DC" w:rsidRDefault="00EE3346" w:rsidP="00FD37DC">
      <w:pPr>
        <w:tabs>
          <w:tab w:val="clear" w:pos="1615"/>
        </w:tabs>
        <w:spacing w:line="360" w:lineRule="auto"/>
        <w:ind w:firstLine="709"/>
        <w:jc w:val="both"/>
        <w:rPr>
          <w:rFonts w:asciiTheme="majorHAnsi" w:hAnsiTheme="majorHAnsi" w:cstheme="majorHAnsi"/>
          <w:sz w:val="24"/>
          <w:szCs w:val="24"/>
        </w:rPr>
      </w:pPr>
      <w:r w:rsidRPr="00FD37DC">
        <w:rPr>
          <w:rFonts w:asciiTheme="majorHAnsi" w:hAnsiTheme="majorHAnsi" w:cstheme="majorHAnsi"/>
          <w:sz w:val="24"/>
          <w:szCs w:val="24"/>
        </w:rPr>
        <w:t>As três metodologias apresentadas no item anterior podem também ser utilizadas em atividades curriculares em geral, de forma mais específica ou pontual. Por exemplo, podemos ter a proposta do tema “medidas e proporções com enfoque em pelo menos duas grandes áreas de conhecimento” e os alunos optarem por vários projetos que envolvam Arquitetura (plantas), Desenho (mapas, pinturas acadêmicas), Biologia (células e organelas), Física (movimentos, termologia), Química (átomos, moléculas), Matemática (razões e proporções), Português (sistema internacional de medidas), Inglês (sistema imperial inglês de medidas) etc., relacionando-os uns aos outros e com tratamento global naquele semestre. E podemos ter projetos envolvendo uma única disciplina, como, por exemplo, releitura de uma expressão artística a partir de outra, e aí a expressão musical de um poema, tela ou qualquer outro projeto ligado poderia ser executado.</w:t>
      </w:r>
    </w:p>
    <w:p w14:paraId="5F8566B7" w14:textId="0AF4A8F4" w:rsidR="00EE3346" w:rsidRPr="00FD37DC" w:rsidRDefault="00EE3346" w:rsidP="00FD37DC">
      <w:pPr>
        <w:tabs>
          <w:tab w:val="clear" w:pos="1615"/>
        </w:tabs>
        <w:spacing w:line="360" w:lineRule="auto"/>
        <w:ind w:firstLine="709"/>
        <w:jc w:val="both"/>
        <w:rPr>
          <w:rFonts w:asciiTheme="majorHAnsi" w:hAnsiTheme="majorHAnsi" w:cstheme="majorHAnsi"/>
          <w:sz w:val="24"/>
          <w:szCs w:val="24"/>
        </w:rPr>
      </w:pPr>
      <w:r w:rsidRPr="00FD37DC">
        <w:rPr>
          <w:rFonts w:asciiTheme="majorHAnsi" w:hAnsiTheme="majorHAnsi" w:cstheme="majorHAnsi"/>
          <w:sz w:val="24"/>
          <w:szCs w:val="24"/>
        </w:rPr>
        <w:t>Isso tem sido muito comum em cursos que não se desenvolvem total ou majoritariamente com essas metodologias, e também contribui para que a aprendizagem de determinados temas possa ocorrer a partir da problematização, do uso de problemas específicos ou na realização de pequenos projetos, o que tem sido bastante frequente na área das ciências exatas e engenharias (</w:t>
      </w:r>
      <w:r w:rsidRPr="00FD37DC">
        <w:rPr>
          <w:rFonts w:asciiTheme="majorHAnsi" w:hAnsiTheme="majorHAnsi" w:cstheme="majorHAnsi"/>
          <w:sz w:val="24"/>
          <w:szCs w:val="20"/>
        </w:rPr>
        <w:t xml:space="preserve">SALES, DEL MOURA e SALES, 2013; </w:t>
      </w:r>
      <w:r w:rsidRPr="00FD37DC">
        <w:rPr>
          <w:rFonts w:asciiTheme="majorHAnsi" w:hAnsiTheme="majorHAnsi" w:cstheme="majorHAnsi"/>
          <w:sz w:val="24"/>
          <w:szCs w:val="24"/>
        </w:rPr>
        <w:t xml:space="preserve">PASQUALETTO, VEIT E ARAUJO, 2017; LOPES e REIS, 2019; PAULINO et. al., 2019; </w:t>
      </w:r>
      <w:r w:rsidRPr="00FD37DC">
        <w:rPr>
          <w:rFonts w:asciiTheme="majorHAnsi" w:hAnsiTheme="majorHAnsi" w:cstheme="majorHAnsi"/>
          <w:color w:val="000000"/>
          <w:sz w:val="24"/>
          <w:szCs w:val="20"/>
        </w:rPr>
        <w:t>SANTANA, VALENTE e FREITAS, 2019; SALES, SERRANO e SERRANO, 2020</w:t>
      </w:r>
      <w:r w:rsidRPr="00FD37DC">
        <w:rPr>
          <w:rFonts w:asciiTheme="majorHAnsi" w:hAnsiTheme="majorHAnsi" w:cstheme="majorHAnsi"/>
          <w:sz w:val="24"/>
          <w:szCs w:val="24"/>
        </w:rPr>
        <w:t>).</w:t>
      </w:r>
    </w:p>
    <w:p w14:paraId="1BC272BE" w14:textId="4793C236" w:rsidR="00EE3346" w:rsidRPr="00516038" w:rsidRDefault="00FD37DC" w:rsidP="00FD37DC">
      <w:pPr>
        <w:pStyle w:val="Ttulo3"/>
        <w:numPr>
          <w:ilvl w:val="2"/>
          <w:numId w:val="1"/>
        </w:numPr>
        <w:ind w:left="709" w:hanging="709"/>
        <w:rPr>
          <w:rFonts w:asciiTheme="majorHAnsi" w:hAnsiTheme="majorHAnsi" w:cstheme="majorHAnsi"/>
        </w:rPr>
      </w:pPr>
      <w:bookmarkStart w:id="67" w:name="_Toc102134994"/>
      <w:r w:rsidRPr="00516038">
        <w:rPr>
          <w:rFonts w:asciiTheme="majorHAnsi" w:hAnsiTheme="majorHAnsi" w:cstheme="majorHAnsi"/>
        </w:rPr>
        <w:t>SALA DE AULA INVERTIDA (SAI) OU FLIPPED CLASSROOM (FP)</w:t>
      </w:r>
      <w:bookmarkEnd w:id="67"/>
    </w:p>
    <w:p w14:paraId="0DB8AAF5" w14:textId="67025541" w:rsidR="00EE3346" w:rsidRPr="00FD37DC" w:rsidRDefault="00EE3346" w:rsidP="00FD37DC">
      <w:pPr>
        <w:tabs>
          <w:tab w:val="clear" w:pos="1615"/>
        </w:tabs>
        <w:spacing w:line="360" w:lineRule="auto"/>
        <w:ind w:firstLine="709"/>
        <w:jc w:val="both"/>
        <w:rPr>
          <w:rFonts w:asciiTheme="majorHAnsi" w:hAnsiTheme="majorHAnsi" w:cstheme="majorHAnsi"/>
          <w:sz w:val="24"/>
          <w:szCs w:val="24"/>
        </w:rPr>
      </w:pPr>
      <w:r w:rsidRPr="00FD37DC">
        <w:rPr>
          <w:rFonts w:asciiTheme="majorHAnsi" w:hAnsiTheme="majorHAnsi" w:cstheme="majorHAnsi"/>
          <w:sz w:val="24"/>
          <w:szCs w:val="24"/>
        </w:rPr>
        <w:t>Um dos métodos mais utilizados, a Sala de Aula Invertida, foi o nome dado à inversão do processo onde o professor ministra a teoria em sala de aula e entrega uma lista de problemas e exercícios para serem realizados em casa, muito comum em matemática e física, por exemplo. A lógica da metodologia se baseia no fato de que a parte teórica, mais conceitual, pode ser realizada pelo próprio aluno em casa, e as suas dúvidas, mas, principalmente, as aplicações e problemas relacionados, podem ser discutidos em sala com maiores possibilidades de aprofundamento, já que mediados pela presença e orientação do professor.</w:t>
      </w:r>
    </w:p>
    <w:p w14:paraId="00833ADF" w14:textId="5F8D9CCA" w:rsidR="00EE3346" w:rsidRPr="00FD37DC" w:rsidRDefault="00EE3346" w:rsidP="00FD37DC">
      <w:pPr>
        <w:tabs>
          <w:tab w:val="clear" w:pos="1615"/>
        </w:tabs>
        <w:spacing w:line="360" w:lineRule="auto"/>
        <w:ind w:firstLine="709"/>
        <w:jc w:val="both"/>
        <w:rPr>
          <w:rFonts w:asciiTheme="majorHAnsi" w:hAnsiTheme="majorHAnsi" w:cstheme="majorHAnsi"/>
          <w:sz w:val="24"/>
          <w:szCs w:val="24"/>
        </w:rPr>
      </w:pPr>
      <w:r w:rsidRPr="00FD37DC">
        <w:rPr>
          <w:rFonts w:asciiTheme="majorHAnsi" w:hAnsiTheme="majorHAnsi" w:cstheme="majorHAnsi"/>
          <w:sz w:val="24"/>
          <w:szCs w:val="24"/>
        </w:rPr>
        <w:t>Dado seu intenso uso, inclusive como uma das formas de ensino híbrido, a sala de aula invertida tem sido considerada por alguns autores como um modelo de aprendizagem que utiliza outras metodologias ativas, já que os estudos realizados em casa podem se realizar a partir de diferentes estratégias e, também, as discussões em sala podem lançar mão de outras tantas MAA (CORTELAZZO e LOURENÇO, 2019; SANTIAGO, 2019).</w:t>
      </w:r>
    </w:p>
    <w:p w14:paraId="45762386" w14:textId="56C4ED17" w:rsidR="00EE3346" w:rsidRPr="00FD37DC" w:rsidRDefault="00EE3346" w:rsidP="00FD37DC">
      <w:pPr>
        <w:tabs>
          <w:tab w:val="clear" w:pos="1615"/>
        </w:tabs>
        <w:spacing w:line="360" w:lineRule="auto"/>
        <w:ind w:firstLine="709"/>
        <w:jc w:val="both"/>
        <w:rPr>
          <w:rFonts w:asciiTheme="majorHAnsi" w:hAnsiTheme="majorHAnsi" w:cstheme="majorHAnsi"/>
          <w:sz w:val="24"/>
          <w:szCs w:val="24"/>
        </w:rPr>
      </w:pPr>
      <w:r w:rsidRPr="00FD37DC">
        <w:rPr>
          <w:rFonts w:asciiTheme="majorHAnsi" w:hAnsiTheme="majorHAnsi" w:cstheme="majorHAnsi"/>
          <w:sz w:val="24"/>
          <w:szCs w:val="24"/>
        </w:rPr>
        <w:t xml:space="preserve">Normalmente, o modelo ou MAA requer que haja um engajamento dos estudantes quanto à temática a ser desenvolvida, preferencialmente a partir de jogos, experimentos práticos, atividades artísticas, entrevistas, filmes etc., que os leve a um envolvimento e interesse. Uma vez engajados, os conteúdos para pesquisa do assunto lhes são disponibilizados, a partir de textos, vídeos, </w:t>
      </w:r>
      <w:r w:rsidRPr="00FD37DC">
        <w:rPr>
          <w:rFonts w:asciiTheme="majorHAnsi" w:hAnsiTheme="majorHAnsi" w:cstheme="majorHAnsi"/>
          <w:i/>
          <w:iCs/>
          <w:sz w:val="24"/>
          <w:szCs w:val="24"/>
        </w:rPr>
        <w:t>websites</w:t>
      </w:r>
      <w:r w:rsidRPr="00FD37DC">
        <w:rPr>
          <w:rFonts w:asciiTheme="majorHAnsi" w:hAnsiTheme="majorHAnsi" w:cstheme="majorHAnsi"/>
          <w:sz w:val="24"/>
          <w:szCs w:val="24"/>
        </w:rPr>
        <w:t xml:space="preserve"> e outros. Isso permitirá a realização de uma série de tarefas de interação para a troca de experiências e de conhecimentos, a partir de </w:t>
      </w:r>
      <w:r w:rsidRPr="00FD37DC">
        <w:rPr>
          <w:rFonts w:asciiTheme="majorHAnsi" w:hAnsiTheme="majorHAnsi" w:cstheme="majorHAnsi"/>
          <w:i/>
          <w:iCs/>
          <w:sz w:val="24"/>
          <w:szCs w:val="24"/>
        </w:rPr>
        <w:t>blogs</w:t>
      </w:r>
      <w:r w:rsidRPr="00FD37DC">
        <w:rPr>
          <w:rFonts w:asciiTheme="majorHAnsi" w:hAnsiTheme="majorHAnsi" w:cstheme="majorHAnsi"/>
          <w:sz w:val="24"/>
          <w:szCs w:val="24"/>
        </w:rPr>
        <w:t>, vídeos, exercícios e debates que serão realizados antes da última etapa, onde o professor lançará novos desafios e problemas para resolução, finalizando com diferentes avaliações sobre o conteúdo abordado. Esse ciclo de aprendizagem pode sofrer modificações com o professor, por exemplo, iniciando sua participação já ao longo das tarefas interativas (CORTELAZZO et al., 2018).</w:t>
      </w:r>
    </w:p>
    <w:p w14:paraId="603DB374" w14:textId="4424C08A" w:rsidR="00EE3346" w:rsidRPr="00516038" w:rsidRDefault="00FD37DC" w:rsidP="00FD37DC">
      <w:pPr>
        <w:pStyle w:val="Ttulo3"/>
        <w:numPr>
          <w:ilvl w:val="2"/>
          <w:numId w:val="1"/>
        </w:numPr>
        <w:ind w:left="709" w:hanging="709"/>
        <w:rPr>
          <w:rFonts w:asciiTheme="majorHAnsi" w:hAnsiTheme="majorHAnsi" w:cstheme="majorHAnsi"/>
        </w:rPr>
      </w:pPr>
      <w:bookmarkStart w:id="68" w:name="_Toc102134995"/>
      <w:r w:rsidRPr="00516038">
        <w:rPr>
          <w:rFonts w:asciiTheme="majorHAnsi" w:hAnsiTheme="majorHAnsi" w:cstheme="majorHAnsi"/>
        </w:rPr>
        <w:t>APRENDIZAGEM BASEADA EM EQUIPES (ABE) OU TEAM BASED LEARNING (TBL)</w:t>
      </w:r>
      <w:bookmarkEnd w:id="68"/>
    </w:p>
    <w:p w14:paraId="3A1A6466" w14:textId="5BC860EC" w:rsidR="00EE3346" w:rsidRPr="00FD37DC" w:rsidRDefault="00EE3346" w:rsidP="00FF66FE">
      <w:pPr>
        <w:tabs>
          <w:tab w:val="clear" w:pos="1615"/>
        </w:tabs>
        <w:spacing w:line="360" w:lineRule="auto"/>
        <w:ind w:firstLine="709"/>
        <w:jc w:val="both"/>
        <w:rPr>
          <w:rFonts w:asciiTheme="majorHAnsi" w:hAnsiTheme="majorHAnsi" w:cstheme="majorHAnsi"/>
          <w:sz w:val="24"/>
          <w:szCs w:val="24"/>
        </w:rPr>
      </w:pPr>
      <w:r w:rsidRPr="00FD37DC">
        <w:rPr>
          <w:rFonts w:asciiTheme="majorHAnsi" w:hAnsiTheme="majorHAnsi" w:cstheme="majorHAnsi"/>
          <w:sz w:val="24"/>
          <w:szCs w:val="24"/>
        </w:rPr>
        <w:t>O uso da metodologia leva em conta que a discussão de um determinado assunto por um grupo de estudantes pode levar a um maior aprendizado, já que, ao longo da discussão, as dúvidas podem ser colocadas sem que haja o constrangimento de uma exposição frente ao professor ou à classe como um todo. A condução mais informal da atividade em grupo elimina barreiras que o formalismo da aula expositiva pode inibir. Além disso, a aprendizagem baseada em times também mexe com o lúdico da competição e o espírito de cooperação entre os estudantes, o que traz as vantagens do envolvimento e a motivação para o processo.</w:t>
      </w:r>
    </w:p>
    <w:p w14:paraId="218A6F2E" w14:textId="313B2835" w:rsidR="00EE3346" w:rsidRPr="00FD37DC" w:rsidRDefault="00EE3346" w:rsidP="00FF66FE">
      <w:pPr>
        <w:tabs>
          <w:tab w:val="clear" w:pos="1615"/>
        </w:tabs>
        <w:spacing w:line="360" w:lineRule="auto"/>
        <w:ind w:firstLine="709"/>
        <w:jc w:val="both"/>
        <w:rPr>
          <w:rFonts w:asciiTheme="majorHAnsi" w:hAnsiTheme="majorHAnsi" w:cstheme="majorHAnsi"/>
          <w:sz w:val="24"/>
          <w:szCs w:val="24"/>
        </w:rPr>
      </w:pPr>
      <w:r w:rsidRPr="00FD37DC">
        <w:rPr>
          <w:rFonts w:asciiTheme="majorHAnsi" w:hAnsiTheme="majorHAnsi" w:cstheme="majorHAnsi"/>
          <w:sz w:val="24"/>
          <w:szCs w:val="24"/>
        </w:rPr>
        <w:t>A metodologia pode ser melhor compreendida e implementada a partir da leitura do trabalho de Krug et al. (2016) e pode misturar debates, games e outras formas de interação para aumentar o engajamento dos alunos.</w:t>
      </w:r>
    </w:p>
    <w:p w14:paraId="56D7EE2F" w14:textId="3C69A916" w:rsidR="00EE3346" w:rsidRPr="00516038" w:rsidRDefault="00FF66FE" w:rsidP="00FF66FE">
      <w:pPr>
        <w:pStyle w:val="Ttulo3"/>
        <w:numPr>
          <w:ilvl w:val="2"/>
          <w:numId w:val="1"/>
        </w:numPr>
        <w:ind w:left="709" w:hanging="709"/>
        <w:rPr>
          <w:rFonts w:asciiTheme="majorHAnsi" w:hAnsiTheme="majorHAnsi" w:cstheme="majorHAnsi"/>
        </w:rPr>
      </w:pPr>
      <w:bookmarkStart w:id="69" w:name="_Toc102134996"/>
      <w:r w:rsidRPr="00516038">
        <w:rPr>
          <w:rFonts w:asciiTheme="majorHAnsi" w:hAnsiTheme="majorHAnsi" w:cstheme="majorHAnsi"/>
        </w:rPr>
        <w:t>INSTRUÇÃO POR PARES (IP) OU PEER INSTRUCTION (PI)</w:t>
      </w:r>
      <w:bookmarkEnd w:id="69"/>
    </w:p>
    <w:p w14:paraId="34D95CF0" w14:textId="4582575D"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Na instrução por pares, pode-se pensar em uma particularização da metodologia anterior, trazendo o time para o limite mínimo de participantes. A vantagem da metodologia com relação à anterior é a maior intimidade e menor exposição provocada quando se discute o assunto em pares. Além disso, para que haja discussão, há necessidade do total envolvimento dos dois partícipes, o que, num time, pode gerar desequilíbrio ou menor participação de alunos mais tímidos ou menos motivados (PEREIRA e AFONSO, 2020).</w:t>
      </w:r>
    </w:p>
    <w:p w14:paraId="11CF3131" w14:textId="345E6A05"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O método tem sido utilizado desde o final dos anos 1990 e foi desenvolvido pelo professor de Física, Eric Mazur, da Universidade de Harvard (MAZUR e SOMERS, 1997). Conforme já foi salientado, o método consiste na discussão do assunto em pares, a fim de poderem elaborar hipóteses e aplicações aos conhecimentos adquiridos. No trabalho de 1997, os autores descrevem nove etapas para o desenvolvimento do método, iniciando com uma exposição oral (1) do professor que termina com uma questão (2) que é respondida em até dois minutos pelos alunos (3) e mostrada ao professor (4). Conforme a frequência (f) de acertos, o professor pode (5) retornar ao início (f &lt; 35%), passar para o item 6 (35% &lt; f &lt; 70%), ou para o item 9 (f &gt; 70%). Assim, os alunos passam a discutir suas respostas em duplas (6) e, posteriormente, há nova proposição de questões e votação (7) como descrito nos itens 2–4 e o resultado é apresentado aos alunos pelo professor (8) que faz um comentário geral sobre o que era esperado na resposta fechando o assunto (9). Em qualquer caso, após o item 7, é válida a rediscussão do assunto, caso o item não tenha um acerto superior a 35% e o fechamento do tema pode ser precedido por outras questões caso o professor julgue necessário.</w:t>
      </w:r>
    </w:p>
    <w:p w14:paraId="549EDBA6" w14:textId="27FD43C5" w:rsidR="00EE3346" w:rsidRPr="00516038" w:rsidRDefault="00FF66FE" w:rsidP="00FF66FE">
      <w:pPr>
        <w:pStyle w:val="Ttulo3"/>
        <w:numPr>
          <w:ilvl w:val="2"/>
          <w:numId w:val="1"/>
        </w:numPr>
        <w:ind w:left="709" w:hanging="709"/>
        <w:rPr>
          <w:rFonts w:asciiTheme="majorHAnsi" w:hAnsiTheme="majorHAnsi" w:cstheme="majorHAnsi"/>
        </w:rPr>
      </w:pPr>
      <w:bookmarkStart w:id="70" w:name="_Toc102134997"/>
      <w:r w:rsidRPr="00FF66FE">
        <w:rPr>
          <w:rFonts w:asciiTheme="majorHAnsi" w:hAnsiTheme="majorHAnsi" w:cstheme="majorHAnsi"/>
        </w:rPr>
        <w:t>GAMES</w:t>
      </w:r>
      <w:r w:rsidRPr="00516038">
        <w:rPr>
          <w:rFonts w:asciiTheme="majorHAnsi" w:hAnsiTheme="majorHAnsi" w:cstheme="majorHAnsi"/>
        </w:rPr>
        <w:t xml:space="preserve"> E GAMIFICAÇÃO</w:t>
      </w:r>
      <w:bookmarkEnd w:id="70"/>
    </w:p>
    <w:p w14:paraId="6D5D47A5" w14:textId="2516167D"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 xml:space="preserve">Inicialmente, cabe esclarecer a concepção que será utilizada para os dois termos: </w:t>
      </w:r>
      <w:r w:rsidRPr="00FF66FE">
        <w:rPr>
          <w:rFonts w:asciiTheme="majorHAnsi" w:hAnsiTheme="majorHAnsi" w:cstheme="majorHAnsi"/>
          <w:i/>
          <w:iCs/>
          <w:sz w:val="24"/>
          <w:szCs w:val="24"/>
        </w:rPr>
        <w:t>game</w:t>
      </w:r>
      <w:r w:rsidRPr="00FF66FE">
        <w:rPr>
          <w:rFonts w:asciiTheme="majorHAnsi" w:hAnsiTheme="majorHAnsi" w:cstheme="majorHAnsi"/>
          <w:sz w:val="24"/>
          <w:szCs w:val="24"/>
        </w:rPr>
        <w:t xml:space="preserve"> ou jogo é algo que pode ser utilizado para a aprendizagem, de forma lúdica e, em muitos casos, sem que haja uma relação obrigatoriamente direta e rápida entre os dois contextos: o exemplo mais comum e usado é o do “Banco Imobiliário” ou o “War®” que tratam, respectivamente, de conhecimentos com transações imobiliárias, de forma divertida e lúdica, e o outro, um jogo de estratégias e raciocínio lógico que ajuda o entendimento da geografia física do planeta. Há vários jogos digitais que remetem à lógica, à matemática, ao equilíbrio, às artes etc. A gamificação é o uso de aspectos que os jogos trazem como diversão, recompensas, competição, para abordar um assunto específico. Por exemplo, o duolingo® se encaixa nessa definição para a aprendizagem de diferentes idiomas; as antigas gincanas, usadas para a diversão de diferentes grupos em escolas, tinha (e continua tendo) um caráter educativo e cultural. Em outros termos, utilizar a brincadeira para fazer com que o aluno se aproprie de algum conhecimento ou habilidade vai pertencer a essa MAA muito em voga, já que se acredita que o jovem de hoje não tem capacidade de concentração ou que se fecha em si mesmo em suas atividades lúdicas e, em contrapartida, se percebe que um adolescente pode ficar horas em seu celular, tentando aumentar sua performance em algum videogame... ou participar de grupos que frequentam locais para a prática desses jogos digitais.</w:t>
      </w:r>
    </w:p>
    <w:p w14:paraId="2E9264B3" w14:textId="5B6976A0"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Segundo Prensky (apud MATAR, 2010), as mudanças cognitivas observadas na geração de games são:</w:t>
      </w:r>
    </w:p>
    <w:p w14:paraId="412E0643" w14:textId="77777777" w:rsidR="00EE3346" w:rsidRPr="00FF66FE" w:rsidRDefault="00EE3346" w:rsidP="00FF66FE">
      <w:pPr>
        <w:pStyle w:val="PargrafodaLista"/>
        <w:numPr>
          <w:ilvl w:val="0"/>
          <w:numId w:val="10"/>
        </w:numPr>
        <w:tabs>
          <w:tab w:val="clear" w:pos="1615"/>
        </w:tabs>
        <w:spacing w:line="360" w:lineRule="auto"/>
        <w:ind w:left="2552" w:right="849" w:hanging="284"/>
        <w:jc w:val="both"/>
        <w:rPr>
          <w:rFonts w:asciiTheme="majorHAnsi" w:hAnsiTheme="majorHAnsi" w:cstheme="majorHAnsi"/>
          <w:sz w:val="24"/>
          <w:szCs w:val="24"/>
        </w:rPr>
      </w:pPr>
      <w:r w:rsidRPr="00FF66FE">
        <w:rPr>
          <w:rFonts w:asciiTheme="majorHAnsi" w:hAnsiTheme="majorHAnsi" w:cstheme="majorHAnsi"/>
          <w:sz w:val="24"/>
          <w:szCs w:val="24"/>
        </w:rPr>
        <w:t>Raciocínio e processamento de informações mais rápidos;</w:t>
      </w:r>
    </w:p>
    <w:p w14:paraId="1DB30D03" w14:textId="77777777" w:rsidR="00EE3346" w:rsidRPr="00FF66FE" w:rsidRDefault="00EE3346" w:rsidP="00FF66FE">
      <w:pPr>
        <w:pStyle w:val="PargrafodaLista"/>
        <w:numPr>
          <w:ilvl w:val="0"/>
          <w:numId w:val="10"/>
        </w:numPr>
        <w:tabs>
          <w:tab w:val="clear" w:pos="1615"/>
        </w:tabs>
        <w:spacing w:line="360" w:lineRule="auto"/>
        <w:ind w:left="2552" w:right="849" w:hanging="284"/>
        <w:jc w:val="both"/>
        <w:rPr>
          <w:rFonts w:asciiTheme="majorHAnsi" w:hAnsiTheme="majorHAnsi" w:cstheme="majorHAnsi"/>
          <w:sz w:val="24"/>
          <w:szCs w:val="24"/>
        </w:rPr>
      </w:pPr>
      <w:r w:rsidRPr="00FF66FE">
        <w:rPr>
          <w:rFonts w:asciiTheme="majorHAnsi" w:hAnsiTheme="majorHAnsi" w:cstheme="majorHAnsi"/>
          <w:sz w:val="24"/>
          <w:szCs w:val="24"/>
        </w:rPr>
        <w:t>Processamento paralelo, e não linear;</w:t>
      </w:r>
    </w:p>
    <w:p w14:paraId="7906E94E" w14:textId="77777777" w:rsidR="00EE3346" w:rsidRPr="00FF66FE" w:rsidRDefault="00EE3346" w:rsidP="00FF66FE">
      <w:pPr>
        <w:pStyle w:val="PargrafodaLista"/>
        <w:numPr>
          <w:ilvl w:val="0"/>
          <w:numId w:val="10"/>
        </w:numPr>
        <w:tabs>
          <w:tab w:val="clear" w:pos="1615"/>
        </w:tabs>
        <w:spacing w:line="360" w:lineRule="auto"/>
        <w:ind w:left="2552" w:right="849" w:hanging="284"/>
        <w:jc w:val="both"/>
        <w:rPr>
          <w:rFonts w:asciiTheme="majorHAnsi" w:hAnsiTheme="majorHAnsi" w:cstheme="majorHAnsi"/>
          <w:sz w:val="24"/>
          <w:szCs w:val="24"/>
        </w:rPr>
      </w:pPr>
      <w:r w:rsidRPr="00FF66FE">
        <w:rPr>
          <w:rFonts w:asciiTheme="majorHAnsi" w:hAnsiTheme="majorHAnsi" w:cstheme="majorHAnsi"/>
          <w:sz w:val="24"/>
          <w:szCs w:val="24"/>
        </w:rPr>
        <w:t>Acesso randômico, e não passo a passo;</w:t>
      </w:r>
    </w:p>
    <w:p w14:paraId="19313E8A" w14:textId="77777777" w:rsidR="00EE3346" w:rsidRPr="00FF66FE" w:rsidRDefault="00EE3346" w:rsidP="00FF66FE">
      <w:pPr>
        <w:pStyle w:val="PargrafodaLista"/>
        <w:numPr>
          <w:ilvl w:val="0"/>
          <w:numId w:val="10"/>
        </w:numPr>
        <w:tabs>
          <w:tab w:val="clear" w:pos="1615"/>
        </w:tabs>
        <w:spacing w:line="360" w:lineRule="auto"/>
        <w:ind w:left="2552" w:right="849" w:hanging="284"/>
        <w:jc w:val="both"/>
        <w:rPr>
          <w:rFonts w:asciiTheme="majorHAnsi" w:hAnsiTheme="majorHAnsi" w:cstheme="majorHAnsi"/>
          <w:sz w:val="24"/>
          <w:szCs w:val="24"/>
        </w:rPr>
      </w:pPr>
      <w:r w:rsidRPr="00FF66FE">
        <w:rPr>
          <w:rFonts w:asciiTheme="majorHAnsi" w:hAnsiTheme="majorHAnsi" w:cstheme="majorHAnsi"/>
          <w:sz w:val="24"/>
          <w:szCs w:val="24"/>
        </w:rPr>
        <w:t>Virtual antes do textual – o texto tem a função de segundo plano, como complemento ao virtual;</w:t>
      </w:r>
    </w:p>
    <w:p w14:paraId="1138E883" w14:textId="77777777" w:rsidR="00EE3346" w:rsidRPr="00FF66FE" w:rsidRDefault="00EE3346" w:rsidP="00FF66FE">
      <w:pPr>
        <w:pStyle w:val="PargrafodaLista"/>
        <w:numPr>
          <w:ilvl w:val="0"/>
          <w:numId w:val="10"/>
        </w:numPr>
        <w:tabs>
          <w:tab w:val="clear" w:pos="1615"/>
        </w:tabs>
        <w:spacing w:line="360" w:lineRule="auto"/>
        <w:ind w:left="2552" w:right="849" w:hanging="284"/>
        <w:jc w:val="both"/>
        <w:rPr>
          <w:rFonts w:asciiTheme="majorHAnsi" w:hAnsiTheme="majorHAnsi" w:cstheme="majorHAnsi"/>
          <w:sz w:val="24"/>
          <w:szCs w:val="24"/>
        </w:rPr>
      </w:pPr>
      <w:r w:rsidRPr="00FF66FE">
        <w:rPr>
          <w:rFonts w:asciiTheme="majorHAnsi" w:hAnsiTheme="majorHAnsi" w:cstheme="majorHAnsi"/>
          <w:sz w:val="24"/>
          <w:szCs w:val="24"/>
        </w:rPr>
        <w:t>Conectividade, não solidão, e inclusive atração por atividades síncronas;</w:t>
      </w:r>
    </w:p>
    <w:p w14:paraId="4F3C9BCB" w14:textId="77777777" w:rsidR="00EE3346" w:rsidRPr="00FF66FE" w:rsidRDefault="00EE3346" w:rsidP="00FF66FE">
      <w:pPr>
        <w:pStyle w:val="PargrafodaLista"/>
        <w:numPr>
          <w:ilvl w:val="0"/>
          <w:numId w:val="10"/>
        </w:numPr>
        <w:tabs>
          <w:tab w:val="clear" w:pos="1615"/>
        </w:tabs>
        <w:spacing w:line="360" w:lineRule="auto"/>
        <w:ind w:left="2552" w:right="849" w:hanging="284"/>
        <w:jc w:val="both"/>
        <w:rPr>
          <w:rFonts w:asciiTheme="majorHAnsi" w:hAnsiTheme="majorHAnsi" w:cstheme="majorHAnsi"/>
          <w:sz w:val="24"/>
          <w:szCs w:val="24"/>
        </w:rPr>
      </w:pPr>
      <w:r w:rsidRPr="00FF66FE">
        <w:rPr>
          <w:rFonts w:asciiTheme="majorHAnsi" w:hAnsiTheme="majorHAnsi" w:cstheme="majorHAnsi"/>
          <w:sz w:val="24"/>
          <w:szCs w:val="24"/>
        </w:rPr>
        <w:t xml:space="preserve">Ativo x passivo – a nova geração não se propõe a ler os manuais dos </w:t>
      </w:r>
      <w:r w:rsidRPr="00FF66FE">
        <w:rPr>
          <w:rFonts w:asciiTheme="majorHAnsi" w:hAnsiTheme="majorHAnsi" w:cstheme="majorHAnsi"/>
          <w:i/>
          <w:iCs/>
          <w:sz w:val="24"/>
          <w:szCs w:val="24"/>
        </w:rPr>
        <w:t>games</w:t>
      </w:r>
      <w:r w:rsidRPr="00FF66FE">
        <w:rPr>
          <w:rFonts w:asciiTheme="majorHAnsi" w:hAnsiTheme="majorHAnsi" w:cstheme="majorHAnsi"/>
          <w:sz w:val="24"/>
          <w:szCs w:val="24"/>
        </w:rPr>
        <w:t xml:space="preserve">, mas espera que o aprendizado de como jogar ocorra enquanto a pessoa já está jogando, durante o próprio jogo; espera-se que o </w:t>
      </w:r>
      <w:r w:rsidRPr="00FF66FE">
        <w:rPr>
          <w:rFonts w:asciiTheme="majorHAnsi" w:hAnsiTheme="majorHAnsi" w:cstheme="majorHAnsi"/>
          <w:i/>
          <w:iCs/>
          <w:sz w:val="24"/>
          <w:szCs w:val="24"/>
        </w:rPr>
        <w:t>software</w:t>
      </w:r>
      <w:r w:rsidRPr="00FF66FE">
        <w:rPr>
          <w:rFonts w:asciiTheme="majorHAnsi" w:hAnsiTheme="majorHAnsi" w:cstheme="majorHAnsi"/>
          <w:sz w:val="24"/>
          <w:szCs w:val="24"/>
        </w:rPr>
        <w:t xml:space="preserve"> ensine como utilizá-lo;</w:t>
      </w:r>
    </w:p>
    <w:p w14:paraId="6331890B" w14:textId="77777777" w:rsidR="00EE3346" w:rsidRPr="00FF66FE" w:rsidRDefault="00EE3346" w:rsidP="00FF66FE">
      <w:pPr>
        <w:pStyle w:val="PargrafodaLista"/>
        <w:numPr>
          <w:ilvl w:val="0"/>
          <w:numId w:val="10"/>
        </w:numPr>
        <w:tabs>
          <w:tab w:val="clear" w:pos="1615"/>
        </w:tabs>
        <w:spacing w:line="360" w:lineRule="auto"/>
        <w:ind w:left="2552" w:right="849" w:hanging="284"/>
        <w:jc w:val="both"/>
        <w:rPr>
          <w:rFonts w:asciiTheme="majorHAnsi" w:hAnsiTheme="majorHAnsi" w:cstheme="majorHAnsi"/>
          <w:sz w:val="24"/>
          <w:szCs w:val="24"/>
        </w:rPr>
      </w:pPr>
      <w:r w:rsidRPr="00FF66FE">
        <w:rPr>
          <w:rFonts w:asciiTheme="majorHAnsi" w:hAnsiTheme="majorHAnsi" w:cstheme="majorHAnsi"/>
          <w:sz w:val="24"/>
          <w:szCs w:val="24"/>
        </w:rPr>
        <w:t>Jogo x trabalho – para eles, não há diferenças tão marcantes entre essas duas atividades como para os imigrantes digitais;</w:t>
      </w:r>
    </w:p>
    <w:p w14:paraId="7E636414" w14:textId="77777777" w:rsidR="00EE3346" w:rsidRPr="00FF66FE" w:rsidRDefault="00EE3346" w:rsidP="00FF66FE">
      <w:pPr>
        <w:pStyle w:val="PargrafodaLista"/>
        <w:numPr>
          <w:ilvl w:val="0"/>
          <w:numId w:val="10"/>
        </w:numPr>
        <w:tabs>
          <w:tab w:val="clear" w:pos="1615"/>
        </w:tabs>
        <w:spacing w:line="360" w:lineRule="auto"/>
        <w:ind w:left="2552" w:right="849" w:hanging="284"/>
        <w:jc w:val="both"/>
        <w:rPr>
          <w:rFonts w:asciiTheme="majorHAnsi" w:hAnsiTheme="majorHAnsi" w:cstheme="majorHAnsi"/>
          <w:sz w:val="24"/>
          <w:szCs w:val="24"/>
        </w:rPr>
      </w:pPr>
      <w:r w:rsidRPr="00FF66FE">
        <w:rPr>
          <w:rFonts w:asciiTheme="majorHAnsi" w:hAnsiTheme="majorHAnsi" w:cstheme="majorHAnsi"/>
          <w:sz w:val="24"/>
          <w:szCs w:val="24"/>
        </w:rPr>
        <w:t>Impaciência com relação a esforços que não trazem recompensa compatível;</w:t>
      </w:r>
    </w:p>
    <w:p w14:paraId="4603417C" w14:textId="77777777" w:rsidR="00EE3346" w:rsidRPr="00FF66FE" w:rsidRDefault="00EE3346" w:rsidP="00FF66FE">
      <w:pPr>
        <w:pStyle w:val="PargrafodaLista"/>
        <w:numPr>
          <w:ilvl w:val="0"/>
          <w:numId w:val="10"/>
        </w:numPr>
        <w:tabs>
          <w:tab w:val="clear" w:pos="1615"/>
        </w:tabs>
        <w:spacing w:line="360" w:lineRule="auto"/>
        <w:ind w:left="2552" w:right="849" w:hanging="284"/>
        <w:jc w:val="both"/>
        <w:rPr>
          <w:rFonts w:asciiTheme="majorHAnsi" w:hAnsiTheme="majorHAnsi" w:cstheme="majorHAnsi"/>
          <w:sz w:val="24"/>
          <w:szCs w:val="24"/>
        </w:rPr>
      </w:pPr>
      <w:r w:rsidRPr="00FF66FE">
        <w:rPr>
          <w:rFonts w:asciiTheme="majorHAnsi" w:hAnsiTheme="majorHAnsi" w:cstheme="majorHAnsi"/>
          <w:sz w:val="24"/>
          <w:szCs w:val="24"/>
        </w:rPr>
        <w:t>Convivência intensa com a fantasia;</w:t>
      </w:r>
    </w:p>
    <w:p w14:paraId="05F41362" w14:textId="77777777" w:rsidR="00EE3346" w:rsidRPr="00FF66FE" w:rsidRDefault="00EE3346" w:rsidP="00FF66FE">
      <w:pPr>
        <w:pStyle w:val="PargrafodaLista"/>
        <w:numPr>
          <w:ilvl w:val="0"/>
          <w:numId w:val="10"/>
        </w:numPr>
        <w:tabs>
          <w:tab w:val="clear" w:pos="1615"/>
        </w:tabs>
        <w:spacing w:line="360" w:lineRule="auto"/>
        <w:ind w:left="2552" w:right="849" w:hanging="284"/>
        <w:jc w:val="both"/>
        <w:rPr>
          <w:rFonts w:asciiTheme="majorHAnsi" w:hAnsiTheme="majorHAnsi" w:cstheme="majorHAnsi"/>
          <w:sz w:val="24"/>
          <w:szCs w:val="24"/>
        </w:rPr>
      </w:pPr>
      <w:r w:rsidRPr="00FF66FE">
        <w:rPr>
          <w:rFonts w:asciiTheme="majorHAnsi" w:hAnsiTheme="majorHAnsi" w:cstheme="majorHAnsi"/>
          <w:sz w:val="24"/>
          <w:szCs w:val="24"/>
        </w:rPr>
        <w:t>Sensação positiva em relação à tecnologia; e</w:t>
      </w:r>
    </w:p>
    <w:p w14:paraId="7F984833" w14:textId="77777777" w:rsidR="00EE3346" w:rsidRPr="00FF66FE" w:rsidRDefault="00EE3346" w:rsidP="00FF66FE">
      <w:pPr>
        <w:pStyle w:val="PargrafodaLista"/>
        <w:numPr>
          <w:ilvl w:val="0"/>
          <w:numId w:val="10"/>
        </w:numPr>
        <w:tabs>
          <w:tab w:val="clear" w:pos="1615"/>
        </w:tabs>
        <w:spacing w:line="360" w:lineRule="auto"/>
        <w:ind w:left="2552" w:right="849" w:hanging="284"/>
        <w:jc w:val="both"/>
        <w:rPr>
          <w:rFonts w:asciiTheme="majorHAnsi" w:hAnsiTheme="majorHAnsi" w:cstheme="majorHAnsi"/>
          <w:sz w:val="24"/>
          <w:szCs w:val="24"/>
        </w:rPr>
      </w:pPr>
      <w:r w:rsidRPr="00FF66FE">
        <w:rPr>
          <w:rFonts w:asciiTheme="majorHAnsi" w:hAnsiTheme="majorHAnsi" w:cstheme="majorHAnsi"/>
          <w:sz w:val="24"/>
          <w:szCs w:val="24"/>
        </w:rPr>
        <w:t>“Atitude” como uma postura em relação ao mundo e às coisas em geral, uma palavra que faz parte de seu vocabulário. (MATAR, 2010, p.11)</w:t>
      </w:r>
    </w:p>
    <w:p w14:paraId="1016D62D" w14:textId="77F8C152" w:rsidR="00EE3346" w:rsidRPr="00FF66FE" w:rsidRDefault="00EE3346" w:rsidP="00A50FDE">
      <w:pPr>
        <w:tabs>
          <w:tab w:val="clear" w:pos="1615"/>
        </w:tabs>
        <w:spacing w:line="360" w:lineRule="auto"/>
        <w:ind w:right="-1" w:firstLine="709"/>
        <w:jc w:val="both"/>
        <w:rPr>
          <w:rFonts w:asciiTheme="majorHAnsi" w:hAnsiTheme="majorHAnsi" w:cstheme="majorHAnsi"/>
          <w:sz w:val="24"/>
          <w:szCs w:val="24"/>
        </w:rPr>
      </w:pPr>
      <w:r w:rsidRPr="00FF66FE">
        <w:rPr>
          <w:rFonts w:asciiTheme="majorHAnsi" w:hAnsiTheme="majorHAnsi" w:cstheme="majorHAnsi"/>
          <w:sz w:val="24"/>
          <w:szCs w:val="24"/>
        </w:rPr>
        <w:t>Ainda segundo o autor, o maior desafio ao “educar nativos digitais é encontrar meios para incluir reflexão e senso crítico em seu aprendizado” (MATAR, 2010).</w:t>
      </w:r>
    </w:p>
    <w:p w14:paraId="57232362" w14:textId="1D1D67E5" w:rsidR="00EE3346" w:rsidRPr="00FF66FE" w:rsidRDefault="00EE3346" w:rsidP="00A50FDE">
      <w:pPr>
        <w:tabs>
          <w:tab w:val="clear" w:pos="1615"/>
        </w:tabs>
        <w:spacing w:line="360" w:lineRule="auto"/>
        <w:ind w:right="-1" w:firstLine="709"/>
        <w:jc w:val="both"/>
        <w:rPr>
          <w:rFonts w:asciiTheme="majorHAnsi" w:hAnsiTheme="majorHAnsi" w:cstheme="majorHAnsi"/>
          <w:sz w:val="24"/>
          <w:szCs w:val="24"/>
        </w:rPr>
      </w:pPr>
      <w:r w:rsidRPr="00FF66FE">
        <w:rPr>
          <w:rFonts w:asciiTheme="majorHAnsi" w:hAnsiTheme="majorHAnsi" w:cstheme="majorHAnsi"/>
          <w:sz w:val="24"/>
          <w:szCs w:val="24"/>
        </w:rPr>
        <w:t>Há, vários tipos de jogos e as simulações podem ser encaixadas nessa modalidade de aprendizagem, pois, em muitos casos utilizam o game para retratar a realidade a ser encontrada num ambiente profissional, por exemplo.</w:t>
      </w:r>
    </w:p>
    <w:p w14:paraId="7A1158CA" w14:textId="4D755422" w:rsidR="00EE3346" w:rsidRPr="00FF66FE" w:rsidRDefault="00FF66FE" w:rsidP="00FF66FE">
      <w:pPr>
        <w:pStyle w:val="Ttulo3"/>
        <w:numPr>
          <w:ilvl w:val="2"/>
          <w:numId w:val="1"/>
        </w:numPr>
        <w:ind w:left="709" w:hanging="709"/>
        <w:rPr>
          <w:rFonts w:asciiTheme="majorHAnsi" w:hAnsiTheme="majorHAnsi" w:cstheme="majorHAnsi"/>
        </w:rPr>
      </w:pPr>
      <w:bookmarkStart w:id="71" w:name="_Toc102134998"/>
      <w:r w:rsidRPr="00FF66FE">
        <w:rPr>
          <w:rFonts w:asciiTheme="majorHAnsi" w:hAnsiTheme="majorHAnsi" w:cstheme="majorHAnsi"/>
        </w:rPr>
        <w:t>FILMES, STORYTELLING, DRAMATIZAÇÃO E ROLE PLAYING GAMES</w:t>
      </w:r>
      <w:bookmarkEnd w:id="71"/>
    </w:p>
    <w:p w14:paraId="068836B2" w14:textId="0C276E79"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O uso de filmes ou de trechos de filmes tem sido feito em diferentes áreas há muitos anos. Na área da saúde, boa parte dos egressos de cursos de diferentes instituições do país tiveram contato com o “Óleo de Lorenzo”, filme de George Miller de 1992, usado para ilustrar o avanço da ciência e do tratamento de patologias com transmissão genética; “O fabuloso destino de Amélie Poulain”, no clássico de Jean-Pierre Jeunet de 2001, em história da arte ou literatura, para ilustrar o impressionismo e o ambiente boêmio francês; o não menos clássico “O nome da rosa”, de 1986 de Jean-Jacques Annaud e baseado no livro de Umberto Eco, para a área de história ou arte com foco na idade média; “Escritores da Liberdade” (2007), de Richard LaGravenese na Pedagogia, para mostrar trabalhos de envolvimento com alunos considerados rebeldes, apenas para citar quatro dos inúmeros filmes que vêm ilustrando e contribuindo para a aprendizagem de diferentes temas de todas as áreas.</w:t>
      </w:r>
    </w:p>
    <w:p w14:paraId="32A70123" w14:textId="5FC5C6DC"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Mais recentemente, o termo “</w:t>
      </w:r>
      <w:r w:rsidRPr="00FF66FE">
        <w:rPr>
          <w:rFonts w:asciiTheme="majorHAnsi" w:hAnsiTheme="majorHAnsi" w:cstheme="majorHAnsi"/>
          <w:i/>
          <w:iCs/>
          <w:sz w:val="24"/>
          <w:szCs w:val="24"/>
        </w:rPr>
        <w:t>storytelling</w:t>
      </w:r>
      <w:r w:rsidRPr="00FF66FE">
        <w:rPr>
          <w:rFonts w:asciiTheme="majorHAnsi" w:hAnsiTheme="majorHAnsi" w:cstheme="majorHAnsi"/>
          <w:sz w:val="24"/>
          <w:szCs w:val="24"/>
        </w:rPr>
        <w:t>” tem retomado sua importância na história humana já que remonta à pré-história. Para usar a “contação de histórias” como uma metodologia de aprendizagem, o professor tem que estar ciente de que deve não apenas motivar e despertar a curiosidade do ouvinte, mas também emocioná-lo, de modo a ativar as vias neurológicas que mais interferem na formação das nossas memórias. Além disso, sugere-se que as histórias sejam breves (5 a 10 min) e seguidas de debates (10 a 20 min) de modo a permitir que a discussão deixe claros os objetivos e os ensinamentos pretendidos. Há exemplos clássicos de histórias contadas de forma rápida como, por exemplo, o livro de Malba Tahan (Julio Cesar de Mello e Sousa) “O homem que calculava”, com várias histórias que são usadas para o ensino da Matemática. Isso permite que o aluno use a imaginação a partir do que vai sendo contado e retrata situações que podem servir para que a aprendizagem ocorra, agora de forma ainda mais livre, dada a possibilidade maior que a própria imaginação do estudante pode elaborar, ao invés de ser fornecida a imagem como nos filmes (MARQUES, MIRANDA e MAMEDE, 2017).</w:t>
      </w:r>
    </w:p>
    <w:p w14:paraId="4BE37794" w14:textId="416ADAE3"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Alguns assuntos mais abstratos, quando tratados de forma a permitir sua dramatização, com os alunos “incorporando” um papel que auxilie na retratação do fenômeno, vem permitindo a melhoria da aprendizagem. Nos anos 1990 foram feitas várias iniciativas na disciplina de bioquímica, na USP e na Unicamp, a partir de participações do grupo do Prof. Bayardo Torres (TORRES, B.B., 1998; PAULA, COSTA e MACEDO, 1995) e comparações entre essa metodologia e a tradicional, mostrando a melhoria do desempenho na avaliação (MELLO e CORTELAZZO, 2006) e, mais recentemente, com sua associação com a sala de aula invertida, seguida de debates em sala e a dramatização do processo de fotossíntese para alunos de licenciatura em ciências biológicas (CORTELAZZO e LOURENÇO, 2019) com avaliação crítica do processo.</w:t>
      </w:r>
    </w:p>
    <w:p w14:paraId="706F36C3" w14:textId="3B5BFEB2"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Finalmente, mais moderno, pois mais “tecnológico”, o RPG (</w:t>
      </w:r>
      <w:r w:rsidRPr="00FF66FE">
        <w:rPr>
          <w:rFonts w:asciiTheme="majorHAnsi" w:hAnsiTheme="majorHAnsi" w:cstheme="majorHAnsi"/>
          <w:i/>
          <w:iCs/>
          <w:sz w:val="24"/>
          <w:szCs w:val="24"/>
        </w:rPr>
        <w:t>role playing game</w:t>
      </w:r>
      <w:r w:rsidRPr="00FF66FE">
        <w:rPr>
          <w:rFonts w:asciiTheme="majorHAnsi" w:hAnsiTheme="majorHAnsi" w:cstheme="majorHAnsi"/>
          <w:sz w:val="24"/>
          <w:szCs w:val="24"/>
        </w:rPr>
        <w:t>) como uma mistura de teatralização e jogo, com papéis determinados e regras que levam o próprio aluno a desenvolver ações que o auxiliam na aprendizagem de temas complexos e normalmente abstratos e, com a mesma lógica da dramatização, dar concretude a esses temas que depois serão sempre lembrados e associados às situações trabalhadas em sala de aula (RANDI e CARVALHO, 2013). No RPG é muito importante ter bem preparado o tema e as regras ou limites de ação que cada personagem pode ter, de modo a ser conseguida a sequência lógica e desenvolvimento do assunto proposto.</w:t>
      </w:r>
    </w:p>
    <w:p w14:paraId="7594DA69" w14:textId="6A3BD478" w:rsidR="00EE3346" w:rsidRPr="00516038" w:rsidRDefault="00FF66FE" w:rsidP="00FF66FE">
      <w:pPr>
        <w:pStyle w:val="Ttulo3"/>
        <w:numPr>
          <w:ilvl w:val="2"/>
          <w:numId w:val="1"/>
        </w:numPr>
        <w:ind w:left="709" w:hanging="709"/>
        <w:jc w:val="left"/>
        <w:rPr>
          <w:rFonts w:asciiTheme="majorHAnsi" w:hAnsiTheme="majorHAnsi" w:cstheme="majorHAnsi"/>
        </w:rPr>
      </w:pPr>
      <w:bookmarkStart w:id="72" w:name="_Toc102134999"/>
      <w:r w:rsidRPr="00516038">
        <w:rPr>
          <w:rFonts w:asciiTheme="majorHAnsi" w:hAnsiTheme="majorHAnsi" w:cstheme="majorHAnsi"/>
        </w:rPr>
        <w:t xml:space="preserve">MAPAS CONCEITUAIS, DEBATES, </w:t>
      </w:r>
      <w:r w:rsidRPr="00FF66FE">
        <w:rPr>
          <w:rFonts w:asciiTheme="majorHAnsi" w:hAnsiTheme="majorHAnsi" w:cstheme="majorHAnsi"/>
        </w:rPr>
        <w:t>BRAIMSTORMING</w:t>
      </w:r>
      <w:r w:rsidRPr="00516038">
        <w:rPr>
          <w:rFonts w:asciiTheme="majorHAnsi" w:hAnsiTheme="majorHAnsi" w:cstheme="majorHAnsi"/>
        </w:rPr>
        <w:t>, SARAUS, RODAS DE CONVERSA</w:t>
      </w:r>
      <w:bookmarkEnd w:id="72"/>
    </w:p>
    <w:p w14:paraId="6A8BECD9" w14:textId="5346D066"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 xml:space="preserve">Os mapas conceituais podem ser de grande valia para a organização das ideias sobre um determinado assunto/tema e seu uso contribui para a elucidação de esquemas de ordem complexa. Pode ser precedido de debates, </w:t>
      </w:r>
      <w:r w:rsidRPr="00FF66FE">
        <w:rPr>
          <w:rFonts w:asciiTheme="majorHAnsi" w:hAnsiTheme="majorHAnsi" w:cstheme="majorHAnsi"/>
          <w:i/>
          <w:iCs/>
          <w:sz w:val="24"/>
          <w:szCs w:val="24"/>
        </w:rPr>
        <w:t>braimstorming</w:t>
      </w:r>
      <w:r w:rsidRPr="00FF66FE">
        <w:rPr>
          <w:rFonts w:asciiTheme="majorHAnsi" w:hAnsiTheme="majorHAnsi" w:cstheme="majorHAnsi"/>
          <w:sz w:val="24"/>
          <w:szCs w:val="24"/>
        </w:rPr>
        <w:t xml:space="preserve"> ou outras reuniões coletivas que direcionem um pouco sua construção ou serem o fechamento de um determinado assunto para sua melhor compreensão.</w:t>
      </w:r>
    </w:p>
    <w:p w14:paraId="150A20AB" w14:textId="5EB5BBCF"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 xml:space="preserve">Há um tipo especial de mapa conceitual, denominado mapa conceitual de projetos, que utiliza a aprendizagem significativa de Ausubel </w:t>
      </w:r>
      <w:r w:rsidRPr="00FF66FE">
        <w:rPr>
          <w:rStyle w:val="A6"/>
          <w:rFonts w:asciiTheme="majorHAnsi" w:hAnsiTheme="majorHAnsi" w:cstheme="majorHAnsi"/>
          <w:sz w:val="24"/>
          <w:szCs w:val="24"/>
        </w:rPr>
        <w:t>(AUSUBEL, NOVAK e HANESIAN, 1978)</w:t>
      </w:r>
      <w:r w:rsidRPr="00FF66FE">
        <w:rPr>
          <w:rFonts w:asciiTheme="majorHAnsi" w:hAnsiTheme="majorHAnsi" w:cstheme="majorHAnsi"/>
          <w:sz w:val="24"/>
          <w:szCs w:val="24"/>
        </w:rPr>
        <w:t xml:space="preserve"> e objetos de aprendizagem, com diferentes graus de abstração conforme preconiza a taxonomia de Bloom (FERRAZ e BELHOT, 2010) relacionando conhecimento prévio do estudante com tais objetivos educacionais a partir da Metodologia de Projeto Baseado em Trajetórias de Aprendizagem ou PBTA. Aparentemente complexa, a metodologia é, entretanto, desenvolvida em etapas que subdivide um Objeto de Aprendizagem em diversos subprojetos e, com isso, explora diferentes componentes do conhecimento prévio que, dessa forma, torna-se mais significativo em cada subprojeto. Com essa metodologia, pode-se obter ganhos significativos de aproveitamento dos estudantes comparável àquele resultante da ação de tutores para o ensinamento individual, o que numa escola fica impraticável em função de seu alto custo operacional (CANTO FILHO, LIMA e TAROUCO, 2017). </w:t>
      </w:r>
    </w:p>
    <w:p w14:paraId="4093FFCF" w14:textId="7CF2DD78"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 xml:space="preserve">O uso de debates, dividindo a turma em dois grandes grupos que podem ter o papel de defesa e de condenação de assuntos polêmicos, ou mesmo defesa de situações antagônicas que podem fazer com que o tema se aprofunde e que seja compreendido por todos. Nos debates, pode surgir uma competição positiva entre os grupos que deve ser trabalhada de modo a não se tornar algo exagerado a ponto de gerar conflitos. Uma forma interessante de realizar um debate seguido de um mapa conceitual é o uso do </w:t>
      </w:r>
      <w:r w:rsidRPr="00FF66FE">
        <w:rPr>
          <w:rFonts w:asciiTheme="majorHAnsi" w:hAnsiTheme="majorHAnsi" w:cstheme="majorHAnsi"/>
          <w:i/>
          <w:sz w:val="24"/>
          <w:szCs w:val="24"/>
        </w:rPr>
        <w:t>braimstorming</w:t>
      </w:r>
      <w:r w:rsidRPr="00FF66FE">
        <w:rPr>
          <w:rFonts w:asciiTheme="majorHAnsi" w:hAnsiTheme="majorHAnsi" w:cstheme="majorHAnsi"/>
          <w:sz w:val="24"/>
          <w:szCs w:val="24"/>
        </w:rPr>
        <w:t xml:space="preserve"> onde, a partir de palavras que retratem um determinado evento ou tema, são discutidas interrelações entre as mesmas, o que pode gerar uma discussão ao mesmo tempo diversificada e profunda (JEONG e CHUI, 2020). </w:t>
      </w:r>
    </w:p>
    <w:p w14:paraId="08C9912D" w14:textId="0C274CAB"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 xml:space="preserve">Saraus com a apresentação artística baseada numa determinada temática podem ser muito interessantes não apenas nas áreas de literatura, de artes e de história, mas ser um importante momento de discussão e consolidação de conhecimentos, inclusive ligados a temas da área de exatas. Música, poesia, contação de histórias, charadas e outras manifestações podem enriquecer o sarau (PEREIRA </w:t>
      </w:r>
      <w:r w:rsidRPr="00FF66FE">
        <w:rPr>
          <w:rFonts w:asciiTheme="majorHAnsi" w:hAnsiTheme="majorHAnsi" w:cstheme="majorHAnsi"/>
          <w:i/>
          <w:sz w:val="24"/>
          <w:szCs w:val="24"/>
        </w:rPr>
        <w:t>et al.</w:t>
      </w:r>
      <w:r w:rsidRPr="00FF66FE">
        <w:rPr>
          <w:rFonts w:asciiTheme="majorHAnsi" w:hAnsiTheme="majorHAnsi" w:cstheme="majorHAnsi"/>
          <w:sz w:val="24"/>
          <w:szCs w:val="24"/>
        </w:rPr>
        <w:t>, 2017).</w:t>
      </w:r>
    </w:p>
    <w:p w14:paraId="37D3312F" w14:textId="5AB4EA33"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As rodas de conversa também podem ser um instrumento importante e nos remeter a tempos em que elas ocorriam integrando as pessoas nas discussões de problemas locais e, em algumas regiões ainda são populares, como os costumes das rodas de chimarrão ou de tereré (TEIXEIRA, AGLIO e BOGONI, 2020)</w:t>
      </w:r>
    </w:p>
    <w:p w14:paraId="3C1296A4" w14:textId="0CC4D6FD" w:rsidR="00EE3346" w:rsidRPr="00516038" w:rsidRDefault="00FF66FE" w:rsidP="00FF66FE">
      <w:pPr>
        <w:pStyle w:val="Ttulo3"/>
        <w:numPr>
          <w:ilvl w:val="2"/>
          <w:numId w:val="1"/>
        </w:numPr>
        <w:ind w:left="709" w:hanging="709"/>
        <w:jc w:val="left"/>
        <w:rPr>
          <w:rFonts w:asciiTheme="majorHAnsi" w:hAnsiTheme="majorHAnsi" w:cstheme="majorHAnsi"/>
        </w:rPr>
      </w:pPr>
      <w:bookmarkStart w:id="73" w:name="_Toc102135000"/>
      <w:r w:rsidRPr="00516038">
        <w:rPr>
          <w:rFonts w:asciiTheme="majorHAnsi" w:hAnsiTheme="majorHAnsi" w:cstheme="majorHAnsi"/>
        </w:rPr>
        <w:t>OUTRAS POSSIBILIDADES</w:t>
      </w:r>
      <w:bookmarkEnd w:id="73"/>
    </w:p>
    <w:p w14:paraId="3029DEC1" w14:textId="69899B90"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São inúmeras as possibilidades para a realização de atividades que envolvam mais o estudante em sala de aula ou fora dela. Muitos autores citam a aula expositiva dialogada (COIMBRA, 2017) como uma delas. Efetivamente, as vantagens da aula expositiva na economia de tempo de pesquisa em assuntos menos disciplinares, especialmente, que requerem uma gama de conhecimentos que muitas vezes o estudante ainda não domina, levando-o a pesquisas que tomam um tempo muito maior do que aquele que o professor consegue priorizar, hierarquizar e abordar. Assim, essa vantagem da exposição, aliada a questionamentos e incitação à participação de todos pode trazer benefícios sensíveis à aprendizagem.</w:t>
      </w:r>
    </w:p>
    <w:p w14:paraId="51536F66" w14:textId="5F21D8E0"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Na verdade, a única aula expositiva que não permite o diálogo simultâneo é a videoaula. Ainda assim, ela também tem seus méritos, no sentido de que é estruturada com essa intencionalidade e pode ser vista e revista quantas vezes o estudante quiser, o que não ocorre na aula expositiva presencial. Esse recurso, muito utilizado inicialmente pelas grandes universidades (gravando simplesmente as aulas expositivas e disponibilizando-as para estudo), levou a um primeiro diferencial importante de qualidade e, portanto, também não pode ser desprezada.</w:t>
      </w:r>
    </w:p>
    <w:p w14:paraId="08E57B5E" w14:textId="3089E2FE"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 xml:space="preserve">Estudos de caso, seminários, visitas técnicas, práticas de campo, elaboração de </w:t>
      </w:r>
      <w:r w:rsidRPr="00FF66FE">
        <w:rPr>
          <w:rFonts w:asciiTheme="majorHAnsi" w:hAnsiTheme="majorHAnsi" w:cstheme="majorHAnsi"/>
          <w:i/>
          <w:iCs/>
          <w:sz w:val="24"/>
          <w:szCs w:val="24"/>
        </w:rPr>
        <w:t>posters</w:t>
      </w:r>
      <w:r w:rsidRPr="00FF66FE">
        <w:rPr>
          <w:rFonts w:asciiTheme="majorHAnsi" w:hAnsiTheme="majorHAnsi" w:cstheme="majorHAnsi"/>
          <w:sz w:val="24"/>
          <w:szCs w:val="24"/>
        </w:rPr>
        <w:t xml:space="preserve"> são alguns exemplos da diversidade que pode ocorrer no uso de metodologias ativas para a aprendizagem significativa dos estudantes.</w:t>
      </w:r>
    </w:p>
    <w:p w14:paraId="66BA7A6C" w14:textId="78D1F983" w:rsidR="00EE3346" w:rsidRPr="00516038" w:rsidRDefault="00FF66FE" w:rsidP="00FF66FE">
      <w:pPr>
        <w:pStyle w:val="Ttulo2"/>
        <w:numPr>
          <w:ilvl w:val="1"/>
          <w:numId w:val="1"/>
        </w:numPr>
        <w:tabs>
          <w:tab w:val="clear" w:pos="1615"/>
        </w:tabs>
        <w:spacing w:before="0" w:after="0" w:line="360" w:lineRule="auto"/>
        <w:ind w:left="993"/>
        <w:rPr>
          <w:rFonts w:asciiTheme="majorHAnsi" w:hAnsiTheme="majorHAnsi" w:cstheme="majorHAnsi"/>
        </w:rPr>
      </w:pPr>
      <w:bookmarkStart w:id="74" w:name="_Toc102135001"/>
      <w:bookmarkStart w:id="75" w:name="_Toc89878056"/>
      <w:r w:rsidRPr="00516038">
        <w:rPr>
          <w:rFonts w:asciiTheme="majorHAnsi" w:hAnsiTheme="majorHAnsi" w:cstheme="majorHAnsi"/>
        </w:rPr>
        <w:t>PLANEJAMENTO E AVALIAÇÃO</w:t>
      </w:r>
      <w:bookmarkEnd w:id="74"/>
    </w:p>
    <w:p w14:paraId="1AF760B2" w14:textId="34D5E70B" w:rsidR="00EE3346" w:rsidRPr="00FF66FE" w:rsidRDefault="00EE3346" w:rsidP="00FF66FE">
      <w:pPr>
        <w:tabs>
          <w:tab w:val="clear" w:pos="1615"/>
        </w:tabs>
        <w:spacing w:line="360" w:lineRule="auto"/>
        <w:ind w:firstLine="709"/>
        <w:rPr>
          <w:rFonts w:asciiTheme="majorHAnsi" w:hAnsiTheme="majorHAnsi" w:cstheme="majorHAnsi"/>
          <w:sz w:val="24"/>
          <w:szCs w:val="24"/>
        </w:rPr>
      </w:pPr>
      <w:r w:rsidRPr="00FF66FE">
        <w:rPr>
          <w:rFonts w:asciiTheme="majorHAnsi" w:hAnsiTheme="majorHAnsi" w:cstheme="majorHAnsi"/>
          <w:sz w:val="24"/>
          <w:szCs w:val="24"/>
        </w:rPr>
        <w:t>Obviamente não se pode esquecer que a escolha da(s) metodologia(s) deve fazer parte do planejamento da atividade por parte do(s) professor(es) envolvido(s) e deve levar em conta:</w:t>
      </w:r>
    </w:p>
    <w:p w14:paraId="1F454FE1" w14:textId="7C786F07" w:rsidR="00EE3346" w:rsidRPr="00516038" w:rsidRDefault="00FF66FE" w:rsidP="00FF66FE">
      <w:pPr>
        <w:pStyle w:val="Ttulo3"/>
        <w:numPr>
          <w:ilvl w:val="2"/>
          <w:numId w:val="1"/>
        </w:numPr>
        <w:ind w:left="709" w:hanging="709"/>
        <w:rPr>
          <w:rFonts w:asciiTheme="majorHAnsi" w:hAnsiTheme="majorHAnsi" w:cstheme="majorHAnsi"/>
        </w:rPr>
      </w:pPr>
      <w:bookmarkStart w:id="76" w:name="_Toc102135002"/>
      <w:r w:rsidRPr="00516038">
        <w:rPr>
          <w:rFonts w:asciiTheme="majorHAnsi" w:hAnsiTheme="majorHAnsi" w:cstheme="majorHAnsi"/>
        </w:rPr>
        <w:t>AS CONDIÇÕES QUE A INSTRUÇÃO OCORRERÁ</w:t>
      </w:r>
      <w:bookmarkEnd w:id="76"/>
    </w:p>
    <w:p w14:paraId="41161B97" w14:textId="0D0D5064" w:rsidR="00EE3346" w:rsidRPr="00FF66FE" w:rsidRDefault="00EE3346" w:rsidP="00FF66FE">
      <w:pPr>
        <w:tabs>
          <w:tab w:val="clear" w:pos="1615"/>
        </w:tabs>
        <w:spacing w:line="360" w:lineRule="auto"/>
        <w:ind w:firstLine="709"/>
        <w:rPr>
          <w:rFonts w:asciiTheme="majorHAnsi" w:hAnsiTheme="majorHAnsi" w:cstheme="majorHAnsi"/>
          <w:sz w:val="24"/>
          <w:szCs w:val="24"/>
        </w:rPr>
      </w:pPr>
      <w:r w:rsidRPr="00FF66FE">
        <w:rPr>
          <w:rFonts w:asciiTheme="majorHAnsi" w:hAnsiTheme="majorHAnsi" w:cstheme="majorHAnsi"/>
          <w:sz w:val="24"/>
          <w:szCs w:val="24"/>
        </w:rPr>
        <w:t>Um mapeamento das condições de infraestrutura física, tecnológica e pessoal (CORTELAZZO et al., 2018), levando em conta:</w:t>
      </w:r>
    </w:p>
    <w:p w14:paraId="082D5A2F" w14:textId="77777777" w:rsidR="00EE3346" w:rsidRPr="00FF66FE" w:rsidRDefault="00EE3346" w:rsidP="00FF66FE">
      <w:pPr>
        <w:pStyle w:val="PargrafodaLista"/>
        <w:numPr>
          <w:ilvl w:val="0"/>
          <w:numId w:val="11"/>
        </w:numPr>
        <w:tabs>
          <w:tab w:val="clear" w:pos="1615"/>
        </w:tabs>
        <w:spacing w:line="360" w:lineRule="auto"/>
        <w:ind w:left="714" w:hanging="357"/>
        <w:contextualSpacing w:val="0"/>
        <w:rPr>
          <w:rFonts w:asciiTheme="majorHAnsi" w:hAnsiTheme="majorHAnsi" w:cstheme="majorHAnsi"/>
          <w:sz w:val="24"/>
          <w:szCs w:val="24"/>
        </w:rPr>
      </w:pPr>
      <w:r w:rsidRPr="00FF66FE">
        <w:rPr>
          <w:rFonts w:asciiTheme="majorHAnsi" w:hAnsiTheme="majorHAnsi" w:cstheme="majorHAnsi"/>
          <w:sz w:val="24"/>
          <w:szCs w:val="24"/>
        </w:rPr>
        <w:t>As restrições físicas e tecnológicas da instituição, dos alunos e dos professores/mediadores/tutores;</w:t>
      </w:r>
    </w:p>
    <w:p w14:paraId="4EE966E2" w14:textId="77777777" w:rsidR="00EE3346" w:rsidRPr="00FF66FE" w:rsidRDefault="00EE3346" w:rsidP="00FF66FE">
      <w:pPr>
        <w:pStyle w:val="PargrafodaLista"/>
        <w:numPr>
          <w:ilvl w:val="0"/>
          <w:numId w:val="11"/>
        </w:numPr>
        <w:tabs>
          <w:tab w:val="clear" w:pos="1615"/>
        </w:tabs>
        <w:spacing w:line="360" w:lineRule="auto"/>
        <w:ind w:left="714" w:hanging="357"/>
        <w:contextualSpacing w:val="0"/>
        <w:rPr>
          <w:rFonts w:asciiTheme="majorHAnsi" w:hAnsiTheme="majorHAnsi" w:cstheme="majorHAnsi"/>
          <w:sz w:val="24"/>
          <w:szCs w:val="24"/>
        </w:rPr>
      </w:pPr>
      <w:r w:rsidRPr="00FF66FE">
        <w:rPr>
          <w:rFonts w:asciiTheme="majorHAnsi" w:hAnsiTheme="majorHAnsi" w:cstheme="majorHAnsi"/>
          <w:sz w:val="24"/>
          <w:szCs w:val="24"/>
        </w:rPr>
        <w:t>O(s) tipo(s) de ambiente(s) de aprendizagem disponível(is);</w:t>
      </w:r>
    </w:p>
    <w:p w14:paraId="6B1CD393" w14:textId="77777777" w:rsidR="00EE3346" w:rsidRPr="00FF66FE" w:rsidRDefault="00EE3346" w:rsidP="00FF66FE">
      <w:pPr>
        <w:pStyle w:val="PargrafodaLista"/>
        <w:numPr>
          <w:ilvl w:val="0"/>
          <w:numId w:val="11"/>
        </w:numPr>
        <w:tabs>
          <w:tab w:val="clear" w:pos="1615"/>
        </w:tabs>
        <w:spacing w:line="360" w:lineRule="auto"/>
        <w:ind w:left="714" w:hanging="357"/>
        <w:contextualSpacing w:val="0"/>
        <w:rPr>
          <w:rFonts w:asciiTheme="majorHAnsi" w:hAnsiTheme="majorHAnsi" w:cstheme="majorHAnsi"/>
          <w:sz w:val="24"/>
          <w:szCs w:val="24"/>
        </w:rPr>
      </w:pPr>
      <w:r w:rsidRPr="00FF66FE">
        <w:rPr>
          <w:rFonts w:asciiTheme="majorHAnsi" w:hAnsiTheme="majorHAnsi" w:cstheme="majorHAnsi"/>
          <w:sz w:val="24"/>
          <w:szCs w:val="24"/>
        </w:rPr>
        <w:t>O perfil dos estudantes recebidos, sua origem, limitações e potenciais; e</w:t>
      </w:r>
    </w:p>
    <w:p w14:paraId="4BEDA8AF" w14:textId="77777777" w:rsidR="00EE3346" w:rsidRPr="00FF66FE" w:rsidRDefault="00EE3346" w:rsidP="00FF66FE">
      <w:pPr>
        <w:pStyle w:val="PargrafodaLista"/>
        <w:numPr>
          <w:ilvl w:val="0"/>
          <w:numId w:val="11"/>
        </w:numPr>
        <w:tabs>
          <w:tab w:val="clear" w:pos="1615"/>
        </w:tabs>
        <w:spacing w:line="360" w:lineRule="auto"/>
        <w:ind w:left="714" w:hanging="357"/>
        <w:contextualSpacing w:val="0"/>
        <w:rPr>
          <w:rFonts w:asciiTheme="majorHAnsi" w:hAnsiTheme="majorHAnsi" w:cstheme="majorHAnsi"/>
          <w:sz w:val="24"/>
          <w:szCs w:val="24"/>
        </w:rPr>
      </w:pPr>
      <w:r w:rsidRPr="00FF66FE">
        <w:rPr>
          <w:rFonts w:asciiTheme="majorHAnsi" w:hAnsiTheme="majorHAnsi" w:cstheme="majorHAnsi"/>
          <w:sz w:val="24"/>
          <w:szCs w:val="24"/>
        </w:rPr>
        <w:t>O que deve ser aprendido.</w:t>
      </w:r>
    </w:p>
    <w:p w14:paraId="776D2C32" w14:textId="705A77DB" w:rsidR="00EE3346" w:rsidRPr="00516038" w:rsidRDefault="00FF66FE" w:rsidP="00FF66FE">
      <w:pPr>
        <w:pStyle w:val="Ttulo3"/>
        <w:numPr>
          <w:ilvl w:val="2"/>
          <w:numId w:val="1"/>
        </w:numPr>
        <w:ind w:left="709" w:hanging="709"/>
        <w:rPr>
          <w:rFonts w:asciiTheme="majorHAnsi" w:hAnsiTheme="majorHAnsi" w:cstheme="majorHAnsi"/>
        </w:rPr>
      </w:pPr>
      <w:bookmarkStart w:id="77" w:name="_Toc102135003"/>
      <w:r w:rsidRPr="00516038">
        <w:rPr>
          <w:rFonts w:asciiTheme="majorHAnsi" w:hAnsiTheme="majorHAnsi" w:cstheme="majorHAnsi"/>
        </w:rPr>
        <w:t>RESULTADOS E ESTRATÉGIAS</w:t>
      </w:r>
      <w:bookmarkEnd w:id="77"/>
    </w:p>
    <w:p w14:paraId="32456636" w14:textId="52D1B311" w:rsidR="00EE3346" w:rsidRPr="00FF66FE" w:rsidRDefault="00EE3346" w:rsidP="00FF66FE">
      <w:pPr>
        <w:tabs>
          <w:tab w:val="clear" w:pos="1615"/>
        </w:tabs>
        <w:spacing w:line="360" w:lineRule="auto"/>
        <w:ind w:firstLine="709"/>
        <w:rPr>
          <w:rFonts w:asciiTheme="majorHAnsi" w:hAnsiTheme="majorHAnsi" w:cstheme="majorHAnsi"/>
          <w:sz w:val="24"/>
          <w:szCs w:val="24"/>
        </w:rPr>
      </w:pPr>
      <w:r w:rsidRPr="00FF66FE">
        <w:rPr>
          <w:rFonts w:asciiTheme="majorHAnsi" w:hAnsiTheme="majorHAnsi" w:cstheme="majorHAnsi"/>
          <w:sz w:val="24"/>
          <w:szCs w:val="24"/>
        </w:rPr>
        <w:t>Dependendo do curso, os resultados esperados podem ser diferentes, assim como as estratégias para a sua obtenção. Assim, deve-se ter em mente:</w:t>
      </w:r>
    </w:p>
    <w:p w14:paraId="2B6EFCC3" w14:textId="77777777" w:rsidR="00EE3346" w:rsidRPr="00FF66FE" w:rsidRDefault="00EE3346" w:rsidP="00FF66FE">
      <w:pPr>
        <w:pStyle w:val="PargrafodaLista"/>
        <w:numPr>
          <w:ilvl w:val="0"/>
          <w:numId w:val="12"/>
        </w:numPr>
        <w:tabs>
          <w:tab w:val="clear" w:pos="1615"/>
        </w:tabs>
        <w:spacing w:line="360" w:lineRule="auto"/>
        <w:ind w:left="714" w:hanging="357"/>
        <w:contextualSpacing w:val="0"/>
        <w:rPr>
          <w:rFonts w:asciiTheme="majorHAnsi" w:hAnsiTheme="majorHAnsi" w:cstheme="majorHAnsi"/>
          <w:sz w:val="24"/>
          <w:szCs w:val="24"/>
        </w:rPr>
      </w:pPr>
      <w:r w:rsidRPr="00FF66FE">
        <w:rPr>
          <w:rFonts w:asciiTheme="majorHAnsi" w:hAnsiTheme="majorHAnsi" w:cstheme="majorHAnsi"/>
          <w:sz w:val="24"/>
          <w:szCs w:val="24"/>
        </w:rPr>
        <w:t>Como engajar os alunos para que se sintam motivados para a aprendizagem daquele tema;</w:t>
      </w:r>
    </w:p>
    <w:p w14:paraId="5BE381D5" w14:textId="77777777" w:rsidR="00EE3346" w:rsidRPr="00FF66FE" w:rsidRDefault="00EE3346" w:rsidP="00FF66FE">
      <w:pPr>
        <w:pStyle w:val="PargrafodaLista"/>
        <w:numPr>
          <w:ilvl w:val="0"/>
          <w:numId w:val="12"/>
        </w:numPr>
        <w:tabs>
          <w:tab w:val="clear" w:pos="1615"/>
        </w:tabs>
        <w:spacing w:line="360" w:lineRule="auto"/>
        <w:ind w:left="714" w:hanging="357"/>
        <w:contextualSpacing w:val="0"/>
        <w:rPr>
          <w:rFonts w:asciiTheme="majorHAnsi" w:hAnsiTheme="majorHAnsi" w:cstheme="majorHAnsi"/>
          <w:sz w:val="24"/>
          <w:szCs w:val="24"/>
        </w:rPr>
      </w:pPr>
      <w:r w:rsidRPr="00FF66FE">
        <w:rPr>
          <w:rFonts w:asciiTheme="majorHAnsi" w:hAnsiTheme="majorHAnsi" w:cstheme="majorHAnsi"/>
          <w:sz w:val="24"/>
          <w:szCs w:val="24"/>
        </w:rPr>
        <w:t>Com que profundidade aquele tema/conteúdo deve ser tratado e que competências, conhecimentos e habilidades o aluno deve demonstrar ao final de sua abordagem?</w:t>
      </w:r>
    </w:p>
    <w:p w14:paraId="41F89CAC" w14:textId="77777777" w:rsidR="00EE3346" w:rsidRPr="00FF66FE" w:rsidRDefault="00EE3346" w:rsidP="00FF66FE">
      <w:pPr>
        <w:pStyle w:val="PargrafodaLista"/>
        <w:numPr>
          <w:ilvl w:val="0"/>
          <w:numId w:val="12"/>
        </w:numPr>
        <w:tabs>
          <w:tab w:val="clear" w:pos="1615"/>
        </w:tabs>
        <w:spacing w:line="360" w:lineRule="auto"/>
        <w:ind w:left="714" w:hanging="357"/>
        <w:contextualSpacing w:val="0"/>
        <w:rPr>
          <w:rFonts w:asciiTheme="majorHAnsi" w:hAnsiTheme="majorHAnsi" w:cstheme="majorHAnsi"/>
          <w:sz w:val="24"/>
          <w:szCs w:val="24"/>
        </w:rPr>
      </w:pPr>
      <w:r w:rsidRPr="00FF66FE">
        <w:rPr>
          <w:rFonts w:asciiTheme="majorHAnsi" w:hAnsiTheme="majorHAnsi" w:cstheme="majorHAnsi"/>
          <w:sz w:val="24"/>
          <w:szCs w:val="24"/>
        </w:rPr>
        <w:t>Quanto tempo pode ser dispensado para que a aprendizagem ocorra sem que comprometa os demais temas que devem ser abordados?</w:t>
      </w:r>
    </w:p>
    <w:p w14:paraId="799F5995" w14:textId="7BB85FCC" w:rsidR="00EE3346" w:rsidRPr="00516038" w:rsidRDefault="00FF66FE" w:rsidP="00FF66FE">
      <w:pPr>
        <w:pStyle w:val="Ttulo3"/>
        <w:numPr>
          <w:ilvl w:val="2"/>
          <w:numId w:val="1"/>
        </w:numPr>
        <w:ind w:left="709" w:hanging="709"/>
        <w:rPr>
          <w:rFonts w:asciiTheme="majorHAnsi" w:hAnsiTheme="majorHAnsi" w:cstheme="majorHAnsi"/>
        </w:rPr>
      </w:pPr>
      <w:bookmarkStart w:id="78" w:name="_Toc102135004"/>
      <w:r w:rsidRPr="00516038">
        <w:rPr>
          <w:rFonts w:asciiTheme="majorHAnsi" w:hAnsiTheme="majorHAnsi" w:cstheme="majorHAnsi"/>
        </w:rPr>
        <w:t>AVALIAÇÕES E ACOMPANHAMENTO DA APRENDIZAGEM</w:t>
      </w:r>
      <w:bookmarkEnd w:id="78"/>
    </w:p>
    <w:p w14:paraId="713CA6EE" w14:textId="51CF697E" w:rsidR="00EE3346" w:rsidRPr="00FF66FE" w:rsidRDefault="00EE3346" w:rsidP="00FF66FE">
      <w:pPr>
        <w:tabs>
          <w:tab w:val="clear" w:pos="1615"/>
        </w:tabs>
        <w:spacing w:line="360" w:lineRule="auto"/>
        <w:ind w:firstLine="709"/>
        <w:jc w:val="both"/>
        <w:rPr>
          <w:rFonts w:asciiTheme="majorHAnsi" w:hAnsiTheme="majorHAnsi" w:cstheme="majorHAnsi"/>
          <w:color w:val="000000"/>
          <w:sz w:val="24"/>
          <w:shd w:val="clear" w:color="auto" w:fill="FFFFFF"/>
        </w:rPr>
      </w:pPr>
      <w:r w:rsidRPr="00FF66FE">
        <w:rPr>
          <w:rFonts w:asciiTheme="majorHAnsi" w:hAnsiTheme="majorHAnsi" w:cstheme="majorHAnsi"/>
          <w:sz w:val="24"/>
          <w:szCs w:val="24"/>
        </w:rPr>
        <w:t xml:space="preserve">Numa formação desenvolvida com o uso de metodologias ativas, se espera atingir o objetivo de formar o aluno e de permitir que ele aprenda os conteúdos e adquira as competências previstas. Assim, voltando ao triângulo pedagógico de Houssaye, uma avaliação somativa, que seria suficiente para testar se houve ensino, agora deixa de ser a questão primordial, que exige uma avaliação processual, avaliação por pares e autoavaliação dos estudantes. Com isso, antes de mais nada, a avaliação passa a fazer parte integrante do processo e será a sinalizadora dos reforços ou de mudanças de procedimento necessários. Com certeza essas avaliações poderão, ainda, ser enriquecidas com alguma avaliação somativa, mas sempre dentro da perspectiva de desenvolver no aluno a capacidade de se autoavaliar e de perceber as suas lacunas de formação e conhecimento para que ele próprio possa saná-las (XAVIER, </w:t>
      </w:r>
      <w:r w:rsidRPr="00FF66FE">
        <w:rPr>
          <w:rFonts w:asciiTheme="majorHAnsi" w:hAnsiTheme="majorHAnsi" w:cstheme="majorHAnsi"/>
          <w:color w:val="000000"/>
          <w:sz w:val="24"/>
          <w:shd w:val="clear" w:color="auto" w:fill="FFFFFF"/>
        </w:rPr>
        <w:t>OLIVEIRA e RIBEIRO, 2021).</w:t>
      </w:r>
    </w:p>
    <w:p w14:paraId="3EDCF7C4" w14:textId="77777777" w:rsidR="00EE3346" w:rsidRPr="00516038" w:rsidRDefault="00EE3346" w:rsidP="00516038">
      <w:pPr>
        <w:tabs>
          <w:tab w:val="clear" w:pos="1615"/>
        </w:tabs>
        <w:jc w:val="both"/>
        <w:rPr>
          <w:rFonts w:asciiTheme="majorHAnsi" w:hAnsiTheme="majorHAnsi" w:cstheme="majorHAnsi"/>
          <w:color w:val="000000"/>
          <w:szCs w:val="20"/>
          <w:shd w:val="clear" w:color="auto" w:fill="FFFFFF"/>
        </w:rPr>
      </w:pPr>
    </w:p>
    <w:p w14:paraId="0275358A" w14:textId="77777777" w:rsidR="00EE3346" w:rsidRPr="00516038" w:rsidRDefault="00EE3346" w:rsidP="00FF66FE">
      <w:pPr>
        <w:pStyle w:val="Ttulo2"/>
        <w:numPr>
          <w:ilvl w:val="1"/>
          <w:numId w:val="1"/>
        </w:numPr>
        <w:tabs>
          <w:tab w:val="clear" w:pos="1615"/>
        </w:tabs>
        <w:spacing w:before="0" w:after="0" w:line="360" w:lineRule="auto"/>
        <w:ind w:left="993"/>
        <w:rPr>
          <w:rFonts w:asciiTheme="majorHAnsi" w:hAnsiTheme="majorHAnsi" w:cstheme="majorHAnsi"/>
        </w:rPr>
      </w:pPr>
      <w:bookmarkStart w:id="79" w:name="_Toc102135005"/>
      <w:r w:rsidRPr="00516038">
        <w:rPr>
          <w:rFonts w:asciiTheme="majorHAnsi" w:hAnsiTheme="majorHAnsi" w:cstheme="majorHAnsi"/>
        </w:rPr>
        <w:t>CITAÇÕES BIBLIOGRÁFICAS E DA LEGISLAÇÃO</w:t>
      </w:r>
      <w:bookmarkEnd w:id="75"/>
      <w:bookmarkEnd w:id="79"/>
    </w:p>
    <w:p w14:paraId="65938E60" w14:textId="77777777" w:rsidR="00EE3346" w:rsidRPr="00FF66FE" w:rsidRDefault="00EE3346" w:rsidP="00516038">
      <w:pPr>
        <w:tabs>
          <w:tab w:val="clear" w:pos="1615"/>
        </w:tabs>
        <w:ind w:right="-1"/>
        <w:rPr>
          <w:rFonts w:asciiTheme="majorHAnsi" w:hAnsiTheme="majorHAnsi" w:cstheme="majorHAnsi"/>
          <w:sz w:val="24"/>
          <w:szCs w:val="24"/>
        </w:rPr>
      </w:pPr>
      <w:r w:rsidRPr="00FF66FE">
        <w:rPr>
          <w:rFonts w:asciiTheme="majorHAnsi" w:hAnsiTheme="majorHAnsi" w:cstheme="majorHAnsi"/>
          <w:sz w:val="24"/>
          <w:szCs w:val="24"/>
        </w:rPr>
        <w:t xml:space="preserve">ABED – Associação Brasileira de Ensino a Distância, 2017. </w:t>
      </w:r>
      <w:r w:rsidRPr="00FF66FE">
        <w:rPr>
          <w:rFonts w:asciiTheme="majorHAnsi" w:hAnsiTheme="majorHAnsi" w:cstheme="majorHAnsi"/>
          <w:b/>
          <w:sz w:val="24"/>
          <w:szCs w:val="24"/>
        </w:rPr>
        <w:t>23.</w:t>
      </w:r>
      <w:r w:rsidRPr="00FF66FE">
        <w:rPr>
          <w:rFonts w:asciiTheme="majorHAnsi" w:hAnsiTheme="majorHAnsi" w:cstheme="majorHAnsi"/>
          <w:b/>
          <w:sz w:val="24"/>
          <w:szCs w:val="24"/>
          <w:vertAlign w:val="superscript"/>
        </w:rPr>
        <w:t>o</w:t>
      </w:r>
      <w:r w:rsidRPr="00FF66FE">
        <w:rPr>
          <w:rFonts w:asciiTheme="majorHAnsi" w:hAnsiTheme="majorHAnsi" w:cstheme="majorHAnsi"/>
          <w:b/>
          <w:sz w:val="24"/>
          <w:szCs w:val="24"/>
        </w:rPr>
        <w:t xml:space="preserve"> CIAED – Congresso Internacional ABED de Educação a Distância.</w:t>
      </w:r>
      <w:r w:rsidRPr="00FF66FE">
        <w:rPr>
          <w:rFonts w:asciiTheme="majorHAnsi" w:hAnsiTheme="majorHAnsi" w:cstheme="majorHAnsi"/>
          <w:sz w:val="24"/>
          <w:szCs w:val="24"/>
        </w:rPr>
        <w:t xml:space="preserve"> Disponível em: http://www.abed.org.br/ hotsite/23-ciaed/pt/apresentacao/. Acesso em: 20 jul. 2020.</w:t>
      </w:r>
    </w:p>
    <w:p w14:paraId="68C9EF43" w14:textId="77777777" w:rsidR="00EE3346" w:rsidRPr="00FF66FE" w:rsidRDefault="00EE3346" w:rsidP="00516038">
      <w:pPr>
        <w:tabs>
          <w:tab w:val="clear" w:pos="1615"/>
        </w:tabs>
        <w:ind w:right="-1"/>
        <w:rPr>
          <w:rFonts w:asciiTheme="majorHAnsi" w:hAnsiTheme="majorHAnsi" w:cstheme="majorHAnsi"/>
          <w:sz w:val="24"/>
          <w:szCs w:val="24"/>
        </w:rPr>
      </w:pPr>
      <w:r w:rsidRPr="00FF66FE">
        <w:rPr>
          <w:rFonts w:asciiTheme="majorHAnsi" w:hAnsiTheme="majorHAnsi" w:cstheme="majorHAnsi"/>
          <w:sz w:val="24"/>
          <w:szCs w:val="24"/>
        </w:rPr>
        <w:t xml:space="preserve">ALMEIDA, C. M. </w:t>
      </w:r>
      <w:r w:rsidRPr="00FF66FE">
        <w:rPr>
          <w:rFonts w:asciiTheme="majorHAnsi" w:hAnsiTheme="majorHAnsi" w:cstheme="majorHAnsi"/>
          <w:b/>
          <w:bCs/>
          <w:sz w:val="24"/>
          <w:szCs w:val="24"/>
        </w:rPr>
        <w:t xml:space="preserve">Uma abordagem vivencial do método PBL no ensino de Engenharia de Software. </w:t>
      </w:r>
      <w:r w:rsidRPr="00FF66FE">
        <w:rPr>
          <w:rFonts w:asciiTheme="majorHAnsi" w:hAnsiTheme="majorHAnsi" w:cstheme="majorHAnsi"/>
          <w:sz w:val="24"/>
          <w:szCs w:val="24"/>
        </w:rPr>
        <w:t>2016, 156 f. Dissertação (Mestrado Profissional em Engenharia de Software) - Centro de Estudos Avançados do Recife (CESAR), Recife, 2016.</w:t>
      </w:r>
    </w:p>
    <w:p w14:paraId="25ECCDE2" w14:textId="77777777" w:rsidR="00EE3346" w:rsidRPr="00FF66FE" w:rsidRDefault="00EE3346" w:rsidP="00516038">
      <w:pPr>
        <w:tabs>
          <w:tab w:val="clear" w:pos="1615"/>
        </w:tabs>
        <w:ind w:right="-1"/>
        <w:rPr>
          <w:rFonts w:asciiTheme="majorHAnsi" w:hAnsiTheme="majorHAnsi" w:cstheme="majorHAnsi"/>
          <w:sz w:val="24"/>
          <w:szCs w:val="24"/>
        </w:rPr>
      </w:pPr>
      <w:r w:rsidRPr="00FF66FE">
        <w:rPr>
          <w:rFonts w:asciiTheme="majorHAnsi" w:hAnsiTheme="majorHAnsi" w:cstheme="majorHAnsi"/>
          <w:sz w:val="24"/>
          <w:szCs w:val="24"/>
        </w:rPr>
        <w:t xml:space="preserve">ALTET, M. </w:t>
      </w:r>
      <w:r w:rsidRPr="00FF66FE">
        <w:rPr>
          <w:rFonts w:asciiTheme="majorHAnsi" w:hAnsiTheme="majorHAnsi" w:cstheme="majorHAnsi"/>
          <w:b/>
          <w:sz w:val="24"/>
          <w:szCs w:val="24"/>
        </w:rPr>
        <w:t>As pedagogias da aprendizagem</w:t>
      </w:r>
      <w:r w:rsidRPr="00FF66FE">
        <w:rPr>
          <w:rFonts w:asciiTheme="majorHAnsi" w:hAnsiTheme="majorHAnsi" w:cstheme="majorHAnsi"/>
          <w:sz w:val="24"/>
          <w:szCs w:val="24"/>
        </w:rPr>
        <w:t>. Lisboa: Instituto Piaget, 1998.</w:t>
      </w:r>
    </w:p>
    <w:p w14:paraId="08A32A33" w14:textId="77777777" w:rsidR="00EE3346" w:rsidRPr="00FF66FE" w:rsidRDefault="00EE3346" w:rsidP="00516038">
      <w:pPr>
        <w:tabs>
          <w:tab w:val="clear" w:pos="1615"/>
        </w:tabs>
        <w:ind w:right="-1"/>
        <w:rPr>
          <w:rFonts w:asciiTheme="majorHAnsi" w:hAnsiTheme="majorHAnsi" w:cstheme="majorHAnsi"/>
          <w:sz w:val="24"/>
          <w:szCs w:val="24"/>
        </w:rPr>
      </w:pPr>
      <w:r w:rsidRPr="00FF66FE">
        <w:rPr>
          <w:rFonts w:asciiTheme="majorHAnsi" w:hAnsiTheme="majorHAnsi" w:cstheme="majorHAnsi"/>
          <w:sz w:val="24"/>
          <w:szCs w:val="24"/>
        </w:rPr>
        <w:t xml:space="preserve">ARAÚJO, U. F.; LOYOLLA, W. P. D. C.; GARBIN, M. C.; CAVALCANTI, C. C. Adoção da estratégia de mentoria fishbowl em projetos integradores em curso de graduação. </w:t>
      </w:r>
      <w:r w:rsidRPr="00FF66FE">
        <w:rPr>
          <w:rFonts w:asciiTheme="majorHAnsi" w:hAnsiTheme="majorHAnsi" w:cstheme="majorHAnsi"/>
          <w:b/>
          <w:sz w:val="24"/>
          <w:szCs w:val="24"/>
        </w:rPr>
        <w:t>Anais do 22.</w:t>
      </w:r>
      <w:r w:rsidRPr="00FF66FE">
        <w:rPr>
          <w:rFonts w:asciiTheme="majorHAnsi" w:hAnsiTheme="majorHAnsi" w:cstheme="majorHAnsi"/>
          <w:b/>
          <w:sz w:val="24"/>
          <w:szCs w:val="24"/>
          <w:vertAlign w:val="superscript"/>
        </w:rPr>
        <w:t>o</w:t>
      </w:r>
      <w:r w:rsidRPr="00FF66FE" w:rsidDel="00946C20">
        <w:rPr>
          <w:rFonts w:asciiTheme="majorHAnsi" w:hAnsiTheme="majorHAnsi" w:cstheme="majorHAnsi"/>
          <w:b/>
          <w:sz w:val="24"/>
          <w:szCs w:val="24"/>
        </w:rPr>
        <w:t xml:space="preserve"> </w:t>
      </w:r>
      <w:r w:rsidRPr="00FF66FE">
        <w:rPr>
          <w:rFonts w:asciiTheme="majorHAnsi" w:hAnsiTheme="majorHAnsi" w:cstheme="majorHAnsi"/>
          <w:b/>
          <w:sz w:val="24"/>
          <w:szCs w:val="24"/>
        </w:rPr>
        <w:t>CIAED, Águas de Lindoia, SP, 2016a.</w:t>
      </w:r>
      <w:r w:rsidRPr="00FF66FE">
        <w:rPr>
          <w:rFonts w:asciiTheme="majorHAnsi" w:hAnsiTheme="majorHAnsi" w:cstheme="majorHAnsi"/>
          <w:sz w:val="24"/>
          <w:szCs w:val="24"/>
        </w:rPr>
        <w:t xml:space="preserve"> Disponível em: http://www.abed.org.br/congresso2016/trabalhos/ 237.pdf. Acesso em: 15 set.2021.</w:t>
      </w:r>
    </w:p>
    <w:p w14:paraId="7696AADC" w14:textId="77777777" w:rsidR="00EE3346" w:rsidRPr="00FF66FE" w:rsidRDefault="00EE3346" w:rsidP="00516038">
      <w:pPr>
        <w:tabs>
          <w:tab w:val="clear" w:pos="1615"/>
        </w:tabs>
        <w:ind w:right="-1"/>
        <w:rPr>
          <w:rFonts w:asciiTheme="majorHAnsi" w:hAnsiTheme="majorHAnsi" w:cstheme="majorHAnsi"/>
          <w:sz w:val="24"/>
          <w:szCs w:val="24"/>
        </w:rPr>
      </w:pPr>
      <w:r w:rsidRPr="00FF66FE">
        <w:rPr>
          <w:rFonts w:asciiTheme="majorHAnsi" w:hAnsiTheme="majorHAnsi" w:cstheme="majorHAnsi"/>
          <w:sz w:val="24"/>
          <w:szCs w:val="24"/>
        </w:rPr>
        <w:t xml:space="preserve">ARAÚJO, W.J.; LOPES, R.P.; OLIVEIRA FILHO, D.; BARROS, P.M.M.; OLIVEIRA, R.A. Aprendizagem por Problemas no Ensino de Engenharia. </w:t>
      </w:r>
      <w:r w:rsidRPr="00FF66FE">
        <w:rPr>
          <w:rFonts w:asciiTheme="majorHAnsi" w:hAnsiTheme="majorHAnsi" w:cstheme="majorHAnsi"/>
          <w:b/>
          <w:sz w:val="24"/>
          <w:szCs w:val="24"/>
        </w:rPr>
        <w:t>Revista Docência no Ensino Superior, v. 6, n. 1,</w:t>
      </w:r>
      <w:r w:rsidRPr="00FF66FE">
        <w:rPr>
          <w:rFonts w:asciiTheme="majorHAnsi" w:hAnsiTheme="majorHAnsi" w:cstheme="majorHAnsi"/>
          <w:sz w:val="24"/>
          <w:szCs w:val="24"/>
        </w:rPr>
        <w:t xml:space="preserve"> p. 57-90, abr. 2016b.</w:t>
      </w:r>
    </w:p>
    <w:p w14:paraId="0D25ACF1" w14:textId="77777777" w:rsidR="00EE3346" w:rsidRPr="00FF66FE" w:rsidRDefault="00EE3346" w:rsidP="00516038">
      <w:pPr>
        <w:tabs>
          <w:tab w:val="clear" w:pos="1615"/>
        </w:tabs>
        <w:ind w:right="-1"/>
        <w:rPr>
          <w:rStyle w:val="A6"/>
          <w:rFonts w:asciiTheme="majorHAnsi" w:hAnsiTheme="majorHAnsi" w:cstheme="majorHAnsi"/>
          <w:color w:val="auto"/>
          <w:sz w:val="24"/>
          <w:szCs w:val="24"/>
        </w:rPr>
      </w:pPr>
      <w:r w:rsidRPr="00FF66FE">
        <w:rPr>
          <w:rStyle w:val="A6"/>
          <w:rFonts w:asciiTheme="majorHAnsi" w:hAnsiTheme="majorHAnsi" w:cstheme="majorHAnsi"/>
          <w:color w:val="auto"/>
          <w:sz w:val="24"/>
          <w:szCs w:val="24"/>
          <w:lang w:val="es-ES"/>
        </w:rPr>
        <w:t xml:space="preserve">AUSUBEL, D. P.; NOVAK, J. D.; HANESIAN, H. </w:t>
      </w:r>
      <w:r w:rsidRPr="00FF66FE">
        <w:rPr>
          <w:rStyle w:val="A6"/>
          <w:rFonts w:asciiTheme="majorHAnsi" w:hAnsiTheme="majorHAnsi" w:cstheme="majorHAnsi"/>
          <w:b/>
          <w:bCs/>
          <w:color w:val="auto"/>
          <w:sz w:val="24"/>
          <w:szCs w:val="24"/>
          <w:lang w:val="es-ES"/>
        </w:rPr>
        <w:t>Psicologia educacional</w:t>
      </w:r>
      <w:r w:rsidRPr="00FF66FE">
        <w:rPr>
          <w:rStyle w:val="A6"/>
          <w:rFonts w:asciiTheme="majorHAnsi" w:hAnsiTheme="majorHAnsi" w:cstheme="majorHAnsi"/>
          <w:color w:val="auto"/>
          <w:sz w:val="24"/>
          <w:szCs w:val="24"/>
          <w:lang w:val="es-ES"/>
        </w:rPr>
        <w:t xml:space="preserve">. </w:t>
      </w:r>
      <w:r w:rsidRPr="00FF66FE">
        <w:rPr>
          <w:rStyle w:val="A6"/>
          <w:rFonts w:asciiTheme="majorHAnsi" w:hAnsiTheme="majorHAnsi" w:cstheme="majorHAnsi"/>
          <w:color w:val="auto"/>
          <w:sz w:val="24"/>
          <w:szCs w:val="24"/>
        </w:rPr>
        <w:t>2. ed. Rio de Janeiro: Interamericana, 1978.</w:t>
      </w:r>
    </w:p>
    <w:p w14:paraId="79684621" w14:textId="77777777" w:rsidR="00EE3346" w:rsidRPr="00FF66FE" w:rsidRDefault="00EE3346" w:rsidP="00516038">
      <w:pPr>
        <w:tabs>
          <w:tab w:val="clear" w:pos="1615"/>
        </w:tabs>
        <w:ind w:right="-1"/>
        <w:rPr>
          <w:rFonts w:asciiTheme="majorHAnsi" w:hAnsiTheme="majorHAnsi" w:cstheme="majorHAnsi"/>
          <w:sz w:val="24"/>
          <w:szCs w:val="24"/>
        </w:rPr>
      </w:pPr>
      <w:r w:rsidRPr="00FF66FE">
        <w:rPr>
          <w:rStyle w:val="A6"/>
          <w:rFonts w:asciiTheme="majorHAnsi" w:hAnsiTheme="majorHAnsi" w:cstheme="majorHAnsi"/>
          <w:color w:val="auto"/>
          <w:sz w:val="24"/>
          <w:szCs w:val="24"/>
        </w:rPr>
        <w:t xml:space="preserve">BENDER, W.N. </w:t>
      </w:r>
      <w:r w:rsidRPr="00FF66FE">
        <w:rPr>
          <w:rStyle w:val="A6"/>
          <w:rFonts w:asciiTheme="majorHAnsi" w:hAnsiTheme="majorHAnsi" w:cstheme="majorHAnsi"/>
          <w:b/>
          <w:color w:val="auto"/>
          <w:sz w:val="24"/>
          <w:szCs w:val="24"/>
        </w:rPr>
        <w:t>Aprendizagem baseada em projetos: educação diferenciada para o século XXI</w:t>
      </w:r>
      <w:r w:rsidRPr="00FF66FE">
        <w:rPr>
          <w:rStyle w:val="A6"/>
          <w:rFonts w:asciiTheme="majorHAnsi" w:hAnsiTheme="majorHAnsi" w:cstheme="majorHAnsi"/>
          <w:color w:val="auto"/>
          <w:sz w:val="24"/>
          <w:szCs w:val="24"/>
        </w:rPr>
        <w:t>. Porto Alegre: Penso, 2014.</w:t>
      </w:r>
    </w:p>
    <w:p w14:paraId="3057631D" w14:textId="77777777" w:rsidR="00EE3346" w:rsidRPr="00FF66FE" w:rsidRDefault="00EE3346" w:rsidP="00516038">
      <w:pPr>
        <w:tabs>
          <w:tab w:val="clear" w:pos="1615"/>
        </w:tabs>
        <w:ind w:right="-1"/>
        <w:rPr>
          <w:rFonts w:asciiTheme="majorHAnsi" w:hAnsiTheme="majorHAnsi" w:cstheme="majorHAnsi"/>
          <w:sz w:val="24"/>
          <w:szCs w:val="24"/>
        </w:rPr>
      </w:pPr>
      <w:r w:rsidRPr="00FF66FE">
        <w:rPr>
          <w:rFonts w:asciiTheme="majorHAnsi" w:hAnsiTheme="majorHAnsi" w:cstheme="majorHAnsi"/>
          <w:sz w:val="24"/>
          <w:szCs w:val="24"/>
        </w:rPr>
        <w:t xml:space="preserve">BERBEL, N.A.N. A problematização e a aprendizagem baseada em problemas: diferentes termos ou diferentes caminhos? </w:t>
      </w:r>
      <w:r w:rsidRPr="00FF66FE">
        <w:rPr>
          <w:rFonts w:asciiTheme="majorHAnsi" w:hAnsiTheme="majorHAnsi" w:cstheme="majorHAnsi"/>
          <w:b/>
          <w:sz w:val="24"/>
          <w:szCs w:val="24"/>
        </w:rPr>
        <w:t>Interface, Comunicação, Saúde, Educação, v. 2,</w:t>
      </w:r>
      <w:r w:rsidRPr="00FF66FE">
        <w:rPr>
          <w:rFonts w:asciiTheme="majorHAnsi" w:hAnsiTheme="majorHAnsi" w:cstheme="majorHAnsi"/>
          <w:sz w:val="24"/>
          <w:szCs w:val="24"/>
        </w:rPr>
        <w:t xml:space="preserve"> p. 139-154, 1998.</w:t>
      </w:r>
    </w:p>
    <w:p w14:paraId="23822495" w14:textId="77777777" w:rsidR="00EE3346" w:rsidRPr="00FF66FE" w:rsidRDefault="00EE3346" w:rsidP="00516038">
      <w:pPr>
        <w:tabs>
          <w:tab w:val="clear" w:pos="1615"/>
        </w:tabs>
        <w:ind w:right="-1"/>
        <w:rPr>
          <w:rFonts w:asciiTheme="majorHAnsi" w:hAnsiTheme="majorHAnsi" w:cstheme="majorHAnsi"/>
          <w:sz w:val="24"/>
          <w:szCs w:val="24"/>
        </w:rPr>
      </w:pPr>
      <w:r w:rsidRPr="00FF66FE">
        <w:rPr>
          <w:rFonts w:asciiTheme="majorHAnsi" w:hAnsiTheme="majorHAnsi" w:cstheme="majorHAnsi"/>
          <w:sz w:val="24"/>
          <w:szCs w:val="24"/>
        </w:rPr>
        <w:t xml:space="preserve">BORDENAVE, J.; PEREIRA, A. </w:t>
      </w:r>
      <w:r w:rsidRPr="00FF66FE">
        <w:rPr>
          <w:rFonts w:asciiTheme="majorHAnsi" w:hAnsiTheme="majorHAnsi" w:cstheme="majorHAnsi"/>
          <w:b/>
          <w:sz w:val="24"/>
          <w:szCs w:val="24"/>
        </w:rPr>
        <w:t>Estratégias de ensino aprendizagem</w:t>
      </w:r>
      <w:r w:rsidRPr="00FF66FE">
        <w:rPr>
          <w:rFonts w:asciiTheme="majorHAnsi" w:hAnsiTheme="majorHAnsi" w:cstheme="majorHAnsi"/>
          <w:sz w:val="24"/>
          <w:szCs w:val="24"/>
        </w:rPr>
        <w:t>. 4. ed., Petrópolis: Vozes, 1982.</w:t>
      </w:r>
    </w:p>
    <w:p w14:paraId="52C221D3" w14:textId="77777777" w:rsidR="00EE3346" w:rsidRPr="00FF66FE" w:rsidRDefault="00EE3346" w:rsidP="00516038">
      <w:pPr>
        <w:tabs>
          <w:tab w:val="clear" w:pos="1615"/>
        </w:tabs>
        <w:ind w:right="-1"/>
        <w:rPr>
          <w:rFonts w:asciiTheme="majorHAnsi" w:hAnsiTheme="majorHAnsi" w:cstheme="majorHAnsi"/>
          <w:sz w:val="24"/>
          <w:szCs w:val="24"/>
        </w:rPr>
      </w:pPr>
      <w:r w:rsidRPr="00FF66FE">
        <w:rPr>
          <w:rFonts w:asciiTheme="majorHAnsi" w:hAnsiTheme="majorHAnsi" w:cstheme="majorHAnsi"/>
          <w:sz w:val="24"/>
          <w:szCs w:val="24"/>
        </w:rPr>
        <w:t xml:space="preserve">BRASIL, 1996. </w:t>
      </w:r>
      <w:r w:rsidRPr="00FF66FE">
        <w:rPr>
          <w:rFonts w:asciiTheme="majorHAnsi" w:hAnsiTheme="majorHAnsi" w:cstheme="majorHAnsi"/>
          <w:b/>
          <w:sz w:val="24"/>
          <w:szCs w:val="24"/>
        </w:rPr>
        <w:t>Lei de Diretrizes e Bases da Educação Nacional – Lei n. 9394, de 20 dez. 96</w:t>
      </w:r>
      <w:r w:rsidRPr="00FF66FE">
        <w:rPr>
          <w:rFonts w:asciiTheme="majorHAnsi" w:hAnsiTheme="majorHAnsi" w:cstheme="majorHAnsi"/>
          <w:sz w:val="24"/>
          <w:szCs w:val="24"/>
        </w:rPr>
        <w:t>. Disponível em: http://www.planalto.gov.br/ccivil_03/leis/l9394.htm. Acesso em: 20 jun. 2020.</w:t>
      </w:r>
    </w:p>
    <w:p w14:paraId="7C98703E" w14:textId="77777777" w:rsidR="00EE3346" w:rsidRPr="00FF66FE" w:rsidRDefault="00EE3346" w:rsidP="00516038">
      <w:pPr>
        <w:tabs>
          <w:tab w:val="clear" w:pos="1615"/>
        </w:tabs>
        <w:ind w:right="-1"/>
        <w:rPr>
          <w:rFonts w:asciiTheme="majorHAnsi" w:hAnsiTheme="majorHAnsi" w:cstheme="majorHAnsi"/>
          <w:sz w:val="24"/>
          <w:szCs w:val="24"/>
        </w:rPr>
      </w:pPr>
      <w:r w:rsidRPr="00FF66FE">
        <w:rPr>
          <w:rFonts w:asciiTheme="majorHAnsi" w:hAnsiTheme="majorHAnsi" w:cstheme="majorHAnsi"/>
          <w:sz w:val="24"/>
          <w:szCs w:val="24"/>
        </w:rPr>
        <w:t xml:space="preserve">BRASIL, 2017. </w:t>
      </w:r>
      <w:r w:rsidRPr="00FF66FE">
        <w:rPr>
          <w:rFonts w:asciiTheme="majorHAnsi" w:hAnsiTheme="majorHAnsi" w:cstheme="majorHAnsi"/>
          <w:b/>
          <w:sz w:val="24"/>
          <w:szCs w:val="24"/>
        </w:rPr>
        <w:t>Decreto 9.057, de 25 de maio de 2017</w:t>
      </w:r>
      <w:r w:rsidRPr="00FF66FE">
        <w:rPr>
          <w:rFonts w:asciiTheme="majorHAnsi" w:hAnsiTheme="majorHAnsi" w:cstheme="majorHAnsi"/>
          <w:sz w:val="24"/>
          <w:szCs w:val="24"/>
        </w:rPr>
        <w:t>, que regulamenta o Art. 80 da Lei n. 9394/96. Disponível em: http://www.planalto.gov.br/ccivil_03/_ato2015-2018/2017/decreto/ d9057.htm. Acesso em: 20 jun. 2020.</w:t>
      </w:r>
    </w:p>
    <w:p w14:paraId="7F16FD7F" w14:textId="77777777" w:rsidR="00EE3346" w:rsidRPr="00FF66FE" w:rsidRDefault="00EE3346" w:rsidP="00516038">
      <w:pPr>
        <w:tabs>
          <w:tab w:val="clear" w:pos="1615"/>
        </w:tabs>
        <w:ind w:right="-1"/>
        <w:rPr>
          <w:rFonts w:asciiTheme="majorHAnsi" w:hAnsiTheme="majorHAnsi" w:cstheme="majorHAnsi"/>
          <w:sz w:val="24"/>
          <w:szCs w:val="24"/>
        </w:rPr>
      </w:pPr>
      <w:r w:rsidRPr="00FF66FE">
        <w:rPr>
          <w:rFonts w:asciiTheme="majorHAnsi" w:hAnsiTheme="majorHAnsi" w:cstheme="majorHAnsi"/>
          <w:sz w:val="24"/>
          <w:szCs w:val="24"/>
        </w:rPr>
        <w:t xml:space="preserve">CANTO FILHO, A.B.; LIMA, J.V.; TAROUCO, L.M.R. Mapas conceituais de projeto: uma ferramenta para projetar objetos de aprendizagem significativa. </w:t>
      </w:r>
      <w:r w:rsidRPr="00FF66FE">
        <w:rPr>
          <w:rFonts w:asciiTheme="majorHAnsi" w:hAnsiTheme="majorHAnsi" w:cstheme="majorHAnsi"/>
          <w:b/>
          <w:sz w:val="24"/>
          <w:szCs w:val="24"/>
        </w:rPr>
        <w:t>Ciência e Educação (Bauru), v.23, n.3</w:t>
      </w:r>
      <w:r w:rsidRPr="00FF66FE">
        <w:rPr>
          <w:rFonts w:asciiTheme="majorHAnsi" w:hAnsiTheme="majorHAnsi" w:cstheme="majorHAnsi"/>
          <w:sz w:val="24"/>
          <w:szCs w:val="24"/>
        </w:rPr>
        <w:t xml:space="preserve">, 723-740, jul-sep. 2017. </w:t>
      </w:r>
    </w:p>
    <w:p w14:paraId="3007DE75" w14:textId="77777777" w:rsidR="00EE3346" w:rsidRPr="00FF66FE" w:rsidRDefault="00EE3346" w:rsidP="00516038">
      <w:pPr>
        <w:pStyle w:val="SBIE-Referencia"/>
        <w:spacing w:after="160"/>
        <w:ind w:left="0" w:right="-1" w:firstLine="0"/>
        <w:jc w:val="left"/>
        <w:rPr>
          <w:rFonts w:asciiTheme="majorHAnsi" w:hAnsiTheme="majorHAnsi" w:cstheme="majorHAnsi"/>
          <w:sz w:val="24"/>
          <w:szCs w:val="24"/>
          <w:lang w:val="pt-BR"/>
        </w:rPr>
      </w:pPr>
      <w:r w:rsidRPr="00FF66FE">
        <w:rPr>
          <w:rFonts w:asciiTheme="majorHAnsi" w:hAnsiTheme="majorHAnsi" w:cstheme="majorHAnsi"/>
          <w:sz w:val="24"/>
          <w:szCs w:val="24"/>
          <w:lang w:val="pt-BR"/>
        </w:rPr>
        <w:t xml:space="preserve">CHRISTENSEN, C.M.; HORN, M.B.; STAKER, H. </w:t>
      </w:r>
      <w:r w:rsidRPr="00FF66FE">
        <w:rPr>
          <w:rFonts w:asciiTheme="majorHAnsi" w:hAnsiTheme="majorHAnsi" w:cstheme="majorHAnsi"/>
          <w:b/>
          <w:sz w:val="24"/>
          <w:szCs w:val="24"/>
          <w:lang w:val="pt-BR"/>
        </w:rPr>
        <w:t xml:space="preserve">Ensino Híbrido: uma Inovação Disruptiva? Uma introdução à teoria dos híbridos. </w:t>
      </w:r>
      <w:r w:rsidRPr="00FF66FE">
        <w:rPr>
          <w:rFonts w:asciiTheme="majorHAnsi" w:hAnsiTheme="majorHAnsi" w:cstheme="majorHAnsi"/>
          <w:sz w:val="24"/>
          <w:szCs w:val="24"/>
          <w:lang w:val="pt-BR"/>
        </w:rPr>
        <w:t>Tradução da Fundação Lemann e Instituto Península, 2013. Disponível em: https://porvir.org/wp-content/uploads/2014/08/PT_Is-K-12-blended-learning-disruptive-Final.pdf. Acesso em: 20 nov. 2021.</w:t>
      </w:r>
    </w:p>
    <w:p w14:paraId="38EE08F1" w14:textId="77777777" w:rsidR="00EE3346" w:rsidRPr="00FF66FE" w:rsidRDefault="00EE3346" w:rsidP="00516038">
      <w:pPr>
        <w:tabs>
          <w:tab w:val="clear" w:pos="1615"/>
        </w:tabs>
        <w:ind w:right="-1"/>
        <w:rPr>
          <w:rFonts w:asciiTheme="majorHAnsi" w:hAnsiTheme="majorHAnsi" w:cstheme="majorHAnsi"/>
          <w:sz w:val="24"/>
          <w:szCs w:val="24"/>
        </w:rPr>
      </w:pPr>
      <w:r w:rsidRPr="00FF66FE">
        <w:rPr>
          <w:rFonts w:asciiTheme="majorHAnsi" w:hAnsiTheme="majorHAnsi" w:cstheme="majorHAnsi"/>
          <w:sz w:val="24"/>
          <w:szCs w:val="24"/>
        </w:rPr>
        <w:t xml:space="preserve">COIMBRA, C.L. A aula expositiva dialogada em uma perspectiva freireana.  </w:t>
      </w:r>
      <w:r w:rsidRPr="00FF66FE">
        <w:rPr>
          <w:rFonts w:asciiTheme="majorHAnsi" w:hAnsiTheme="majorHAnsi" w:cstheme="majorHAnsi"/>
          <w:b/>
          <w:sz w:val="24"/>
          <w:szCs w:val="24"/>
        </w:rPr>
        <w:t>In: LEAL, E.A.; MIRANDA, G.J.; CASA NOVA, S.P.C. Revolucionando a sala de aula: como envolver o estudante aplicando as técnicas de metodologias ativas de aprendizagem</w:t>
      </w:r>
      <w:r w:rsidRPr="00FF66FE">
        <w:rPr>
          <w:rFonts w:asciiTheme="majorHAnsi" w:hAnsiTheme="majorHAnsi" w:cstheme="majorHAnsi"/>
          <w:sz w:val="24"/>
          <w:szCs w:val="24"/>
        </w:rPr>
        <w:t>. Cap. 1. São Paulo: Atlas, 2017.</w:t>
      </w:r>
    </w:p>
    <w:p w14:paraId="1ED9E89C" w14:textId="77777777" w:rsidR="00EE3346" w:rsidRPr="00FF66FE" w:rsidRDefault="00EE3346" w:rsidP="00516038">
      <w:pPr>
        <w:tabs>
          <w:tab w:val="clear" w:pos="1615"/>
        </w:tabs>
        <w:ind w:right="-1"/>
        <w:rPr>
          <w:rFonts w:asciiTheme="majorHAnsi" w:hAnsiTheme="majorHAnsi" w:cstheme="majorHAnsi"/>
          <w:sz w:val="24"/>
          <w:szCs w:val="24"/>
        </w:rPr>
      </w:pPr>
      <w:r w:rsidRPr="00FF66FE">
        <w:rPr>
          <w:rFonts w:asciiTheme="majorHAnsi" w:hAnsiTheme="majorHAnsi" w:cstheme="majorHAnsi"/>
          <w:sz w:val="24"/>
          <w:szCs w:val="24"/>
        </w:rPr>
        <w:t xml:space="preserve">COLOMBO, A.A.; BERBEL, N.A.N. A Metodologia da Problematização com o Arco de Maguerez e sua relação com os saberes de professores. </w:t>
      </w:r>
      <w:r w:rsidRPr="00FF66FE">
        <w:rPr>
          <w:rFonts w:asciiTheme="majorHAnsi" w:hAnsiTheme="majorHAnsi" w:cstheme="majorHAnsi"/>
          <w:b/>
          <w:sz w:val="24"/>
          <w:szCs w:val="24"/>
        </w:rPr>
        <w:t>Semina: Ciências Sociais e Humanas, Londrina, v. 28, n. 2,</w:t>
      </w:r>
      <w:r w:rsidRPr="00FF66FE">
        <w:rPr>
          <w:rFonts w:asciiTheme="majorHAnsi" w:hAnsiTheme="majorHAnsi" w:cstheme="majorHAnsi"/>
          <w:sz w:val="24"/>
          <w:szCs w:val="24"/>
        </w:rPr>
        <w:t xml:space="preserve"> p. 121-146, jul./dez. 2007.</w:t>
      </w:r>
    </w:p>
    <w:p w14:paraId="28BD6118" w14:textId="77777777" w:rsidR="00EE3346" w:rsidRPr="00FF66FE" w:rsidRDefault="00EE3346" w:rsidP="00516038">
      <w:pPr>
        <w:tabs>
          <w:tab w:val="clear" w:pos="1615"/>
        </w:tabs>
        <w:ind w:right="-1"/>
        <w:rPr>
          <w:rFonts w:asciiTheme="majorHAnsi" w:hAnsiTheme="majorHAnsi" w:cstheme="majorHAnsi"/>
          <w:sz w:val="24"/>
          <w:szCs w:val="24"/>
        </w:rPr>
      </w:pPr>
      <w:r w:rsidRPr="00FF66FE">
        <w:rPr>
          <w:rFonts w:asciiTheme="majorHAnsi" w:hAnsiTheme="majorHAnsi" w:cstheme="majorHAnsi"/>
          <w:sz w:val="24"/>
          <w:szCs w:val="24"/>
        </w:rPr>
        <w:t xml:space="preserve">CORTELAZZO, A.L. Metodologias Ativas e Personalizadas de Aprendizagem (MAPA), aC, cC e dC. </w:t>
      </w:r>
      <w:r w:rsidRPr="00FF66FE">
        <w:rPr>
          <w:rFonts w:asciiTheme="majorHAnsi" w:hAnsiTheme="majorHAnsi" w:cstheme="majorHAnsi"/>
          <w:b/>
          <w:sz w:val="24"/>
          <w:szCs w:val="24"/>
        </w:rPr>
        <w:t>Revista de</w:t>
      </w:r>
      <w:r w:rsidRPr="00FF66FE">
        <w:rPr>
          <w:rFonts w:asciiTheme="majorHAnsi" w:hAnsiTheme="majorHAnsi" w:cstheme="majorHAnsi"/>
          <w:sz w:val="24"/>
          <w:szCs w:val="24"/>
        </w:rPr>
        <w:t xml:space="preserve"> </w:t>
      </w:r>
      <w:r w:rsidRPr="00FF66FE">
        <w:rPr>
          <w:rFonts w:asciiTheme="majorHAnsi" w:hAnsiTheme="majorHAnsi" w:cstheme="majorHAnsi"/>
          <w:b/>
          <w:sz w:val="24"/>
          <w:szCs w:val="24"/>
        </w:rPr>
        <w:t>Metodologias Ativas e Tecnologias Educacionais, ReMATE, v. 1, n. 1</w:t>
      </w:r>
      <w:r w:rsidRPr="00FF66FE">
        <w:rPr>
          <w:rFonts w:asciiTheme="majorHAnsi" w:hAnsiTheme="majorHAnsi" w:cstheme="majorHAnsi"/>
          <w:sz w:val="24"/>
          <w:szCs w:val="24"/>
        </w:rPr>
        <w:t>, p. 1-8, 2020.</w:t>
      </w:r>
    </w:p>
    <w:p w14:paraId="0442A6F2" w14:textId="77777777" w:rsidR="00EE3346" w:rsidRPr="00FF66FE" w:rsidRDefault="00EE3346" w:rsidP="00516038">
      <w:pPr>
        <w:pStyle w:val="SBIE-Referencia"/>
        <w:tabs>
          <w:tab w:val="left" w:pos="0"/>
        </w:tabs>
        <w:spacing w:after="160"/>
        <w:ind w:left="0" w:right="-1" w:firstLine="0"/>
        <w:jc w:val="left"/>
        <w:rPr>
          <w:rFonts w:asciiTheme="majorHAnsi" w:hAnsiTheme="majorHAnsi" w:cstheme="majorHAnsi"/>
          <w:sz w:val="24"/>
          <w:szCs w:val="24"/>
          <w:lang w:val="pt-BR"/>
        </w:rPr>
      </w:pPr>
      <w:r w:rsidRPr="00FF66FE">
        <w:rPr>
          <w:rFonts w:asciiTheme="majorHAnsi" w:hAnsiTheme="majorHAnsi" w:cstheme="majorHAnsi"/>
          <w:sz w:val="24"/>
          <w:szCs w:val="24"/>
          <w:lang w:val="pt-BR"/>
        </w:rPr>
        <w:t xml:space="preserve">CORTELAZZO, A.L.; FIALA, D.A.S.; PIVA JR., D.; PANISSON, L.S.; RODRIGUES, M.R.J.B. </w:t>
      </w:r>
      <w:r w:rsidRPr="00FF66FE">
        <w:rPr>
          <w:rFonts w:asciiTheme="majorHAnsi" w:hAnsiTheme="majorHAnsi" w:cstheme="majorHAnsi"/>
          <w:b/>
          <w:bCs/>
          <w:sz w:val="24"/>
          <w:szCs w:val="24"/>
          <w:lang w:val="pt-BR"/>
        </w:rPr>
        <w:t>Metodologias Ativas e Personalizadas de Aprendizagem</w:t>
      </w:r>
      <w:r w:rsidRPr="00FF66FE">
        <w:rPr>
          <w:rFonts w:asciiTheme="majorHAnsi" w:hAnsiTheme="majorHAnsi" w:cstheme="majorHAnsi"/>
          <w:b/>
          <w:sz w:val="24"/>
          <w:szCs w:val="24"/>
          <w:lang w:val="pt-BR"/>
        </w:rPr>
        <w:t>: para refinar seu cardápio metodológico</w:t>
      </w:r>
      <w:r w:rsidRPr="00FF66FE">
        <w:rPr>
          <w:rFonts w:asciiTheme="majorHAnsi" w:hAnsiTheme="majorHAnsi" w:cstheme="majorHAnsi"/>
          <w:sz w:val="24"/>
          <w:szCs w:val="24"/>
          <w:lang w:val="pt-BR"/>
        </w:rPr>
        <w:t>. Rio de Janeiro: Alta Books, 2018.</w:t>
      </w:r>
    </w:p>
    <w:p w14:paraId="0C0B417F" w14:textId="77777777" w:rsidR="00EE3346" w:rsidRPr="00FF66FE" w:rsidRDefault="00EE3346" w:rsidP="00516038">
      <w:pPr>
        <w:pStyle w:val="SBIE-Referencia"/>
        <w:tabs>
          <w:tab w:val="left" w:pos="0"/>
        </w:tabs>
        <w:spacing w:after="160"/>
        <w:ind w:left="0" w:right="-1" w:firstLine="0"/>
        <w:jc w:val="left"/>
        <w:rPr>
          <w:rFonts w:asciiTheme="majorHAnsi" w:hAnsiTheme="majorHAnsi" w:cstheme="majorHAnsi"/>
          <w:sz w:val="24"/>
          <w:szCs w:val="24"/>
          <w:lang w:val="pt-BR"/>
        </w:rPr>
      </w:pPr>
      <w:r w:rsidRPr="00FF66FE">
        <w:rPr>
          <w:rFonts w:asciiTheme="majorHAnsi" w:hAnsiTheme="majorHAnsi" w:cstheme="majorHAnsi"/>
          <w:sz w:val="24"/>
          <w:szCs w:val="24"/>
          <w:lang w:val="pt-BR"/>
        </w:rPr>
        <w:t xml:space="preserve">CORTELAZZO, A.L.; LOURENÇO, L.B. Metodologia da Sala de Aula Invertida como Estratégia para o Ensino da Fotossíntese. </w:t>
      </w:r>
      <w:r w:rsidRPr="00FF66FE">
        <w:rPr>
          <w:rFonts w:asciiTheme="majorHAnsi" w:hAnsiTheme="majorHAnsi" w:cstheme="majorHAnsi"/>
          <w:b/>
          <w:sz w:val="24"/>
          <w:szCs w:val="24"/>
          <w:lang w:val="pt-BR"/>
        </w:rPr>
        <w:t>Revista de Ensino de Bioquímica, v. 7,</w:t>
      </w:r>
      <w:r w:rsidRPr="00FF66FE">
        <w:rPr>
          <w:rFonts w:asciiTheme="majorHAnsi" w:hAnsiTheme="majorHAnsi" w:cstheme="majorHAnsi"/>
          <w:sz w:val="24"/>
          <w:szCs w:val="24"/>
          <w:lang w:val="pt-BR"/>
        </w:rPr>
        <w:t xml:space="preserve"> p. 15-41, 2019.</w:t>
      </w:r>
    </w:p>
    <w:p w14:paraId="26DC65BA" w14:textId="77777777" w:rsidR="00EE3346" w:rsidRPr="00FF66FE" w:rsidRDefault="00EE3346" w:rsidP="00516038">
      <w:pPr>
        <w:tabs>
          <w:tab w:val="clear" w:pos="1615"/>
        </w:tabs>
        <w:ind w:right="-1"/>
        <w:rPr>
          <w:rFonts w:asciiTheme="majorHAnsi" w:hAnsiTheme="majorHAnsi" w:cstheme="majorHAnsi"/>
          <w:sz w:val="24"/>
          <w:szCs w:val="24"/>
        </w:rPr>
      </w:pPr>
      <w:r w:rsidRPr="00FF66FE">
        <w:rPr>
          <w:rFonts w:asciiTheme="majorHAnsi" w:hAnsiTheme="majorHAnsi" w:cstheme="majorHAnsi"/>
          <w:sz w:val="24"/>
          <w:szCs w:val="24"/>
        </w:rPr>
        <w:t xml:space="preserve">CORTELAZZO, A.L.; PIVA JR. D.; RODRIGUES, M.R.J.B. Experimentação na Educação: Metodologias Ativas de Aprendizagem. </w:t>
      </w:r>
      <w:r w:rsidRPr="00FF66FE">
        <w:rPr>
          <w:rFonts w:asciiTheme="majorHAnsi" w:hAnsiTheme="majorHAnsi" w:cstheme="majorHAnsi"/>
          <w:b/>
          <w:sz w:val="24"/>
          <w:szCs w:val="24"/>
        </w:rPr>
        <w:t>Revista de Metodologias Ativas e Tecnologias Educacionais, ReMATE, v. 2, n. 1,</w:t>
      </w:r>
      <w:r w:rsidRPr="00FF66FE">
        <w:rPr>
          <w:rFonts w:asciiTheme="majorHAnsi" w:hAnsiTheme="majorHAnsi" w:cstheme="majorHAnsi"/>
          <w:sz w:val="24"/>
          <w:szCs w:val="24"/>
        </w:rPr>
        <w:t xml:space="preserve"> p. 1-18, 2021.</w:t>
      </w:r>
    </w:p>
    <w:p w14:paraId="70375A13" w14:textId="77777777" w:rsidR="00EE3346" w:rsidRPr="00FF66FE" w:rsidRDefault="00EE3346" w:rsidP="00516038">
      <w:pPr>
        <w:tabs>
          <w:tab w:val="clear" w:pos="1615"/>
        </w:tabs>
        <w:ind w:right="-1"/>
        <w:rPr>
          <w:rFonts w:asciiTheme="majorHAnsi" w:hAnsiTheme="majorHAnsi" w:cstheme="majorHAnsi"/>
          <w:sz w:val="24"/>
          <w:szCs w:val="24"/>
        </w:rPr>
      </w:pPr>
      <w:r w:rsidRPr="00FF66FE">
        <w:rPr>
          <w:rFonts w:asciiTheme="majorHAnsi" w:hAnsiTheme="majorHAnsi" w:cstheme="majorHAnsi"/>
          <w:sz w:val="24"/>
          <w:szCs w:val="24"/>
        </w:rPr>
        <w:t xml:space="preserve">DIAS, M.C.; TURRIONI, J.B.; SILVA, C.V. O uso do aprendizado baseado em problemas no ensino da engenharia de produção. </w:t>
      </w:r>
      <w:r w:rsidRPr="00FF66FE">
        <w:rPr>
          <w:rFonts w:asciiTheme="majorHAnsi" w:hAnsiTheme="majorHAnsi" w:cstheme="majorHAnsi"/>
          <w:b/>
          <w:sz w:val="24"/>
          <w:szCs w:val="24"/>
        </w:rPr>
        <w:t>XXXII Encontro nacional de Engenharia de Produçao</w:t>
      </w:r>
      <w:r w:rsidRPr="00FF66FE">
        <w:rPr>
          <w:rFonts w:asciiTheme="majorHAnsi" w:hAnsiTheme="majorHAnsi" w:cstheme="majorHAnsi"/>
          <w:sz w:val="24"/>
          <w:szCs w:val="24"/>
        </w:rPr>
        <w:t>. Bento Gonçalves, RS, out. 2012.</w:t>
      </w:r>
    </w:p>
    <w:p w14:paraId="16876C03" w14:textId="77777777" w:rsidR="00EE3346" w:rsidRPr="00FF66FE" w:rsidRDefault="00EE3346" w:rsidP="00516038">
      <w:pPr>
        <w:tabs>
          <w:tab w:val="clear" w:pos="1615"/>
        </w:tabs>
        <w:jc w:val="both"/>
        <w:rPr>
          <w:rFonts w:asciiTheme="majorHAnsi" w:hAnsiTheme="majorHAnsi" w:cstheme="majorHAnsi"/>
          <w:sz w:val="24"/>
          <w:szCs w:val="24"/>
        </w:rPr>
      </w:pPr>
      <w:r w:rsidRPr="00FF66FE">
        <w:rPr>
          <w:rFonts w:asciiTheme="majorHAnsi" w:hAnsiTheme="majorHAnsi" w:cstheme="majorHAnsi"/>
          <w:sz w:val="24"/>
          <w:szCs w:val="24"/>
          <w:lang w:val="en-GB"/>
        </w:rPr>
        <w:t>DRAKE, K.; LONG, D. Rebecca’s in the dark: a comparative study of problem-based learning and direct instruction/experiential learning in two 4</w:t>
      </w:r>
      <w:r w:rsidRPr="00FF66FE">
        <w:rPr>
          <w:rFonts w:asciiTheme="majorHAnsi" w:hAnsiTheme="majorHAnsi" w:cstheme="majorHAnsi"/>
          <w:sz w:val="24"/>
          <w:szCs w:val="24"/>
          <w:vertAlign w:val="superscript"/>
          <w:lang w:val="en-GB"/>
        </w:rPr>
        <w:t>th</w:t>
      </w:r>
      <w:r w:rsidRPr="00FF66FE">
        <w:rPr>
          <w:rFonts w:asciiTheme="majorHAnsi" w:hAnsiTheme="majorHAnsi" w:cstheme="majorHAnsi"/>
          <w:sz w:val="24"/>
          <w:szCs w:val="24"/>
          <w:lang w:val="en-GB"/>
        </w:rPr>
        <w:t xml:space="preserve"> grade classrooms. </w:t>
      </w:r>
      <w:r w:rsidRPr="00FF66FE">
        <w:rPr>
          <w:rFonts w:asciiTheme="majorHAnsi" w:hAnsiTheme="majorHAnsi" w:cstheme="majorHAnsi"/>
          <w:b/>
          <w:sz w:val="24"/>
          <w:szCs w:val="24"/>
        </w:rPr>
        <w:t>Journal of Elementary Science Education, Amsterdan, v. 21, n. 1</w:t>
      </w:r>
      <w:r w:rsidRPr="00FF66FE">
        <w:rPr>
          <w:rFonts w:asciiTheme="majorHAnsi" w:hAnsiTheme="majorHAnsi" w:cstheme="majorHAnsi"/>
          <w:sz w:val="24"/>
          <w:szCs w:val="24"/>
        </w:rPr>
        <w:t>, p. 1-16, 2009.</w:t>
      </w:r>
    </w:p>
    <w:p w14:paraId="64477226" w14:textId="77777777" w:rsidR="00EE3346" w:rsidRPr="00FF66FE" w:rsidRDefault="00EE3346" w:rsidP="00516038">
      <w:pPr>
        <w:tabs>
          <w:tab w:val="clear" w:pos="1615"/>
        </w:tabs>
        <w:ind w:right="-1"/>
        <w:rPr>
          <w:rFonts w:asciiTheme="majorHAnsi" w:hAnsiTheme="majorHAnsi" w:cstheme="majorHAnsi"/>
          <w:sz w:val="24"/>
          <w:szCs w:val="24"/>
        </w:rPr>
      </w:pPr>
      <w:r w:rsidRPr="00FF66FE">
        <w:rPr>
          <w:rFonts w:asciiTheme="majorHAnsi" w:hAnsiTheme="majorHAnsi" w:cstheme="majorHAnsi"/>
          <w:sz w:val="24"/>
          <w:szCs w:val="24"/>
        </w:rPr>
        <w:t xml:space="preserve">ENEMARK, S.; KJAERSDAM, F. A ABP na teoria e na prática: a experiência de Alborg na inovação do projeto no ensino universitário. </w:t>
      </w:r>
      <w:r w:rsidRPr="00FF66FE">
        <w:rPr>
          <w:rFonts w:asciiTheme="majorHAnsi" w:hAnsiTheme="majorHAnsi" w:cstheme="majorHAnsi"/>
          <w:b/>
          <w:sz w:val="24"/>
          <w:szCs w:val="24"/>
        </w:rPr>
        <w:t>In: ARAÚJO, U.F.; SASTRE, E.G. (org.) Aprendizagem baseada em problemas no ensino superior.</w:t>
      </w:r>
      <w:r w:rsidRPr="00FF66FE">
        <w:rPr>
          <w:rFonts w:asciiTheme="majorHAnsi" w:hAnsiTheme="majorHAnsi" w:cstheme="majorHAnsi"/>
          <w:sz w:val="24"/>
          <w:szCs w:val="24"/>
        </w:rPr>
        <w:t xml:space="preserve"> São Paulo: Summus, 2009.</w:t>
      </w:r>
    </w:p>
    <w:p w14:paraId="23F30B73" w14:textId="77777777" w:rsidR="00EE3346" w:rsidRPr="00FF66FE" w:rsidRDefault="00EE3346" w:rsidP="00516038">
      <w:pPr>
        <w:tabs>
          <w:tab w:val="clear" w:pos="1615"/>
        </w:tabs>
        <w:ind w:right="-1"/>
        <w:rPr>
          <w:rFonts w:asciiTheme="majorHAnsi" w:hAnsiTheme="majorHAnsi" w:cstheme="majorHAnsi"/>
          <w:sz w:val="24"/>
          <w:szCs w:val="24"/>
        </w:rPr>
      </w:pPr>
      <w:r w:rsidRPr="00FF66FE">
        <w:rPr>
          <w:rFonts w:asciiTheme="majorHAnsi" w:hAnsiTheme="majorHAnsi" w:cstheme="majorHAnsi"/>
          <w:sz w:val="24"/>
          <w:szCs w:val="24"/>
        </w:rPr>
        <w:t xml:space="preserve">FEPCS - Fundação de Ensino e Pesquisa em Ciências da Saúde. </w:t>
      </w:r>
      <w:r w:rsidRPr="00FF66FE">
        <w:rPr>
          <w:rFonts w:asciiTheme="majorHAnsi" w:hAnsiTheme="majorHAnsi" w:cstheme="majorHAnsi"/>
          <w:b/>
          <w:sz w:val="24"/>
          <w:szCs w:val="24"/>
        </w:rPr>
        <w:t>Projeto Pedagógico do Curso de Graduação em Enfermagem da ESCS</w:t>
      </w:r>
      <w:r w:rsidRPr="00FF66FE">
        <w:rPr>
          <w:rFonts w:asciiTheme="majorHAnsi" w:hAnsiTheme="majorHAnsi" w:cstheme="majorHAnsi"/>
          <w:sz w:val="24"/>
          <w:szCs w:val="24"/>
        </w:rPr>
        <w:t>, 2018a. 98 f., atualizado em 23/3/2021/ Disponível em: http://www.escs.edu.br/ arquivos/PPC_FINAL_2018_com_matriz_de_2019_atualizada_em_23_03_2021____Curso_de_Graduacao_em_Enfermagem_ESCS.pdf. Acesso em: 7 nov, 2021.</w:t>
      </w:r>
    </w:p>
    <w:p w14:paraId="3E0B06FB" w14:textId="77777777" w:rsidR="00EE3346" w:rsidRPr="00FF66FE" w:rsidRDefault="00EE3346" w:rsidP="00516038">
      <w:pPr>
        <w:tabs>
          <w:tab w:val="clear" w:pos="1615"/>
        </w:tabs>
        <w:ind w:right="-1"/>
        <w:rPr>
          <w:rFonts w:asciiTheme="majorHAnsi" w:hAnsiTheme="majorHAnsi" w:cstheme="majorHAnsi"/>
          <w:sz w:val="24"/>
          <w:szCs w:val="24"/>
        </w:rPr>
      </w:pPr>
      <w:r w:rsidRPr="00FF66FE">
        <w:rPr>
          <w:rFonts w:asciiTheme="majorHAnsi" w:hAnsiTheme="majorHAnsi" w:cstheme="majorHAnsi"/>
          <w:sz w:val="24"/>
          <w:szCs w:val="24"/>
        </w:rPr>
        <w:t xml:space="preserve">FEPCS - Fundação de Ensino e Pesquisa em Ciências da Saúde. </w:t>
      </w:r>
      <w:r w:rsidRPr="00FF66FE">
        <w:rPr>
          <w:rFonts w:asciiTheme="majorHAnsi" w:hAnsiTheme="majorHAnsi" w:cstheme="majorHAnsi"/>
          <w:b/>
          <w:sz w:val="24"/>
          <w:szCs w:val="24"/>
        </w:rPr>
        <w:t>Projeto Pedagógico do Curso de Graduação em Medicina da ESCS</w:t>
      </w:r>
      <w:r w:rsidRPr="00FF66FE">
        <w:rPr>
          <w:rFonts w:asciiTheme="majorHAnsi" w:hAnsiTheme="majorHAnsi" w:cstheme="majorHAnsi"/>
          <w:sz w:val="24"/>
          <w:szCs w:val="24"/>
        </w:rPr>
        <w:t>, 2018b. 220 f., atualizado em 15/6/2021: il. Disponível em: http://www.escs.edu.br/ arquivos/PPCMedicina2018__3_.pdf. Acesso em: 7 nov. 2021.</w:t>
      </w:r>
    </w:p>
    <w:p w14:paraId="48179A9B" w14:textId="77777777" w:rsidR="00EE3346" w:rsidRPr="00FF66FE" w:rsidRDefault="00EE3346" w:rsidP="00516038">
      <w:pPr>
        <w:pStyle w:val="Default"/>
        <w:spacing w:after="160" w:line="259" w:lineRule="auto"/>
        <w:rPr>
          <w:rFonts w:asciiTheme="majorHAnsi" w:hAnsiTheme="majorHAnsi" w:cstheme="majorHAnsi"/>
          <w:color w:val="auto"/>
        </w:rPr>
      </w:pPr>
      <w:r w:rsidRPr="00FF66FE">
        <w:rPr>
          <w:rFonts w:asciiTheme="majorHAnsi" w:hAnsiTheme="majorHAnsi" w:cstheme="majorHAnsi"/>
          <w:color w:val="auto"/>
        </w:rPr>
        <w:t xml:space="preserve">FERRAZ, A.P.C.M.; BELHOT, R.V. Taxonomia de Bloom: revisão teórica e apresentação das adequações do instrumento para definição de objetivos instrucionais. </w:t>
      </w:r>
      <w:r w:rsidRPr="00FF66FE">
        <w:rPr>
          <w:rFonts w:asciiTheme="majorHAnsi" w:hAnsiTheme="majorHAnsi" w:cstheme="majorHAnsi"/>
          <w:b/>
          <w:color w:val="auto"/>
        </w:rPr>
        <w:t>Gestão da Produção, São Carlos, v. 17, n. 2,</w:t>
      </w:r>
      <w:r w:rsidRPr="00FF66FE">
        <w:rPr>
          <w:rFonts w:asciiTheme="majorHAnsi" w:hAnsiTheme="majorHAnsi" w:cstheme="majorHAnsi"/>
          <w:color w:val="auto"/>
        </w:rPr>
        <w:t xml:space="preserve"> p. 421-431, 2010.</w:t>
      </w:r>
    </w:p>
    <w:p w14:paraId="4C931AD4" w14:textId="77777777" w:rsidR="00EE3346" w:rsidRPr="00FF66FE" w:rsidRDefault="00EE3346" w:rsidP="00516038">
      <w:pPr>
        <w:pStyle w:val="Default"/>
        <w:spacing w:after="160" w:line="259" w:lineRule="auto"/>
        <w:rPr>
          <w:rFonts w:asciiTheme="majorHAnsi" w:hAnsiTheme="majorHAnsi" w:cstheme="majorHAnsi"/>
          <w:color w:val="auto"/>
        </w:rPr>
      </w:pPr>
      <w:r w:rsidRPr="00FF66FE">
        <w:rPr>
          <w:rFonts w:asciiTheme="majorHAnsi" w:hAnsiTheme="majorHAnsi" w:cstheme="majorHAnsi"/>
          <w:color w:val="auto"/>
        </w:rPr>
        <w:t xml:space="preserve">GARBIN, M.C.; CAVALCANTI, C.C.; LOYOLLA, W.; ARAÚJO, U.F. Prototipagem como estratégia de aprendizagem ativa em cursos de Graduação. </w:t>
      </w:r>
      <w:r w:rsidRPr="00FF66FE">
        <w:rPr>
          <w:rFonts w:asciiTheme="majorHAnsi" w:hAnsiTheme="majorHAnsi" w:cstheme="majorHAnsi"/>
          <w:b/>
          <w:color w:val="auto"/>
        </w:rPr>
        <w:t>Anais do 23</w:t>
      </w:r>
      <w:r w:rsidRPr="00FF66FE">
        <w:rPr>
          <w:rFonts w:asciiTheme="majorHAnsi" w:hAnsiTheme="majorHAnsi" w:cstheme="majorHAnsi"/>
          <w:b/>
        </w:rPr>
        <w:t>.</w:t>
      </w:r>
      <w:r w:rsidRPr="00FF66FE">
        <w:rPr>
          <w:rFonts w:asciiTheme="majorHAnsi" w:hAnsiTheme="majorHAnsi" w:cstheme="majorHAnsi"/>
          <w:b/>
          <w:vertAlign w:val="superscript"/>
        </w:rPr>
        <w:t>o</w:t>
      </w:r>
      <w:r w:rsidRPr="00FF66FE" w:rsidDel="00946C20">
        <w:rPr>
          <w:rFonts w:asciiTheme="majorHAnsi" w:hAnsiTheme="majorHAnsi" w:cstheme="majorHAnsi"/>
          <w:b/>
          <w:color w:val="auto"/>
        </w:rPr>
        <w:t xml:space="preserve"> </w:t>
      </w:r>
      <w:r w:rsidRPr="00FF66FE">
        <w:rPr>
          <w:rFonts w:asciiTheme="majorHAnsi" w:hAnsiTheme="majorHAnsi" w:cstheme="majorHAnsi"/>
          <w:b/>
          <w:color w:val="auto"/>
        </w:rPr>
        <w:t>CIAED, Foz do Iguaçu, PR, 2017.</w:t>
      </w:r>
      <w:r w:rsidRPr="00FF66FE">
        <w:rPr>
          <w:rFonts w:asciiTheme="majorHAnsi" w:hAnsiTheme="majorHAnsi" w:cstheme="majorHAnsi"/>
          <w:color w:val="auto"/>
        </w:rPr>
        <w:t xml:space="preserve"> Disponível em: http://www.abed.org.br/congresso2017/trabalhos/pdf/468.pdf. Acesso em: 25 nov. 2021.</w:t>
      </w:r>
    </w:p>
    <w:p w14:paraId="42790DC8" w14:textId="77777777" w:rsidR="00EE3346" w:rsidRPr="00FF66FE" w:rsidRDefault="00EE3346" w:rsidP="00516038">
      <w:pPr>
        <w:tabs>
          <w:tab w:val="clear" w:pos="1615"/>
        </w:tabs>
        <w:ind w:right="-1"/>
        <w:rPr>
          <w:rFonts w:asciiTheme="majorHAnsi" w:hAnsiTheme="majorHAnsi" w:cstheme="majorHAnsi"/>
          <w:sz w:val="24"/>
          <w:szCs w:val="24"/>
        </w:rPr>
      </w:pPr>
      <w:r w:rsidRPr="00FF66FE">
        <w:rPr>
          <w:rFonts w:asciiTheme="majorHAnsi" w:hAnsiTheme="majorHAnsi" w:cstheme="majorHAnsi"/>
          <w:sz w:val="24"/>
          <w:szCs w:val="24"/>
        </w:rPr>
        <w:t xml:space="preserve">GUMIERO, R.; ARAÚJO, K. Contribuições de Paulo Freire e Célestin Freinet ao processo de ensino-aprendizagem. </w:t>
      </w:r>
      <w:r w:rsidRPr="00FF66FE">
        <w:rPr>
          <w:rFonts w:asciiTheme="majorHAnsi" w:hAnsiTheme="majorHAnsi" w:cstheme="majorHAnsi"/>
          <w:b/>
          <w:sz w:val="24"/>
          <w:szCs w:val="24"/>
        </w:rPr>
        <w:t>Acta Scientiarum Educ., v. 41,</w:t>
      </w:r>
      <w:r w:rsidRPr="00FF66FE">
        <w:rPr>
          <w:rFonts w:asciiTheme="majorHAnsi" w:hAnsiTheme="majorHAnsi" w:cstheme="majorHAnsi"/>
          <w:sz w:val="24"/>
          <w:szCs w:val="24"/>
        </w:rPr>
        <w:t xml:space="preserve"> e41255, 2019. Doi: 10.4025/actascieduc.v41i1.41255</w:t>
      </w:r>
    </w:p>
    <w:p w14:paraId="39129889" w14:textId="77777777" w:rsidR="00EE3346" w:rsidRPr="00FF66FE" w:rsidRDefault="00EE3346" w:rsidP="00516038">
      <w:pPr>
        <w:tabs>
          <w:tab w:val="clear" w:pos="1615"/>
        </w:tabs>
        <w:ind w:right="-1"/>
        <w:rPr>
          <w:rFonts w:asciiTheme="majorHAnsi" w:hAnsiTheme="majorHAnsi" w:cstheme="majorHAnsi"/>
          <w:sz w:val="24"/>
          <w:szCs w:val="24"/>
        </w:rPr>
      </w:pPr>
      <w:r w:rsidRPr="00FF66FE">
        <w:rPr>
          <w:rFonts w:asciiTheme="majorHAnsi" w:hAnsiTheme="majorHAnsi" w:cstheme="majorHAnsi"/>
          <w:sz w:val="24"/>
          <w:szCs w:val="24"/>
        </w:rPr>
        <w:t xml:space="preserve">HORN. M.B.; STAKER, H. </w:t>
      </w:r>
      <w:r w:rsidRPr="00FF66FE">
        <w:rPr>
          <w:rFonts w:asciiTheme="majorHAnsi" w:hAnsiTheme="majorHAnsi" w:cstheme="majorHAnsi"/>
          <w:b/>
          <w:sz w:val="24"/>
          <w:szCs w:val="24"/>
        </w:rPr>
        <w:t>Blended – usando a inovação disruptive para aprimorar a educação</w:t>
      </w:r>
      <w:r w:rsidRPr="00FF66FE">
        <w:rPr>
          <w:rFonts w:asciiTheme="majorHAnsi" w:hAnsiTheme="majorHAnsi" w:cstheme="majorHAnsi"/>
          <w:sz w:val="24"/>
          <w:szCs w:val="24"/>
        </w:rPr>
        <w:t>. Porto Alegre: Penso, 2015.</w:t>
      </w:r>
    </w:p>
    <w:p w14:paraId="1972824F" w14:textId="77777777" w:rsidR="00EE3346" w:rsidRPr="00FF66FE" w:rsidRDefault="00EE3346" w:rsidP="00516038">
      <w:pPr>
        <w:tabs>
          <w:tab w:val="clear" w:pos="1615"/>
        </w:tabs>
        <w:ind w:right="-1"/>
        <w:rPr>
          <w:rFonts w:asciiTheme="majorHAnsi" w:hAnsiTheme="majorHAnsi" w:cstheme="majorHAnsi"/>
          <w:iCs/>
          <w:sz w:val="24"/>
          <w:szCs w:val="24"/>
        </w:rPr>
      </w:pPr>
      <w:r w:rsidRPr="00FF66FE">
        <w:rPr>
          <w:rFonts w:asciiTheme="majorHAnsi" w:hAnsiTheme="majorHAnsi" w:cstheme="majorHAnsi"/>
          <w:sz w:val="24"/>
          <w:szCs w:val="24"/>
        </w:rPr>
        <w:t xml:space="preserve">HOUSSAYE, J. </w:t>
      </w:r>
      <w:r w:rsidRPr="00FF66FE">
        <w:rPr>
          <w:rFonts w:asciiTheme="majorHAnsi" w:hAnsiTheme="majorHAnsi" w:cstheme="majorHAnsi"/>
          <w:b/>
          <w:sz w:val="24"/>
          <w:szCs w:val="24"/>
        </w:rPr>
        <w:t>Le triangle pédagogique</w:t>
      </w:r>
      <w:r w:rsidRPr="00FF66FE">
        <w:rPr>
          <w:rFonts w:asciiTheme="majorHAnsi" w:hAnsiTheme="majorHAnsi" w:cstheme="majorHAnsi"/>
          <w:sz w:val="24"/>
          <w:szCs w:val="24"/>
        </w:rPr>
        <w:t xml:space="preserve">. </w:t>
      </w:r>
      <w:r w:rsidRPr="00FF66FE">
        <w:rPr>
          <w:rFonts w:asciiTheme="majorHAnsi" w:hAnsiTheme="majorHAnsi" w:cstheme="majorHAnsi"/>
          <w:iCs/>
          <w:sz w:val="24"/>
          <w:szCs w:val="24"/>
        </w:rPr>
        <w:t>Paris: ESF, 2014.</w:t>
      </w:r>
    </w:p>
    <w:p w14:paraId="58FDCF90" w14:textId="77777777" w:rsidR="00EE3346" w:rsidRPr="00FF66FE" w:rsidRDefault="00EE3346" w:rsidP="00516038">
      <w:pPr>
        <w:tabs>
          <w:tab w:val="clear" w:pos="1615"/>
        </w:tabs>
        <w:ind w:right="-1"/>
        <w:rPr>
          <w:rFonts w:asciiTheme="majorHAnsi" w:hAnsiTheme="majorHAnsi" w:cstheme="majorHAnsi"/>
          <w:iCs/>
          <w:sz w:val="24"/>
          <w:szCs w:val="24"/>
          <w:lang w:val="en-GB"/>
        </w:rPr>
      </w:pPr>
      <w:r w:rsidRPr="00FF66FE">
        <w:rPr>
          <w:rFonts w:asciiTheme="majorHAnsi" w:hAnsiTheme="majorHAnsi" w:cstheme="majorHAnsi"/>
          <w:iCs/>
          <w:sz w:val="24"/>
          <w:szCs w:val="24"/>
          <w:lang w:val="en-GB"/>
        </w:rPr>
        <w:t>JEONG, A.; CHIU, M.M. Production blocking in brainstorming arguments in online group debates and asynchronous threaded discussions. Education Technology Reserarch Development, v. 68, p.3097-3114, 2020. https://doi.org/10.1007/s11423-020-09845-7.</w:t>
      </w:r>
    </w:p>
    <w:p w14:paraId="1C10B05D" w14:textId="77777777" w:rsidR="00EE3346" w:rsidRPr="00FF66FE" w:rsidRDefault="00EE3346" w:rsidP="00516038">
      <w:pPr>
        <w:tabs>
          <w:tab w:val="clear" w:pos="1615"/>
        </w:tabs>
        <w:ind w:right="-1"/>
        <w:rPr>
          <w:rFonts w:asciiTheme="majorHAnsi" w:hAnsiTheme="majorHAnsi" w:cstheme="majorHAnsi"/>
          <w:iCs/>
          <w:sz w:val="24"/>
          <w:szCs w:val="24"/>
        </w:rPr>
      </w:pPr>
      <w:r w:rsidRPr="00FF66FE">
        <w:rPr>
          <w:rFonts w:asciiTheme="majorHAnsi" w:hAnsiTheme="majorHAnsi" w:cstheme="majorHAnsi"/>
          <w:iCs/>
          <w:sz w:val="24"/>
          <w:szCs w:val="24"/>
        </w:rPr>
        <w:t xml:space="preserve">KRUG, R.R.; VIEIRA, M.S.M.; MACIEL, M.V.A.; ERDMANN, T.R.; VIEIRA, F.C.F.; KOCH, M.C.; GROSSEMAN, S. O “Bê-Á-Bá” da Aprendizagem Baseada em Equipe. </w:t>
      </w:r>
      <w:r w:rsidRPr="00FF66FE">
        <w:rPr>
          <w:rFonts w:asciiTheme="majorHAnsi" w:hAnsiTheme="majorHAnsi" w:cstheme="majorHAnsi"/>
          <w:b/>
          <w:iCs/>
          <w:sz w:val="24"/>
          <w:szCs w:val="24"/>
        </w:rPr>
        <w:t>Revista Brasileira de Educação Médica, v. 40, n. 4</w:t>
      </w:r>
      <w:r w:rsidRPr="00FF66FE">
        <w:rPr>
          <w:rFonts w:asciiTheme="majorHAnsi" w:hAnsiTheme="majorHAnsi" w:cstheme="majorHAnsi"/>
          <w:iCs/>
          <w:sz w:val="24"/>
          <w:szCs w:val="24"/>
        </w:rPr>
        <w:t>, p. 602-610, 2016.</w:t>
      </w:r>
    </w:p>
    <w:p w14:paraId="474AAC96" w14:textId="77777777" w:rsidR="00EE3346" w:rsidRPr="00FF66FE" w:rsidRDefault="00EE3346" w:rsidP="00516038">
      <w:pPr>
        <w:tabs>
          <w:tab w:val="clear" w:pos="1615"/>
        </w:tabs>
        <w:ind w:right="-1"/>
        <w:rPr>
          <w:rFonts w:asciiTheme="majorHAnsi" w:hAnsiTheme="majorHAnsi" w:cstheme="majorHAnsi"/>
          <w:iCs/>
          <w:sz w:val="24"/>
          <w:szCs w:val="24"/>
          <w:lang w:val="en-GB"/>
        </w:rPr>
      </w:pPr>
      <w:r w:rsidRPr="00FF66FE">
        <w:rPr>
          <w:rFonts w:asciiTheme="majorHAnsi" w:hAnsiTheme="majorHAnsi" w:cstheme="majorHAnsi"/>
          <w:iCs/>
          <w:sz w:val="24"/>
          <w:szCs w:val="24"/>
        </w:rPr>
        <w:t xml:space="preserve">LOPES, A.P.C.; REIS, F.S. Vamos viajar? Uma abordagem da aprendizagem baseada em problemas no cálculo diferencial e integral com alunos de engenharia. </w:t>
      </w:r>
      <w:r w:rsidRPr="00FF66FE">
        <w:rPr>
          <w:rFonts w:asciiTheme="majorHAnsi" w:hAnsiTheme="majorHAnsi" w:cstheme="majorHAnsi"/>
          <w:b/>
          <w:iCs/>
          <w:sz w:val="24"/>
          <w:szCs w:val="24"/>
          <w:lang w:val="en-GB"/>
        </w:rPr>
        <w:t>Revista de Educação Matemática, v. 16, n. 23</w:t>
      </w:r>
      <w:r w:rsidRPr="00FF66FE">
        <w:rPr>
          <w:rFonts w:asciiTheme="majorHAnsi" w:hAnsiTheme="majorHAnsi" w:cstheme="majorHAnsi"/>
          <w:iCs/>
          <w:sz w:val="24"/>
          <w:szCs w:val="24"/>
          <w:lang w:val="en-GB"/>
        </w:rPr>
        <w:t>, set./dez. 2019.</w:t>
      </w:r>
    </w:p>
    <w:p w14:paraId="16CBD74D" w14:textId="77777777" w:rsidR="00EE3346" w:rsidRPr="00FF66FE" w:rsidRDefault="00EE3346" w:rsidP="00516038">
      <w:pPr>
        <w:tabs>
          <w:tab w:val="clear" w:pos="1615"/>
        </w:tabs>
        <w:rPr>
          <w:rFonts w:asciiTheme="majorHAnsi" w:hAnsiTheme="majorHAnsi" w:cstheme="majorHAnsi"/>
          <w:sz w:val="24"/>
          <w:szCs w:val="24"/>
          <w:lang w:val="en-GB"/>
        </w:rPr>
      </w:pPr>
      <w:r w:rsidRPr="00FF66FE">
        <w:rPr>
          <w:rFonts w:asciiTheme="majorHAnsi" w:hAnsiTheme="majorHAnsi" w:cstheme="majorHAnsi"/>
          <w:sz w:val="24"/>
          <w:szCs w:val="24"/>
          <w:lang w:val="en-GB"/>
        </w:rPr>
        <w:t xml:space="preserve">MALONEY, D.H. Solving problems that count. </w:t>
      </w:r>
      <w:r w:rsidRPr="00FF66FE">
        <w:rPr>
          <w:rFonts w:asciiTheme="majorHAnsi" w:hAnsiTheme="majorHAnsi" w:cstheme="majorHAnsi"/>
          <w:b/>
          <w:sz w:val="24"/>
          <w:szCs w:val="24"/>
          <w:lang w:val="en-GB"/>
        </w:rPr>
        <w:t>Educational Leadership, Alexandria, v. 68, n. 1,</w:t>
      </w:r>
      <w:r w:rsidRPr="00FF66FE">
        <w:rPr>
          <w:rFonts w:asciiTheme="majorHAnsi" w:hAnsiTheme="majorHAnsi" w:cstheme="majorHAnsi"/>
          <w:sz w:val="24"/>
          <w:szCs w:val="24"/>
          <w:lang w:val="en-GB"/>
        </w:rPr>
        <w:t xml:space="preserve"> p. 55-58, 2010.</w:t>
      </w:r>
    </w:p>
    <w:p w14:paraId="250F7287" w14:textId="77777777" w:rsidR="00EE3346" w:rsidRPr="00FF66FE" w:rsidRDefault="00EE3346" w:rsidP="00516038">
      <w:pPr>
        <w:tabs>
          <w:tab w:val="clear" w:pos="1615"/>
        </w:tabs>
        <w:ind w:right="-1"/>
        <w:rPr>
          <w:rFonts w:asciiTheme="majorHAnsi" w:hAnsiTheme="majorHAnsi" w:cstheme="majorHAnsi"/>
          <w:sz w:val="24"/>
          <w:szCs w:val="24"/>
        </w:rPr>
      </w:pPr>
      <w:r w:rsidRPr="00FF66FE">
        <w:rPr>
          <w:rFonts w:asciiTheme="majorHAnsi" w:hAnsiTheme="majorHAnsi" w:cstheme="majorHAnsi"/>
          <w:sz w:val="24"/>
          <w:szCs w:val="24"/>
        </w:rPr>
        <w:t xml:space="preserve">MARQUES, A.V.C.; MIRANDA, G.J.; MAMEDE, S.P.N.  Storytelling: aprendizado de longo prazo. </w:t>
      </w:r>
      <w:r w:rsidRPr="00FF66FE">
        <w:rPr>
          <w:rFonts w:asciiTheme="majorHAnsi" w:hAnsiTheme="majorHAnsi" w:cstheme="majorHAnsi"/>
          <w:b/>
          <w:sz w:val="24"/>
          <w:szCs w:val="24"/>
        </w:rPr>
        <w:t>In: LEAL, E.A.; MIRANDA, G.J.; CASA NOVA, S.P.C. Revolucionando a sala de aula: como envolver o estudante aplicando as técnicas de metodologias ativas de aprendizagem</w:t>
      </w:r>
      <w:r w:rsidRPr="00FF66FE">
        <w:rPr>
          <w:rFonts w:asciiTheme="majorHAnsi" w:hAnsiTheme="majorHAnsi" w:cstheme="majorHAnsi"/>
          <w:sz w:val="24"/>
          <w:szCs w:val="24"/>
        </w:rPr>
        <w:t>. Cap. 13. São Paulo: Atlas, 2017.</w:t>
      </w:r>
    </w:p>
    <w:p w14:paraId="5CA95871" w14:textId="77777777" w:rsidR="00EE3346" w:rsidRPr="00FF66FE" w:rsidRDefault="00EE3346" w:rsidP="00516038">
      <w:pPr>
        <w:tabs>
          <w:tab w:val="clear" w:pos="1615"/>
        </w:tabs>
        <w:rPr>
          <w:rFonts w:asciiTheme="majorHAnsi" w:hAnsiTheme="majorHAnsi" w:cstheme="majorHAnsi"/>
          <w:sz w:val="24"/>
          <w:szCs w:val="24"/>
          <w:lang w:val="en-GB"/>
        </w:rPr>
      </w:pPr>
      <w:r w:rsidRPr="00FF66FE">
        <w:rPr>
          <w:rFonts w:asciiTheme="majorHAnsi" w:hAnsiTheme="majorHAnsi" w:cstheme="majorHAnsi"/>
          <w:sz w:val="24"/>
          <w:szCs w:val="24"/>
        </w:rPr>
        <w:t xml:space="preserve">MATAR, J. </w:t>
      </w:r>
      <w:r w:rsidRPr="00FF66FE">
        <w:rPr>
          <w:rFonts w:asciiTheme="majorHAnsi" w:hAnsiTheme="majorHAnsi" w:cstheme="majorHAnsi"/>
          <w:b/>
          <w:sz w:val="24"/>
          <w:szCs w:val="24"/>
        </w:rPr>
        <w:t>Games em educação: como os nativos digitais aprendem</w:t>
      </w:r>
      <w:r w:rsidRPr="00FF66FE">
        <w:rPr>
          <w:rFonts w:asciiTheme="majorHAnsi" w:hAnsiTheme="majorHAnsi" w:cstheme="majorHAnsi"/>
          <w:sz w:val="24"/>
          <w:szCs w:val="24"/>
        </w:rPr>
        <w:t xml:space="preserve">. </w:t>
      </w:r>
      <w:r w:rsidRPr="00FF66FE">
        <w:rPr>
          <w:rFonts w:asciiTheme="majorHAnsi" w:hAnsiTheme="majorHAnsi" w:cstheme="majorHAnsi"/>
          <w:sz w:val="24"/>
          <w:szCs w:val="24"/>
          <w:lang w:val="en-GB"/>
        </w:rPr>
        <w:t>São Paulo: Pearson Prentice Hall, 2010.</w:t>
      </w:r>
    </w:p>
    <w:p w14:paraId="67B2D81E" w14:textId="77777777" w:rsidR="00EE3346" w:rsidRPr="00FF66FE" w:rsidRDefault="00EE3346" w:rsidP="00516038">
      <w:pPr>
        <w:tabs>
          <w:tab w:val="clear" w:pos="1615"/>
        </w:tabs>
        <w:jc w:val="both"/>
        <w:rPr>
          <w:rFonts w:asciiTheme="majorHAnsi" w:hAnsiTheme="majorHAnsi" w:cstheme="majorHAnsi"/>
          <w:sz w:val="24"/>
          <w:szCs w:val="24"/>
        </w:rPr>
      </w:pPr>
      <w:r w:rsidRPr="00FF66FE">
        <w:rPr>
          <w:rFonts w:asciiTheme="majorHAnsi" w:hAnsiTheme="majorHAnsi" w:cstheme="majorHAnsi"/>
          <w:sz w:val="24"/>
          <w:szCs w:val="24"/>
          <w:lang w:val="en-GB"/>
        </w:rPr>
        <w:t xml:space="preserve">MAZUR, E.; SOMERS, M.D. </w:t>
      </w:r>
      <w:r w:rsidRPr="00FF66FE">
        <w:rPr>
          <w:rFonts w:asciiTheme="majorHAnsi" w:hAnsiTheme="majorHAnsi" w:cstheme="majorHAnsi"/>
          <w:b/>
          <w:i/>
          <w:iCs/>
          <w:sz w:val="24"/>
          <w:szCs w:val="24"/>
          <w:lang w:val="en-GB"/>
        </w:rPr>
        <w:t>Peer instruction: A user’s manual.</w:t>
      </w:r>
      <w:r w:rsidRPr="00FF66FE">
        <w:rPr>
          <w:rFonts w:asciiTheme="majorHAnsi" w:hAnsiTheme="majorHAnsi" w:cstheme="majorHAnsi"/>
          <w:i/>
          <w:iCs/>
          <w:sz w:val="24"/>
          <w:szCs w:val="24"/>
          <w:lang w:val="en-GB"/>
        </w:rPr>
        <w:t xml:space="preserve"> </w:t>
      </w:r>
      <w:r w:rsidRPr="00FF66FE">
        <w:rPr>
          <w:rFonts w:asciiTheme="majorHAnsi" w:hAnsiTheme="majorHAnsi" w:cstheme="majorHAnsi"/>
          <w:iCs/>
          <w:sz w:val="24"/>
          <w:szCs w:val="24"/>
        </w:rPr>
        <w:t xml:space="preserve">New Jersey: </w:t>
      </w:r>
      <w:r w:rsidRPr="00FF66FE">
        <w:rPr>
          <w:rFonts w:asciiTheme="majorHAnsi" w:hAnsiTheme="majorHAnsi" w:cstheme="majorHAnsi"/>
          <w:sz w:val="24"/>
          <w:szCs w:val="24"/>
        </w:rPr>
        <w:t>Prentice Hall, 1997.</w:t>
      </w:r>
    </w:p>
    <w:p w14:paraId="5319D468" w14:textId="77777777" w:rsidR="00EE3346" w:rsidRPr="00FF66FE" w:rsidRDefault="00EE3346" w:rsidP="00516038">
      <w:pPr>
        <w:tabs>
          <w:tab w:val="clear" w:pos="1615"/>
        </w:tabs>
        <w:rPr>
          <w:rFonts w:asciiTheme="majorHAnsi" w:hAnsiTheme="majorHAnsi" w:cstheme="majorHAnsi"/>
          <w:sz w:val="24"/>
          <w:szCs w:val="24"/>
        </w:rPr>
      </w:pPr>
      <w:r w:rsidRPr="00FF66FE">
        <w:rPr>
          <w:rFonts w:asciiTheme="majorHAnsi" w:hAnsiTheme="majorHAnsi" w:cstheme="majorHAnsi"/>
          <w:sz w:val="24"/>
          <w:szCs w:val="24"/>
        </w:rPr>
        <w:t xml:space="preserve">MEC – Ministério da Educação. 2017. </w:t>
      </w:r>
      <w:r w:rsidRPr="00FF66FE">
        <w:rPr>
          <w:rFonts w:asciiTheme="majorHAnsi" w:hAnsiTheme="majorHAnsi" w:cstheme="majorHAnsi"/>
          <w:b/>
          <w:sz w:val="24"/>
          <w:szCs w:val="24"/>
        </w:rPr>
        <w:t>BNCC – Base Nacional Comum Curricular</w:t>
      </w:r>
      <w:r w:rsidRPr="00FF66FE">
        <w:rPr>
          <w:rFonts w:asciiTheme="majorHAnsi" w:hAnsiTheme="majorHAnsi" w:cstheme="majorHAnsi"/>
          <w:sz w:val="24"/>
          <w:szCs w:val="24"/>
        </w:rPr>
        <w:t>. Disponível em: http://portal.mec.gov.br/conselho-nacional-de-educacao/base-nacional-comum-curricular-bncc. Acesso em: 15 dez. 2021.</w:t>
      </w:r>
    </w:p>
    <w:p w14:paraId="20F68DFF" w14:textId="77777777" w:rsidR="00EE3346" w:rsidRPr="00FF66FE" w:rsidRDefault="00EE3346" w:rsidP="00516038">
      <w:pPr>
        <w:tabs>
          <w:tab w:val="clear" w:pos="1615"/>
        </w:tabs>
        <w:rPr>
          <w:rFonts w:asciiTheme="majorHAnsi" w:hAnsiTheme="majorHAnsi" w:cstheme="majorHAnsi"/>
          <w:sz w:val="24"/>
          <w:szCs w:val="24"/>
        </w:rPr>
      </w:pPr>
      <w:r w:rsidRPr="00FF66FE">
        <w:rPr>
          <w:rFonts w:asciiTheme="majorHAnsi" w:hAnsiTheme="majorHAnsi" w:cstheme="majorHAnsi"/>
          <w:sz w:val="24"/>
          <w:szCs w:val="24"/>
        </w:rPr>
        <w:t xml:space="preserve">MEC - Ministério da Educação e Cultura. </w:t>
      </w:r>
      <w:r w:rsidRPr="00FF66FE">
        <w:rPr>
          <w:rFonts w:asciiTheme="majorHAnsi" w:hAnsiTheme="majorHAnsi" w:cstheme="majorHAnsi"/>
          <w:b/>
          <w:sz w:val="24"/>
          <w:szCs w:val="24"/>
        </w:rPr>
        <w:t>Portaria n. 2.117, de 6 de dezembro de 2019.</w:t>
      </w:r>
      <w:r w:rsidRPr="00FF66FE">
        <w:rPr>
          <w:rFonts w:asciiTheme="majorHAnsi" w:hAnsiTheme="majorHAnsi" w:cstheme="majorHAnsi"/>
          <w:sz w:val="24"/>
          <w:szCs w:val="24"/>
        </w:rPr>
        <w:t xml:space="preserve"> </w:t>
      </w:r>
      <w:r w:rsidRPr="00FF66FE">
        <w:rPr>
          <w:rFonts w:asciiTheme="majorHAnsi" w:hAnsiTheme="majorHAnsi" w:cstheme="majorHAnsi"/>
          <w:sz w:val="24"/>
          <w:szCs w:val="24"/>
          <w:shd w:val="clear" w:color="auto" w:fill="FFFFFF"/>
        </w:rPr>
        <w:t xml:space="preserve">Dispõe sobre a oferta de carga horária na modalidade de Ensino a Distância - EaD em cursos de graduação presenciais ofertados por Instituições de Educação Superior - IES pertencentes ao Sistema Federal de Ensino. Disponível em: </w:t>
      </w:r>
      <w:r w:rsidRPr="00FF66FE">
        <w:rPr>
          <w:rFonts w:asciiTheme="majorHAnsi" w:hAnsiTheme="majorHAnsi" w:cstheme="majorHAnsi"/>
          <w:sz w:val="24"/>
          <w:szCs w:val="24"/>
        </w:rPr>
        <w:t>https://www.in.gov.br/en/web/dou/-/portaria-n-2.117-de-6-de-dezembro-de-2019-232670913. Acesso em: 27 dez. 2021.</w:t>
      </w:r>
    </w:p>
    <w:p w14:paraId="2DB23EEA" w14:textId="77777777" w:rsidR="00EE3346" w:rsidRPr="00FF66FE" w:rsidRDefault="00EE3346" w:rsidP="00516038">
      <w:pPr>
        <w:tabs>
          <w:tab w:val="clear" w:pos="1615"/>
        </w:tabs>
        <w:jc w:val="both"/>
        <w:rPr>
          <w:rFonts w:asciiTheme="majorHAnsi" w:hAnsiTheme="majorHAnsi" w:cstheme="majorHAnsi"/>
          <w:sz w:val="24"/>
          <w:szCs w:val="24"/>
        </w:rPr>
      </w:pPr>
      <w:r w:rsidRPr="00FF66FE">
        <w:rPr>
          <w:rFonts w:asciiTheme="majorHAnsi" w:hAnsiTheme="majorHAnsi" w:cstheme="majorHAnsi"/>
          <w:sz w:val="24"/>
          <w:szCs w:val="24"/>
        </w:rPr>
        <w:t xml:space="preserve">MELLO, M.L.S.; CORTELAZZO, A.L. Uma proposta de dramatização como complemento didático para o estudo sobre cromatina e cromossomos. </w:t>
      </w:r>
      <w:r w:rsidRPr="00FF66FE">
        <w:rPr>
          <w:rFonts w:asciiTheme="majorHAnsi" w:hAnsiTheme="majorHAnsi" w:cstheme="majorHAnsi"/>
          <w:b/>
          <w:sz w:val="24"/>
          <w:szCs w:val="24"/>
        </w:rPr>
        <w:t>Anais da 25.</w:t>
      </w:r>
      <w:r w:rsidRPr="00FF66FE">
        <w:rPr>
          <w:rFonts w:asciiTheme="majorHAnsi" w:hAnsiTheme="majorHAnsi" w:cstheme="majorHAnsi"/>
          <w:b/>
          <w:sz w:val="24"/>
          <w:szCs w:val="24"/>
          <w:vertAlign w:val="superscript"/>
        </w:rPr>
        <w:t>a</w:t>
      </w:r>
      <w:r w:rsidRPr="00FF66FE">
        <w:rPr>
          <w:rFonts w:asciiTheme="majorHAnsi" w:hAnsiTheme="majorHAnsi" w:cstheme="majorHAnsi"/>
          <w:b/>
          <w:sz w:val="24"/>
          <w:szCs w:val="24"/>
        </w:rPr>
        <w:t xml:space="preserve"> RBA: Saberes e práticas antropológicas: desafios para o século XXI. v. 1-2</w:t>
      </w:r>
      <w:r w:rsidRPr="00FF66FE">
        <w:rPr>
          <w:rFonts w:asciiTheme="majorHAnsi" w:hAnsiTheme="majorHAnsi" w:cstheme="majorHAnsi"/>
          <w:sz w:val="24"/>
          <w:szCs w:val="24"/>
        </w:rPr>
        <w:t>, p. 83-86, 2006.</w:t>
      </w:r>
    </w:p>
    <w:p w14:paraId="2A24513B" w14:textId="77777777" w:rsidR="00EE3346" w:rsidRPr="00FF66FE" w:rsidRDefault="00EE3346" w:rsidP="00516038">
      <w:pPr>
        <w:tabs>
          <w:tab w:val="clear" w:pos="1615"/>
        </w:tabs>
        <w:ind w:right="-1"/>
        <w:rPr>
          <w:rFonts w:asciiTheme="majorHAnsi" w:hAnsiTheme="majorHAnsi" w:cstheme="majorHAnsi"/>
          <w:sz w:val="24"/>
          <w:szCs w:val="24"/>
        </w:rPr>
      </w:pPr>
      <w:r w:rsidRPr="00FF66FE">
        <w:rPr>
          <w:rFonts w:asciiTheme="majorHAnsi" w:hAnsiTheme="majorHAnsi" w:cstheme="majorHAnsi"/>
          <w:sz w:val="24"/>
          <w:szCs w:val="24"/>
        </w:rPr>
        <w:t xml:space="preserve">MORAN, J. Metodologias ativas para uma aprendizagem mais profunda. </w:t>
      </w:r>
      <w:r w:rsidRPr="00FF66FE">
        <w:rPr>
          <w:rFonts w:asciiTheme="majorHAnsi" w:hAnsiTheme="majorHAnsi" w:cstheme="majorHAnsi"/>
          <w:b/>
          <w:sz w:val="24"/>
          <w:szCs w:val="24"/>
        </w:rPr>
        <w:t>In: BACICH, L.; MORAN,J.(org.) Metodologias ativas para uma educação inovadora – uma abordagem teórico-prática.</w:t>
      </w:r>
      <w:r w:rsidRPr="00FF66FE">
        <w:rPr>
          <w:rFonts w:asciiTheme="majorHAnsi" w:hAnsiTheme="majorHAnsi" w:cstheme="majorHAnsi"/>
          <w:sz w:val="24"/>
          <w:szCs w:val="24"/>
        </w:rPr>
        <w:t xml:space="preserve"> Parte I, p. 1-25. Porto Alegre, RS: Penso, 2018.</w:t>
      </w:r>
    </w:p>
    <w:p w14:paraId="4E4CFD14" w14:textId="77777777" w:rsidR="00EE3346" w:rsidRPr="00FF66FE" w:rsidRDefault="00EE3346" w:rsidP="00516038">
      <w:pPr>
        <w:pStyle w:val="Default"/>
        <w:spacing w:after="160"/>
        <w:ind w:right="-1"/>
        <w:rPr>
          <w:rFonts w:asciiTheme="majorHAnsi" w:hAnsiTheme="majorHAnsi" w:cstheme="majorHAnsi"/>
          <w:color w:val="auto"/>
        </w:rPr>
      </w:pPr>
      <w:r w:rsidRPr="00FF66FE">
        <w:rPr>
          <w:rFonts w:asciiTheme="majorHAnsi" w:hAnsiTheme="majorHAnsi" w:cstheme="majorHAnsi"/>
          <w:color w:val="auto"/>
        </w:rPr>
        <w:t xml:space="preserve">NÓVOA, A. 1998. O lugar dos professores: terceiro excluído? </w:t>
      </w:r>
      <w:r w:rsidRPr="00FF66FE">
        <w:rPr>
          <w:rFonts w:asciiTheme="majorHAnsi" w:hAnsiTheme="majorHAnsi" w:cstheme="majorHAnsi"/>
          <w:b/>
          <w:color w:val="auto"/>
        </w:rPr>
        <w:t>Revista da Associação de Professores de Matemática, n.50,</w:t>
      </w:r>
      <w:r w:rsidRPr="00FF66FE">
        <w:rPr>
          <w:rFonts w:asciiTheme="majorHAnsi" w:hAnsiTheme="majorHAnsi" w:cstheme="majorHAnsi"/>
          <w:color w:val="auto"/>
        </w:rPr>
        <w:t xml:space="preserve"> p. 1-9, nov/dez 198.</w:t>
      </w:r>
    </w:p>
    <w:p w14:paraId="7A95CE64" w14:textId="77777777" w:rsidR="00EE3346" w:rsidRPr="00FF66FE" w:rsidRDefault="00EE3346" w:rsidP="00516038">
      <w:pPr>
        <w:pStyle w:val="Default"/>
        <w:spacing w:after="160"/>
        <w:ind w:right="-1"/>
        <w:rPr>
          <w:rFonts w:asciiTheme="majorHAnsi" w:hAnsiTheme="majorHAnsi" w:cstheme="majorHAnsi"/>
          <w:color w:val="auto"/>
        </w:rPr>
      </w:pPr>
      <w:r w:rsidRPr="00FF66FE">
        <w:rPr>
          <w:rFonts w:asciiTheme="majorHAnsi" w:hAnsiTheme="majorHAnsi" w:cstheme="majorHAnsi"/>
          <w:color w:val="auto"/>
        </w:rPr>
        <w:t xml:space="preserve">PASQUALETTO, T.I.; VEIT, E.A.; ARAUJO, I.S. Aprendizagem baseada em projetos no ensino de física: uma revisão da literatura. </w:t>
      </w:r>
      <w:r w:rsidRPr="00FF66FE">
        <w:rPr>
          <w:rFonts w:asciiTheme="majorHAnsi" w:hAnsiTheme="majorHAnsi" w:cstheme="majorHAnsi"/>
          <w:b/>
          <w:color w:val="auto"/>
        </w:rPr>
        <w:t>Revista brasileira de Pesquisa em Educação em Ciências, v. 17, n. 2,</w:t>
      </w:r>
      <w:r w:rsidRPr="00FF66FE">
        <w:rPr>
          <w:rFonts w:asciiTheme="majorHAnsi" w:hAnsiTheme="majorHAnsi" w:cstheme="majorHAnsi"/>
          <w:color w:val="auto"/>
        </w:rPr>
        <w:t xml:space="preserve"> p. 551-577, 2017.</w:t>
      </w:r>
    </w:p>
    <w:p w14:paraId="601BC245" w14:textId="77777777" w:rsidR="00EE3346" w:rsidRPr="00FF66FE" w:rsidRDefault="00EE3346" w:rsidP="00516038">
      <w:pPr>
        <w:pStyle w:val="Default"/>
        <w:spacing w:after="160"/>
        <w:ind w:right="-1"/>
        <w:rPr>
          <w:rFonts w:asciiTheme="majorHAnsi" w:hAnsiTheme="majorHAnsi" w:cstheme="majorHAnsi"/>
          <w:color w:val="auto"/>
          <w:lang w:val="en-GB"/>
        </w:rPr>
      </w:pPr>
      <w:r w:rsidRPr="00FF66FE">
        <w:rPr>
          <w:rFonts w:asciiTheme="majorHAnsi" w:hAnsiTheme="majorHAnsi" w:cstheme="majorHAnsi"/>
          <w:color w:val="auto"/>
        </w:rPr>
        <w:t xml:space="preserve">PAULA, E.; COSTA C.; MACEDO, D.V. Drama. </w:t>
      </w:r>
      <w:r w:rsidRPr="00FF66FE">
        <w:rPr>
          <w:rFonts w:asciiTheme="majorHAnsi" w:hAnsiTheme="majorHAnsi" w:cstheme="majorHAnsi"/>
          <w:color w:val="auto"/>
          <w:lang w:val="en-GB"/>
        </w:rPr>
        <w:t xml:space="preserve">A novel evaluation tool. </w:t>
      </w:r>
      <w:r w:rsidRPr="00FF66FE">
        <w:rPr>
          <w:rFonts w:asciiTheme="majorHAnsi" w:hAnsiTheme="majorHAnsi" w:cstheme="majorHAnsi"/>
          <w:b/>
          <w:color w:val="auto"/>
          <w:lang w:val="en-GB"/>
        </w:rPr>
        <w:t>Biochemical Education, v. 23, n. 3,</w:t>
      </w:r>
      <w:r w:rsidRPr="00FF66FE">
        <w:rPr>
          <w:rFonts w:asciiTheme="majorHAnsi" w:hAnsiTheme="majorHAnsi" w:cstheme="majorHAnsi"/>
          <w:color w:val="auto"/>
          <w:lang w:val="en-GB"/>
        </w:rPr>
        <w:t xml:space="preserve"> 133-135, 1995.</w:t>
      </w:r>
    </w:p>
    <w:p w14:paraId="23F8B94B" w14:textId="77777777" w:rsidR="00EE3346" w:rsidRPr="00FF66FE" w:rsidRDefault="00EE3346" w:rsidP="00516038">
      <w:pPr>
        <w:pStyle w:val="Default"/>
        <w:spacing w:after="160"/>
        <w:ind w:right="-1"/>
        <w:rPr>
          <w:rFonts w:asciiTheme="majorHAnsi" w:hAnsiTheme="majorHAnsi" w:cstheme="majorHAnsi"/>
          <w:color w:val="auto"/>
        </w:rPr>
      </w:pPr>
      <w:r w:rsidRPr="00FF66FE">
        <w:rPr>
          <w:rFonts w:asciiTheme="majorHAnsi" w:hAnsiTheme="majorHAnsi" w:cstheme="majorHAnsi"/>
          <w:color w:val="auto"/>
        </w:rPr>
        <w:t xml:space="preserve">PAULINO, D.B.; ROSA, G.F.C; ALVES, G.H.F.; BARROS, C.V.; OLIVEIRA, B.C.; RAIMONDI, G.A. Role-Play como estratégia pedagógica para problematizar as linhas de cuidado integral em saúde aos adolescentes e jovens. </w:t>
      </w:r>
      <w:r w:rsidRPr="00FF66FE">
        <w:rPr>
          <w:rFonts w:asciiTheme="majorHAnsi" w:hAnsiTheme="majorHAnsi" w:cstheme="majorHAnsi"/>
          <w:b/>
          <w:color w:val="auto"/>
        </w:rPr>
        <w:t xml:space="preserve">Revista brasileira de educação médica, v. 43, n. 1, </w:t>
      </w:r>
      <w:r w:rsidRPr="00FF66FE">
        <w:rPr>
          <w:rFonts w:asciiTheme="majorHAnsi" w:hAnsiTheme="majorHAnsi" w:cstheme="majorHAnsi"/>
          <w:color w:val="auto"/>
        </w:rPr>
        <w:t>p. 662-671, 2019.</w:t>
      </w:r>
    </w:p>
    <w:p w14:paraId="17E93F20" w14:textId="77777777" w:rsidR="00EE3346" w:rsidRPr="00FF66FE" w:rsidRDefault="00EE3346" w:rsidP="00516038">
      <w:pPr>
        <w:tabs>
          <w:tab w:val="clear" w:pos="1615"/>
        </w:tabs>
        <w:jc w:val="both"/>
        <w:rPr>
          <w:rFonts w:asciiTheme="majorHAnsi" w:hAnsiTheme="majorHAnsi" w:cstheme="majorHAnsi"/>
          <w:sz w:val="24"/>
          <w:szCs w:val="24"/>
        </w:rPr>
      </w:pPr>
      <w:r w:rsidRPr="00FF66FE">
        <w:rPr>
          <w:rFonts w:asciiTheme="majorHAnsi" w:hAnsiTheme="majorHAnsi" w:cstheme="majorHAnsi"/>
          <w:sz w:val="24"/>
          <w:szCs w:val="24"/>
        </w:rPr>
        <w:t xml:space="preserve">PEREIRA, C.C.S.B.; AFONSO, T.L. Percepção discente sobre aprendizagem baseada em equipes (TBL) e instrução em pares (PI). </w:t>
      </w:r>
      <w:r w:rsidRPr="00FF66FE">
        <w:rPr>
          <w:rFonts w:asciiTheme="majorHAnsi" w:hAnsiTheme="majorHAnsi" w:cstheme="majorHAnsi"/>
          <w:b/>
          <w:sz w:val="24"/>
          <w:szCs w:val="24"/>
        </w:rPr>
        <w:t>Brazilian Journal of Development, Curitiba, v. 6, n. 1</w:t>
      </w:r>
      <w:r w:rsidRPr="00FF66FE">
        <w:rPr>
          <w:rFonts w:asciiTheme="majorHAnsi" w:hAnsiTheme="majorHAnsi" w:cstheme="majorHAnsi"/>
          <w:sz w:val="24"/>
          <w:szCs w:val="24"/>
        </w:rPr>
        <w:t xml:space="preserve">, p. 4050-4056, jan. 2020. </w:t>
      </w:r>
    </w:p>
    <w:p w14:paraId="6A277009" w14:textId="77777777" w:rsidR="00EE3346" w:rsidRPr="00FF66FE" w:rsidRDefault="00EE3346" w:rsidP="00516038">
      <w:pPr>
        <w:pStyle w:val="Default"/>
        <w:spacing w:after="160"/>
        <w:ind w:right="-1"/>
        <w:rPr>
          <w:rFonts w:asciiTheme="majorHAnsi" w:hAnsiTheme="majorHAnsi" w:cstheme="majorHAnsi"/>
          <w:color w:val="auto"/>
        </w:rPr>
      </w:pPr>
      <w:r w:rsidRPr="00FF66FE">
        <w:rPr>
          <w:rFonts w:asciiTheme="majorHAnsi" w:hAnsiTheme="majorHAnsi" w:cstheme="majorHAnsi"/>
          <w:color w:val="auto"/>
        </w:rPr>
        <w:t xml:space="preserve">PEREIRA, S.; COUTO, E.M.; CUCHINIERK, D.K.; NISHIMAKI, C.A.G.; OLIVEIRA, G.A.P. O Sarau como instrumento de ensino/aprendizagem: relato de experiência na formação inicial de professores. </w:t>
      </w:r>
      <w:r w:rsidRPr="00FF66FE">
        <w:rPr>
          <w:rFonts w:asciiTheme="majorHAnsi" w:hAnsiTheme="majorHAnsi" w:cstheme="majorHAnsi"/>
          <w:b/>
          <w:color w:val="auto"/>
        </w:rPr>
        <w:t>Educere: XIII Congresso Nacional de Educação.</w:t>
      </w:r>
      <w:r w:rsidRPr="00FF66FE">
        <w:rPr>
          <w:rFonts w:asciiTheme="majorHAnsi" w:hAnsiTheme="majorHAnsi" w:cstheme="majorHAnsi"/>
          <w:color w:val="auto"/>
        </w:rPr>
        <w:t xml:space="preserve"> Disponível em:  https://educere.bruc.com.br/arquivo/pdf2017/24945_12051.pdf. Acesso em: 20 dez. 2021. </w:t>
      </w:r>
    </w:p>
    <w:p w14:paraId="0601F911" w14:textId="77777777" w:rsidR="00EE3346" w:rsidRPr="00FF66FE" w:rsidRDefault="00EE3346" w:rsidP="00516038">
      <w:pPr>
        <w:tabs>
          <w:tab w:val="clear" w:pos="1615"/>
        </w:tabs>
        <w:ind w:right="-1"/>
        <w:rPr>
          <w:rFonts w:asciiTheme="majorHAnsi" w:hAnsiTheme="majorHAnsi" w:cstheme="majorHAnsi"/>
          <w:sz w:val="24"/>
          <w:szCs w:val="24"/>
          <w:shd w:val="clear" w:color="auto" w:fill="FFFFFF"/>
        </w:rPr>
      </w:pPr>
      <w:r w:rsidRPr="00FF66FE">
        <w:rPr>
          <w:rFonts w:asciiTheme="majorHAnsi" w:hAnsiTheme="majorHAnsi" w:cstheme="majorHAnsi"/>
          <w:sz w:val="24"/>
          <w:szCs w:val="24"/>
          <w:shd w:val="clear" w:color="auto" w:fill="FFFFFF"/>
          <w:lang w:val="en-GB"/>
        </w:rPr>
        <w:t xml:space="preserve">POH, M-Z., SWENSON, N.C. &amp; PICARD, R.W. A Wearable Sensor for Unobtrusive Long-Term Assessment of Electrodermal Activity. </w:t>
      </w:r>
      <w:r w:rsidRPr="00FF66FE">
        <w:rPr>
          <w:rFonts w:asciiTheme="majorHAnsi" w:hAnsiTheme="majorHAnsi" w:cstheme="majorHAnsi"/>
          <w:b/>
          <w:bCs/>
          <w:sz w:val="24"/>
          <w:szCs w:val="24"/>
          <w:shd w:val="clear" w:color="auto" w:fill="FFFFFF"/>
        </w:rPr>
        <w:t xml:space="preserve">IEEE Transactions on Biomedical Engineering, </w:t>
      </w:r>
      <w:r w:rsidRPr="00FF66FE">
        <w:rPr>
          <w:rFonts w:asciiTheme="majorHAnsi" w:hAnsiTheme="majorHAnsi" w:cstheme="majorHAnsi"/>
          <w:b/>
          <w:sz w:val="24"/>
          <w:szCs w:val="24"/>
          <w:shd w:val="clear" w:color="auto" w:fill="FFFFFF"/>
        </w:rPr>
        <w:t>v. 57, n. 5</w:t>
      </w:r>
      <w:r w:rsidRPr="00FF66FE">
        <w:rPr>
          <w:rFonts w:asciiTheme="majorHAnsi" w:hAnsiTheme="majorHAnsi" w:cstheme="majorHAnsi"/>
          <w:sz w:val="24"/>
          <w:szCs w:val="24"/>
          <w:shd w:val="clear" w:color="auto" w:fill="FFFFFF"/>
        </w:rPr>
        <w:t>, p. 1243-1252, 2010.</w:t>
      </w:r>
    </w:p>
    <w:p w14:paraId="14BCB4F4" w14:textId="77777777" w:rsidR="00EE3346" w:rsidRPr="00FF66FE" w:rsidRDefault="00EE3346" w:rsidP="00516038">
      <w:pPr>
        <w:tabs>
          <w:tab w:val="clear" w:pos="1615"/>
        </w:tabs>
        <w:rPr>
          <w:rFonts w:asciiTheme="majorHAnsi" w:hAnsiTheme="majorHAnsi" w:cstheme="majorHAnsi"/>
          <w:sz w:val="24"/>
          <w:szCs w:val="24"/>
        </w:rPr>
      </w:pPr>
      <w:r w:rsidRPr="00FF66FE">
        <w:rPr>
          <w:rFonts w:asciiTheme="majorHAnsi" w:hAnsiTheme="majorHAnsi" w:cstheme="majorHAnsi"/>
          <w:sz w:val="24"/>
          <w:szCs w:val="24"/>
        </w:rPr>
        <w:t xml:space="preserve">QUEIROZ, G.N.; LIMA, D.S.; CERQUEIRA, D.L. A “pedagogia espaço-tempo” no ensino da engenharia: experienciar o objetivo (output) e assimilar as ferramentas básicas (input). </w:t>
      </w:r>
      <w:r w:rsidRPr="00FF66FE">
        <w:rPr>
          <w:rFonts w:asciiTheme="majorHAnsi" w:hAnsiTheme="majorHAnsi" w:cstheme="majorHAnsi"/>
          <w:b/>
          <w:sz w:val="24"/>
          <w:szCs w:val="24"/>
        </w:rPr>
        <w:t>Anais do XLV Congresso Brasileiro de Ensino de Engenharia</w:t>
      </w:r>
      <w:r w:rsidRPr="00FF66FE">
        <w:rPr>
          <w:rFonts w:asciiTheme="majorHAnsi" w:hAnsiTheme="majorHAnsi" w:cstheme="majorHAnsi"/>
          <w:sz w:val="24"/>
          <w:szCs w:val="24"/>
        </w:rPr>
        <w:t xml:space="preserve">, Joinville, 2017. </w:t>
      </w:r>
    </w:p>
    <w:p w14:paraId="2676BBD3" w14:textId="77777777" w:rsidR="00EE3346" w:rsidRPr="00FF66FE" w:rsidRDefault="00EE3346" w:rsidP="00516038">
      <w:pPr>
        <w:tabs>
          <w:tab w:val="clear" w:pos="1615"/>
        </w:tabs>
        <w:ind w:right="-1"/>
        <w:rPr>
          <w:rFonts w:asciiTheme="majorHAnsi" w:hAnsiTheme="majorHAnsi" w:cstheme="majorHAnsi"/>
          <w:sz w:val="24"/>
          <w:szCs w:val="24"/>
          <w:shd w:val="clear" w:color="auto" w:fill="FFFFFF"/>
        </w:rPr>
      </w:pPr>
      <w:r w:rsidRPr="00FF66FE">
        <w:rPr>
          <w:rFonts w:asciiTheme="majorHAnsi" w:hAnsiTheme="majorHAnsi" w:cstheme="majorHAnsi"/>
          <w:sz w:val="24"/>
          <w:szCs w:val="24"/>
          <w:shd w:val="clear" w:color="auto" w:fill="FFFFFF"/>
          <w:lang w:val="en-GB"/>
        </w:rPr>
        <w:t xml:space="preserve">RANDI, M.A.F.; CARVALHO, H.F. Learning through role-playng games: an approach for active learning and teaching. </w:t>
      </w:r>
      <w:r w:rsidRPr="00FF66FE">
        <w:rPr>
          <w:rFonts w:asciiTheme="majorHAnsi" w:hAnsiTheme="majorHAnsi" w:cstheme="majorHAnsi"/>
          <w:b/>
          <w:sz w:val="24"/>
          <w:szCs w:val="24"/>
          <w:shd w:val="clear" w:color="auto" w:fill="FFFFFF"/>
        </w:rPr>
        <w:t>Revista Brasileira de Educação Médica, v. 37, n. 1,</w:t>
      </w:r>
      <w:r w:rsidRPr="00FF66FE">
        <w:rPr>
          <w:rFonts w:asciiTheme="majorHAnsi" w:hAnsiTheme="majorHAnsi" w:cstheme="majorHAnsi"/>
          <w:sz w:val="24"/>
          <w:szCs w:val="24"/>
          <w:shd w:val="clear" w:color="auto" w:fill="FFFFFF"/>
        </w:rPr>
        <w:t xml:space="preserve"> p. 80-88, 2013.</w:t>
      </w:r>
    </w:p>
    <w:p w14:paraId="3410568F" w14:textId="77777777" w:rsidR="00EE3346" w:rsidRPr="00FF66FE" w:rsidRDefault="00EE3346" w:rsidP="00516038">
      <w:pPr>
        <w:tabs>
          <w:tab w:val="clear" w:pos="1615"/>
        </w:tabs>
        <w:ind w:right="-1"/>
        <w:rPr>
          <w:rFonts w:asciiTheme="majorHAnsi" w:hAnsiTheme="majorHAnsi" w:cstheme="majorHAnsi"/>
          <w:sz w:val="24"/>
          <w:szCs w:val="24"/>
        </w:rPr>
      </w:pPr>
      <w:r w:rsidRPr="00FF66FE">
        <w:rPr>
          <w:rFonts w:asciiTheme="majorHAnsi" w:hAnsiTheme="majorHAnsi" w:cstheme="majorHAnsi"/>
          <w:sz w:val="24"/>
          <w:szCs w:val="24"/>
        </w:rPr>
        <w:t xml:space="preserve">RIBEIRO, L.R.C. Aprendizagem Baseada em Problemas (PBL) na Educação em Engenharia. </w:t>
      </w:r>
      <w:r w:rsidRPr="00FF66FE">
        <w:rPr>
          <w:rFonts w:asciiTheme="majorHAnsi" w:hAnsiTheme="majorHAnsi" w:cstheme="majorHAnsi"/>
          <w:b/>
          <w:sz w:val="24"/>
          <w:szCs w:val="24"/>
        </w:rPr>
        <w:t>Revista de Ensino de Engenharia, v. 27, n. 2,</w:t>
      </w:r>
      <w:r w:rsidRPr="00FF66FE">
        <w:rPr>
          <w:rFonts w:asciiTheme="majorHAnsi" w:hAnsiTheme="majorHAnsi" w:cstheme="majorHAnsi"/>
          <w:sz w:val="24"/>
          <w:szCs w:val="24"/>
        </w:rPr>
        <w:t xml:space="preserve"> p. 23-32, 2008.</w:t>
      </w:r>
    </w:p>
    <w:p w14:paraId="71D57BAC" w14:textId="77777777" w:rsidR="00EE3346" w:rsidRPr="00FF66FE" w:rsidRDefault="00EE3346" w:rsidP="00516038">
      <w:pPr>
        <w:tabs>
          <w:tab w:val="clear" w:pos="1615"/>
        </w:tabs>
        <w:ind w:right="-1"/>
        <w:rPr>
          <w:rFonts w:asciiTheme="majorHAnsi" w:hAnsiTheme="majorHAnsi" w:cstheme="majorHAnsi"/>
          <w:sz w:val="24"/>
          <w:szCs w:val="24"/>
        </w:rPr>
      </w:pPr>
      <w:r w:rsidRPr="00FF66FE">
        <w:rPr>
          <w:rFonts w:asciiTheme="majorHAnsi" w:hAnsiTheme="majorHAnsi" w:cstheme="majorHAnsi"/>
          <w:sz w:val="24"/>
          <w:szCs w:val="24"/>
        </w:rPr>
        <w:t xml:space="preserve">SAKAI, M.H.; LIMA, G.Z. PBL: uma visão geral do método. </w:t>
      </w:r>
      <w:r w:rsidRPr="00FF66FE">
        <w:rPr>
          <w:rFonts w:asciiTheme="majorHAnsi" w:hAnsiTheme="majorHAnsi" w:cstheme="majorHAnsi"/>
          <w:b/>
          <w:sz w:val="24"/>
          <w:szCs w:val="24"/>
        </w:rPr>
        <w:t>Olho Mágico, Londrina, v. 2,</w:t>
      </w:r>
      <w:r w:rsidRPr="00FF66FE">
        <w:rPr>
          <w:rFonts w:asciiTheme="majorHAnsi" w:hAnsiTheme="majorHAnsi" w:cstheme="majorHAnsi"/>
          <w:sz w:val="24"/>
          <w:szCs w:val="24"/>
        </w:rPr>
        <w:t xml:space="preserve"> n. 5/6, 1996.</w:t>
      </w:r>
    </w:p>
    <w:p w14:paraId="25F65984" w14:textId="77777777" w:rsidR="00EE3346" w:rsidRPr="00FF66FE" w:rsidRDefault="00EE3346" w:rsidP="00516038">
      <w:pPr>
        <w:tabs>
          <w:tab w:val="clear" w:pos="1615"/>
        </w:tabs>
        <w:ind w:right="-1"/>
        <w:rPr>
          <w:rFonts w:asciiTheme="majorHAnsi" w:hAnsiTheme="majorHAnsi" w:cstheme="majorHAnsi"/>
          <w:sz w:val="24"/>
          <w:szCs w:val="24"/>
        </w:rPr>
      </w:pPr>
      <w:r w:rsidRPr="00FF66FE">
        <w:rPr>
          <w:rFonts w:asciiTheme="majorHAnsi" w:hAnsiTheme="majorHAnsi" w:cstheme="majorHAnsi"/>
          <w:sz w:val="24"/>
          <w:szCs w:val="24"/>
        </w:rPr>
        <w:t xml:space="preserve">SALES, A.B.; SERRANO, M; SERRANO, E. Aprendizagem baseada em projetos na Disciplina de Interação Humano-Computador. </w:t>
      </w:r>
      <w:r w:rsidRPr="00FF66FE">
        <w:rPr>
          <w:rFonts w:asciiTheme="majorHAnsi" w:hAnsiTheme="majorHAnsi" w:cstheme="majorHAnsi"/>
          <w:b/>
          <w:sz w:val="24"/>
          <w:szCs w:val="24"/>
        </w:rPr>
        <w:t>Revista Ibérica de Sistemas e Tecnologias de Informação, v.37, n.6,</w:t>
      </w:r>
      <w:r w:rsidRPr="00FF66FE">
        <w:rPr>
          <w:rFonts w:asciiTheme="majorHAnsi" w:hAnsiTheme="majorHAnsi" w:cstheme="majorHAnsi"/>
          <w:sz w:val="24"/>
          <w:szCs w:val="24"/>
        </w:rPr>
        <w:t xml:space="preserve"> p. 49-64, 2020.</w:t>
      </w:r>
    </w:p>
    <w:p w14:paraId="76D4E34F" w14:textId="77777777" w:rsidR="00EE3346" w:rsidRPr="00FF66FE" w:rsidRDefault="00EE3346" w:rsidP="00516038">
      <w:pPr>
        <w:tabs>
          <w:tab w:val="clear" w:pos="1615"/>
        </w:tabs>
        <w:ind w:right="-1"/>
        <w:rPr>
          <w:rFonts w:asciiTheme="majorHAnsi" w:hAnsiTheme="majorHAnsi" w:cstheme="majorHAnsi"/>
          <w:sz w:val="24"/>
          <w:szCs w:val="24"/>
        </w:rPr>
      </w:pPr>
      <w:r w:rsidRPr="00FF66FE">
        <w:rPr>
          <w:rFonts w:asciiTheme="majorHAnsi" w:hAnsiTheme="majorHAnsi" w:cstheme="majorHAnsi"/>
          <w:sz w:val="24"/>
          <w:szCs w:val="24"/>
        </w:rPr>
        <w:t xml:space="preserve">SALES, A.B.; DEL MOURA, A.; SALES, M. B. Avaliação da aplicação da aprendizagem baseada em problemas na disciplina de “Interação Humano e Computador” de curso de Engenharia de Software. UFRGS. </w:t>
      </w:r>
      <w:r w:rsidRPr="00FF66FE">
        <w:rPr>
          <w:rFonts w:asciiTheme="majorHAnsi" w:hAnsiTheme="majorHAnsi" w:cstheme="majorHAnsi"/>
          <w:b/>
          <w:iCs/>
          <w:sz w:val="24"/>
          <w:szCs w:val="24"/>
        </w:rPr>
        <w:t>Revista Renote. Novas tecnologias na educação</w:t>
      </w:r>
      <w:r w:rsidRPr="00FF66FE">
        <w:rPr>
          <w:rFonts w:asciiTheme="majorHAnsi" w:hAnsiTheme="majorHAnsi" w:cstheme="majorHAnsi"/>
          <w:b/>
          <w:sz w:val="24"/>
          <w:szCs w:val="24"/>
        </w:rPr>
        <w:t>, v. 11, n. 3,</w:t>
      </w:r>
      <w:r w:rsidRPr="00FF66FE">
        <w:rPr>
          <w:rFonts w:asciiTheme="majorHAnsi" w:hAnsiTheme="majorHAnsi" w:cstheme="majorHAnsi"/>
          <w:sz w:val="24"/>
          <w:szCs w:val="24"/>
        </w:rPr>
        <w:t xml:space="preserve"> dez. 2013.</w:t>
      </w:r>
    </w:p>
    <w:p w14:paraId="60213D0B" w14:textId="77777777" w:rsidR="00EE3346" w:rsidRPr="00FF66FE" w:rsidRDefault="00EE3346" w:rsidP="00516038">
      <w:pPr>
        <w:tabs>
          <w:tab w:val="clear" w:pos="1615"/>
        </w:tabs>
        <w:ind w:right="-1"/>
        <w:rPr>
          <w:rFonts w:asciiTheme="majorHAnsi" w:hAnsiTheme="majorHAnsi" w:cstheme="majorHAnsi"/>
          <w:sz w:val="24"/>
          <w:szCs w:val="24"/>
          <w:lang w:val="en-US"/>
        </w:rPr>
      </w:pPr>
      <w:r w:rsidRPr="00FF66FE">
        <w:rPr>
          <w:rFonts w:asciiTheme="majorHAnsi" w:hAnsiTheme="majorHAnsi" w:cstheme="majorHAnsi"/>
          <w:sz w:val="24"/>
          <w:szCs w:val="24"/>
        </w:rPr>
        <w:t xml:space="preserve">SANTANA, E.B.; VALENTE, J.A.S.; FREITAS, N.M.S. Metodologia da problematização: uso de situações-problema no ensino de Astronomia. </w:t>
      </w:r>
      <w:r w:rsidRPr="00FF66FE">
        <w:rPr>
          <w:rFonts w:asciiTheme="majorHAnsi" w:hAnsiTheme="majorHAnsi" w:cstheme="majorHAnsi"/>
          <w:b/>
          <w:sz w:val="24"/>
          <w:szCs w:val="24"/>
          <w:lang w:val="en-US"/>
        </w:rPr>
        <w:t>Revista Exitus, Santarém, PA, v. 9, n. 1,</w:t>
      </w:r>
      <w:r w:rsidRPr="00FF66FE">
        <w:rPr>
          <w:rFonts w:asciiTheme="majorHAnsi" w:hAnsiTheme="majorHAnsi" w:cstheme="majorHAnsi"/>
          <w:sz w:val="24"/>
          <w:szCs w:val="24"/>
          <w:lang w:val="en-US"/>
        </w:rPr>
        <w:t xml:space="preserve"> p. 175 - 201, jan./mar. 2019</w:t>
      </w:r>
    </w:p>
    <w:p w14:paraId="762FA5D6" w14:textId="77777777" w:rsidR="00EE3346" w:rsidRPr="00FF66FE" w:rsidRDefault="00EE3346" w:rsidP="00516038">
      <w:pPr>
        <w:tabs>
          <w:tab w:val="clear" w:pos="1615"/>
        </w:tabs>
        <w:ind w:right="-1"/>
        <w:rPr>
          <w:rFonts w:asciiTheme="majorHAnsi" w:hAnsiTheme="majorHAnsi" w:cstheme="majorHAnsi"/>
          <w:sz w:val="24"/>
          <w:szCs w:val="24"/>
        </w:rPr>
      </w:pPr>
      <w:r w:rsidRPr="00FF66FE">
        <w:rPr>
          <w:rFonts w:asciiTheme="majorHAnsi" w:hAnsiTheme="majorHAnsi" w:cstheme="majorHAnsi"/>
          <w:sz w:val="24"/>
          <w:szCs w:val="24"/>
          <w:lang w:val="en-US"/>
        </w:rPr>
        <w:t>SANTIAGO, R. La lógica de la conexión: Just in Time Teaching, Peer Instruction y Flipped Classroom</w:t>
      </w:r>
      <w:r w:rsidRPr="00FF66FE">
        <w:rPr>
          <w:rFonts w:asciiTheme="majorHAnsi" w:hAnsiTheme="majorHAnsi" w:cstheme="majorHAnsi"/>
          <w:b/>
          <w:sz w:val="24"/>
          <w:szCs w:val="24"/>
          <w:lang w:val="en-US"/>
        </w:rPr>
        <w:t xml:space="preserve">. </w:t>
      </w:r>
      <w:r w:rsidRPr="00FF66FE">
        <w:rPr>
          <w:rFonts w:asciiTheme="majorHAnsi" w:hAnsiTheme="majorHAnsi" w:cstheme="majorHAnsi"/>
          <w:b/>
          <w:sz w:val="24"/>
          <w:szCs w:val="24"/>
          <w:lang w:val="en-GB"/>
        </w:rPr>
        <w:t>The Flipped Classroom Newsletter, marzo de 2019</w:t>
      </w:r>
      <w:r w:rsidRPr="00FF66FE">
        <w:rPr>
          <w:rFonts w:asciiTheme="majorHAnsi" w:hAnsiTheme="majorHAnsi" w:cstheme="majorHAnsi"/>
          <w:sz w:val="24"/>
          <w:szCs w:val="24"/>
          <w:lang w:val="en-GB"/>
        </w:rPr>
        <w:t xml:space="preserve">. Disponível em: https://drive.google.com/file/d/ 17y0CSuSVsKw1Guxl8aumNLhjCyRGcW0l/view. </w:t>
      </w:r>
      <w:r w:rsidRPr="00FF66FE">
        <w:rPr>
          <w:rFonts w:asciiTheme="majorHAnsi" w:hAnsiTheme="majorHAnsi" w:cstheme="majorHAnsi"/>
          <w:sz w:val="24"/>
          <w:szCs w:val="24"/>
        </w:rPr>
        <w:t>Acesso em: 23 dez. 2021.</w:t>
      </w:r>
    </w:p>
    <w:p w14:paraId="1CF9F097" w14:textId="77777777" w:rsidR="00EE3346" w:rsidRPr="00FF66FE" w:rsidRDefault="00EE3346" w:rsidP="00516038">
      <w:pPr>
        <w:tabs>
          <w:tab w:val="clear" w:pos="1615"/>
        </w:tabs>
        <w:ind w:right="-1"/>
        <w:rPr>
          <w:rFonts w:asciiTheme="majorHAnsi" w:hAnsiTheme="majorHAnsi" w:cstheme="majorHAnsi"/>
          <w:sz w:val="24"/>
          <w:szCs w:val="24"/>
        </w:rPr>
      </w:pPr>
      <w:r w:rsidRPr="00FF66FE">
        <w:rPr>
          <w:rFonts w:asciiTheme="majorHAnsi" w:hAnsiTheme="majorHAnsi" w:cstheme="majorHAnsi"/>
          <w:sz w:val="24"/>
          <w:szCs w:val="24"/>
        </w:rPr>
        <w:t xml:space="preserve">SOARES, M.A.; BOTINHA, R.A.; CASA NOVA, S.P.C.; SOARES, S.V.; BULAON, C. Aprendizagem Baseada em Problemas (ABP) ou Problem-Based Learning (PBL): podemos contar com essa alternativa? </w:t>
      </w:r>
      <w:r w:rsidRPr="00FF66FE">
        <w:rPr>
          <w:rFonts w:asciiTheme="majorHAnsi" w:hAnsiTheme="majorHAnsi" w:cstheme="majorHAnsi"/>
          <w:b/>
          <w:sz w:val="24"/>
          <w:szCs w:val="24"/>
        </w:rPr>
        <w:t>In: LEAL, E.A.; MIRANDA, G.J.; CASA NOVA, S.P.C. Revolucionando a sala de aula: como envolver o estudante aplicando as técnicas de metodologias ativas de aprendizagem</w:t>
      </w:r>
      <w:r w:rsidRPr="00FF66FE">
        <w:rPr>
          <w:rFonts w:asciiTheme="majorHAnsi" w:hAnsiTheme="majorHAnsi" w:cstheme="majorHAnsi"/>
          <w:sz w:val="24"/>
          <w:szCs w:val="24"/>
        </w:rPr>
        <w:t>. Cap. 9. São Paulo: Atlas, 2017.</w:t>
      </w:r>
    </w:p>
    <w:p w14:paraId="3B8F8F6C" w14:textId="77777777" w:rsidR="00EE3346" w:rsidRPr="00FF66FE" w:rsidRDefault="00EE3346" w:rsidP="00516038">
      <w:pPr>
        <w:tabs>
          <w:tab w:val="clear" w:pos="1615"/>
        </w:tabs>
        <w:ind w:right="-1"/>
        <w:rPr>
          <w:rFonts w:asciiTheme="majorHAnsi" w:hAnsiTheme="majorHAnsi" w:cstheme="majorHAnsi"/>
          <w:sz w:val="24"/>
          <w:szCs w:val="24"/>
        </w:rPr>
      </w:pPr>
      <w:r w:rsidRPr="00FF66FE">
        <w:rPr>
          <w:rFonts w:asciiTheme="majorHAnsi" w:hAnsiTheme="majorHAnsi" w:cstheme="majorHAnsi"/>
          <w:sz w:val="24"/>
          <w:szCs w:val="24"/>
        </w:rPr>
        <w:t xml:space="preserve">SOMMERMAN, A. Pedagogia e transdisciplinaridade.  </w:t>
      </w:r>
      <w:r w:rsidRPr="00FF66FE">
        <w:rPr>
          <w:rFonts w:asciiTheme="majorHAnsi" w:hAnsiTheme="majorHAnsi" w:cstheme="majorHAnsi"/>
          <w:b/>
          <w:sz w:val="24"/>
          <w:szCs w:val="24"/>
        </w:rPr>
        <w:t>Cetrans – Centro de Transdisciplinaridade,</w:t>
      </w:r>
      <w:r w:rsidRPr="00FF66FE">
        <w:rPr>
          <w:rFonts w:asciiTheme="majorHAnsi" w:hAnsiTheme="majorHAnsi" w:cstheme="majorHAnsi"/>
          <w:sz w:val="24"/>
          <w:szCs w:val="24"/>
        </w:rPr>
        <w:t xml:space="preserve"> p. 1-9, jun. 2003.</w:t>
      </w:r>
    </w:p>
    <w:p w14:paraId="0D7DEF6A" w14:textId="77777777" w:rsidR="00EE3346" w:rsidRPr="00FF66FE" w:rsidRDefault="00EE3346" w:rsidP="00516038">
      <w:pPr>
        <w:tabs>
          <w:tab w:val="clear" w:pos="1615"/>
        </w:tabs>
        <w:ind w:right="-1"/>
        <w:rPr>
          <w:rFonts w:asciiTheme="majorHAnsi" w:hAnsiTheme="majorHAnsi" w:cstheme="majorHAnsi"/>
          <w:sz w:val="24"/>
          <w:szCs w:val="24"/>
        </w:rPr>
      </w:pPr>
      <w:r w:rsidRPr="00FF66FE">
        <w:rPr>
          <w:rFonts w:asciiTheme="majorHAnsi" w:hAnsiTheme="majorHAnsi" w:cstheme="majorHAnsi"/>
          <w:sz w:val="24"/>
          <w:szCs w:val="24"/>
        </w:rPr>
        <w:t xml:space="preserve">TEIXEIRA, C.E.; AGLIO, M.; BOGONI, R. Debates e rodas de conversa como estratégias para aulas de língua portuguesa e filosofia. </w:t>
      </w:r>
      <w:r w:rsidRPr="00FF66FE">
        <w:rPr>
          <w:rFonts w:asciiTheme="majorHAnsi" w:hAnsiTheme="majorHAnsi" w:cstheme="majorHAnsi"/>
          <w:b/>
          <w:sz w:val="24"/>
          <w:szCs w:val="24"/>
        </w:rPr>
        <w:t>Revista Metodologias Ativas e Tecnologias da Educação – ReMATE, v. 1, n. 1</w:t>
      </w:r>
      <w:r w:rsidRPr="00FF66FE">
        <w:rPr>
          <w:rFonts w:asciiTheme="majorHAnsi" w:hAnsiTheme="majorHAnsi" w:cstheme="majorHAnsi"/>
          <w:sz w:val="24"/>
          <w:szCs w:val="24"/>
        </w:rPr>
        <w:t>, p. 52-61, 2020.</w:t>
      </w:r>
    </w:p>
    <w:p w14:paraId="33566C6E" w14:textId="77777777" w:rsidR="00EE3346" w:rsidRPr="00FF66FE" w:rsidRDefault="00EE3346" w:rsidP="00516038">
      <w:pPr>
        <w:tabs>
          <w:tab w:val="clear" w:pos="1615"/>
        </w:tabs>
        <w:rPr>
          <w:rFonts w:asciiTheme="majorHAnsi" w:hAnsiTheme="majorHAnsi" w:cstheme="majorHAnsi"/>
          <w:sz w:val="24"/>
          <w:szCs w:val="24"/>
          <w:lang w:val="en-GB"/>
        </w:rPr>
      </w:pPr>
      <w:r w:rsidRPr="00FF66FE">
        <w:rPr>
          <w:rFonts w:asciiTheme="majorHAnsi" w:hAnsiTheme="majorHAnsi" w:cstheme="majorHAnsi"/>
          <w:bCs/>
          <w:sz w:val="24"/>
          <w:szCs w:val="24"/>
        </w:rPr>
        <w:t xml:space="preserve">TIEPPO, C. </w:t>
      </w:r>
      <w:r w:rsidRPr="00FF66FE">
        <w:rPr>
          <w:rFonts w:asciiTheme="majorHAnsi" w:hAnsiTheme="majorHAnsi" w:cstheme="majorHAnsi"/>
          <w:b/>
          <w:bCs/>
          <w:iCs/>
          <w:sz w:val="24"/>
          <w:szCs w:val="24"/>
        </w:rPr>
        <w:t>Uma viagem pelo cérebro: a via rápida para entender neurociência</w:t>
      </w:r>
      <w:r w:rsidRPr="00FF66FE">
        <w:rPr>
          <w:rFonts w:asciiTheme="majorHAnsi" w:hAnsiTheme="majorHAnsi" w:cstheme="majorHAnsi"/>
          <w:b/>
          <w:bCs/>
          <w:sz w:val="24"/>
          <w:szCs w:val="24"/>
        </w:rPr>
        <w:t>.</w:t>
      </w:r>
      <w:r w:rsidRPr="00FF66FE">
        <w:rPr>
          <w:rFonts w:asciiTheme="majorHAnsi" w:hAnsiTheme="majorHAnsi" w:cstheme="majorHAnsi"/>
          <w:bCs/>
          <w:sz w:val="24"/>
          <w:szCs w:val="24"/>
        </w:rPr>
        <w:t xml:space="preserve"> </w:t>
      </w:r>
      <w:r w:rsidRPr="00FF66FE">
        <w:rPr>
          <w:rFonts w:asciiTheme="majorHAnsi" w:hAnsiTheme="majorHAnsi" w:cstheme="majorHAnsi"/>
          <w:bCs/>
          <w:sz w:val="24"/>
          <w:szCs w:val="24"/>
          <w:lang w:val="en-GB"/>
        </w:rPr>
        <w:t>São Paulo, Conectomus, 2019.</w:t>
      </w:r>
    </w:p>
    <w:p w14:paraId="158A9746" w14:textId="77777777" w:rsidR="00EE3346" w:rsidRPr="00FF66FE" w:rsidRDefault="00EE3346" w:rsidP="00516038">
      <w:pPr>
        <w:tabs>
          <w:tab w:val="clear" w:pos="1615"/>
        </w:tabs>
        <w:ind w:right="-1"/>
        <w:rPr>
          <w:rFonts w:asciiTheme="majorHAnsi" w:hAnsiTheme="majorHAnsi" w:cstheme="majorHAnsi"/>
          <w:sz w:val="24"/>
          <w:szCs w:val="24"/>
          <w:lang w:val="en-GB"/>
        </w:rPr>
      </w:pPr>
      <w:r w:rsidRPr="00FF66FE">
        <w:rPr>
          <w:rFonts w:asciiTheme="majorHAnsi" w:hAnsiTheme="majorHAnsi" w:cstheme="majorHAnsi"/>
          <w:sz w:val="24"/>
          <w:szCs w:val="24"/>
          <w:lang w:val="en-GB"/>
        </w:rPr>
        <w:t xml:space="preserve">TORRES, B.B. Learning by posing questions. </w:t>
      </w:r>
      <w:r w:rsidRPr="00FF66FE">
        <w:rPr>
          <w:rFonts w:asciiTheme="majorHAnsi" w:hAnsiTheme="majorHAnsi" w:cstheme="majorHAnsi"/>
          <w:b/>
          <w:sz w:val="24"/>
          <w:szCs w:val="24"/>
          <w:lang w:val="en-GB"/>
        </w:rPr>
        <w:t>Biochemical Education, Inglaterra, v. 26, n. 4,</w:t>
      </w:r>
      <w:r w:rsidRPr="00FF66FE">
        <w:rPr>
          <w:rFonts w:asciiTheme="majorHAnsi" w:hAnsiTheme="majorHAnsi" w:cstheme="majorHAnsi"/>
          <w:sz w:val="24"/>
          <w:szCs w:val="24"/>
          <w:lang w:val="en-GB"/>
        </w:rPr>
        <w:t xml:space="preserve"> p. 294-296, 1998.</w:t>
      </w:r>
    </w:p>
    <w:p w14:paraId="00DA0DB5" w14:textId="77777777" w:rsidR="00EE3346" w:rsidRPr="00FF66FE" w:rsidRDefault="00EE3346" w:rsidP="00516038">
      <w:pPr>
        <w:tabs>
          <w:tab w:val="clear" w:pos="1615"/>
        </w:tabs>
        <w:ind w:right="-1"/>
        <w:rPr>
          <w:rFonts w:asciiTheme="majorHAnsi" w:hAnsiTheme="majorHAnsi" w:cstheme="majorHAnsi"/>
          <w:sz w:val="24"/>
          <w:szCs w:val="24"/>
          <w:shd w:val="clear" w:color="auto" w:fill="FFFFFF"/>
        </w:rPr>
      </w:pPr>
      <w:r w:rsidRPr="00FF66FE">
        <w:rPr>
          <w:rFonts w:asciiTheme="majorHAnsi" w:hAnsiTheme="majorHAnsi" w:cstheme="majorHAnsi"/>
          <w:sz w:val="24"/>
          <w:szCs w:val="24"/>
          <w:shd w:val="clear" w:color="auto" w:fill="FFFFFF"/>
        </w:rPr>
        <w:t xml:space="preserve">UNESCO, 2021. </w:t>
      </w:r>
      <w:r w:rsidRPr="00FF66FE">
        <w:rPr>
          <w:rFonts w:asciiTheme="majorHAnsi" w:hAnsiTheme="majorHAnsi" w:cstheme="majorHAnsi"/>
          <w:b/>
          <w:sz w:val="24"/>
          <w:szCs w:val="24"/>
          <w:shd w:val="clear" w:color="auto" w:fill="FFFFFF"/>
        </w:rPr>
        <w:t>TIC na Educação do Brasil</w:t>
      </w:r>
      <w:r w:rsidRPr="00FF66FE">
        <w:rPr>
          <w:rFonts w:asciiTheme="majorHAnsi" w:hAnsiTheme="majorHAnsi" w:cstheme="majorHAnsi"/>
          <w:sz w:val="24"/>
          <w:szCs w:val="24"/>
          <w:shd w:val="clear" w:color="auto" w:fill="FFFFFF"/>
        </w:rPr>
        <w:t>. Disponível em: https://pt.unesco.org/fieldoffice/brasilia/ expertise/ ict-education-brazil. Acesso em: 20 dez. 2021.</w:t>
      </w:r>
    </w:p>
    <w:p w14:paraId="484C91D9" w14:textId="77777777" w:rsidR="00EE3346" w:rsidRPr="00FF66FE" w:rsidRDefault="00EE3346" w:rsidP="00516038">
      <w:pPr>
        <w:tabs>
          <w:tab w:val="clear" w:pos="1615"/>
        </w:tabs>
        <w:ind w:right="-1"/>
        <w:rPr>
          <w:rFonts w:asciiTheme="majorHAnsi" w:hAnsiTheme="majorHAnsi" w:cstheme="majorHAnsi"/>
          <w:sz w:val="24"/>
          <w:szCs w:val="24"/>
          <w:shd w:val="clear" w:color="auto" w:fill="FFFFFF"/>
        </w:rPr>
      </w:pPr>
      <w:r w:rsidRPr="00FF66FE">
        <w:rPr>
          <w:rFonts w:asciiTheme="majorHAnsi" w:hAnsiTheme="majorHAnsi" w:cstheme="majorHAnsi"/>
          <w:sz w:val="24"/>
          <w:szCs w:val="24"/>
          <w:shd w:val="clear" w:color="auto" w:fill="FFFFFF"/>
        </w:rPr>
        <w:t xml:space="preserve">UNICAMP, 2021. </w:t>
      </w:r>
      <w:r w:rsidRPr="00FF66FE">
        <w:rPr>
          <w:rFonts w:asciiTheme="majorHAnsi" w:hAnsiTheme="majorHAnsi" w:cstheme="majorHAnsi"/>
          <w:b/>
          <w:sz w:val="24"/>
          <w:szCs w:val="24"/>
          <w:shd w:val="clear" w:color="auto" w:fill="FFFFFF"/>
        </w:rPr>
        <w:t>Ea2 – Espaço de apoio ao ensino e aprendizagem da Unicamp</w:t>
      </w:r>
      <w:r w:rsidRPr="00FF66FE">
        <w:rPr>
          <w:rFonts w:asciiTheme="majorHAnsi" w:hAnsiTheme="majorHAnsi" w:cstheme="majorHAnsi"/>
          <w:sz w:val="24"/>
          <w:szCs w:val="24"/>
          <w:shd w:val="clear" w:color="auto" w:fill="FFFFFF"/>
        </w:rPr>
        <w:t>. Disponível em: https://www.ea2.unicamp.br/. Acesso em: 20 dez. 2021.</w:t>
      </w:r>
    </w:p>
    <w:p w14:paraId="3C841B68" w14:textId="77777777" w:rsidR="00EE3346" w:rsidRPr="00516038" w:rsidRDefault="00EE3346" w:rsidP="00516038">
      <w:pPr>
        <w:tabs>
          <w:tab w:val="clear" w:pos="1615"/>
        </w:tabs>
        <w:ind w:right="-1"/>
        <w:rPr>
          <w:rFonts w:asciiTheme="majorHAnsi" w:hAnsiTheme="majorHAnsi" w:cstheme="majorHAnsi"/>
          <w:szCs w:val="20"/>
          <w:shd w:val="clear" w:color="auto" w:fill="FFFFFF"/>
        </w:rPr>
      </w:pPr>
      <w:r w:rsidRPr="00FF66FE">
        <w:rPr>
          <w:rFonts w:asciiTheme="majorHAnsi" w:hAnsiTheme="majorHAnsi" w:cstheme="majorHAnsi"/>
          <w:sz w:val="24"/>
          <w:szCs w:val="24"/>
          <w:shd w:val="clear" w:color="auto" w:fill="FFFFFF"/>
        </w:rPr>
        <w:t xml:space="preserve">XAVIER, A.R.C.; OLIVEIRA, E.; RIBEIRO, L.M.O. (org.). </w:t>
      </w:r>
      <w:r w:rsidRPr="00FF66FE">
        <w:rPr>
          <w:rFonts w:asciiTheme="majorHAnsi" w:hAnsiTheme="majorHAnsi" w:cstheme="majorHAnsi"/>
          <w:b/>
          <w:bCs/>
          <w:sz w:val="24"/>
          <w:szCs w:val="24"/>
          <w:shd w:val="clear" w:color="auto" w:fill="FFFFFF"/>
        </w:rPr>
        <w:t xml:space="preserve">A dimensão didático-pedagógica na transição para o Ensino Remoto Emergencial: a formação docente na UNIFAL, no ano de 2020. </w:t>
      </w:r>
      <w:r w:rsidRPr="00FF66FE">
        <w:rPr>
          <w:rFonts w:asciiTheme="majorHAnsi" w:hAnsiTheme="majorHAnsi" w:cstheme="majorHAnsi"/>
          <w:sz w:val="24"/>
          <w:szCs w:val="24"/>
          <w:shd w:val="clear" w:color="auto" w:fill="FFFFFF"/>
        </w:rPr>
        <w:t>Alfenas,MG: Unifal ed., 2021.</w:t>
      </w:r>
    </w:p>
    <w:p w14:paraId="331C4777" w14:textId="77777777" w:rsidR="00EE3346" w:rsidRPr="00516038" w:rsidRDefault="00EE3346" w:rsidP="00516038">
      <w:pPr>
        <w:tabs>
          <w:tab w:val="clear" w:pos="1615"/>
        </w:tabs>
        <w:spacing w:line="259" w:lineRule="auto"/>
        <w:rPr>
          <w:rFonts w:asciiTheme="majorHAnsi" w:hAnsiTheme="majorHAnsi" w:cstheme="majorHAnsi"/>
          <w:szCs w:val="20"/>
          <w:shd w:val="clear" w:color="auto" w:fill="FFFFFF"/>
        </w:rPr>
      </w:pPr>
      <w:r w:rsidRPr="00516038">
        <w:rPr>
          <w:rFonts w:asciiTheme="majorHAnsi" w:hAnsiTheme="majorHAnsi" w:cstheme="majorHAnsi"/>
          <w:szCs w:val="20"/>
          <w:shd w:val="clear" w:color="auto" w:fill="FFFFFF"/>
        </w:rPr>
        <w:br w:type="page"/>
      </w:r>
    </w:p>
    <w:p w14:paraId="5EEE5C2C" w14:textId="77777777" w:rsidR="00EE3346" w:rsidRPr="00FF66FE" w:rsidRDefault="00EE3346" w:rsidP="00FF66FE">
      <w:pPr>
        <w:pStyle w:val="Ttulo1"/>
        <w:numPr>
          <w:ilvl w:val="0"/>
          <w:numId w:val="1"/>
        </w:numPr>
        <w:tabs>
          <w:tab w:val="clear" w:pos="1615"/>
        </w:tabs>
        <w:spacing w:before="0" w:after="0" w:line="360" w:lineRule="auto"/>
        <w:ind w:left="432"/>
        <w:rPr>
          <w:rFonts w:asciiTheme="majorHAnsi" w:hAnsiTheme="majorHAnsi" w:cstheme="majorHAnsi"/>
          <w:color w:val="4875BD"/>
        </w:rPr>
      </w:pPr>
      <w:bookmarkStart w:id="80" w:name="_Toc89878057"/>
      <w:bookmarkStart w:id="81" w:name="_Toc102135006"/>
      <w:r w:rsidRPr="00FF66FE">
        <w:rPr>
          <w:rFonts w:asciiTheme="majorHAnsi" w:hAnsiTheme="majorHAnsi" w:cstheme="majorHAnsi"/>
          <w:color w:val="4875BD"/>
        </w:rPr>
        <w:t>ORGANIZAÇÃO DIDÁTICO-PEDAGÓGICA DOS CURSOS</w:t>
      </w:r>
      <w:bookmarkEnd w:id="80"/>
      <w:bookmarkEnd w:id="81"/>
    </w:p>
    <w:p w14:paraId="5D00207B" w14:textId="77777777" w:rsidR="00FF66FE" w:rsidRDefault="00FF66FE" w:rsidP="00516038">
      <w:pPr>
        <w:tabs>
          <w:tab w:val="clear" w:pos="1615"/>
        </w:tabs>
        <w:jc w:val="both"/>
        <w:rPr>
          <w:rFonts w:asciiTheme="majorHAnsi" w:hAnsiTheme="majorHAnsi" w:cstheme="majorHAnsi"/>
        </w:rPr>
      </w:pPr>
    </w:p>
    <w:p w14:paraId="7952E9CF" w14:textId="19012BF5"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Após a sanção da Lei de Diretrizes e Bases da Educação Nacional (LDB) (BRASIL, 1996), os cursos de graduação ofertados no país tiveram duas mudanças expressivas:</w:t>
      </w:r>
    </w:p>
    <w:p w14:paraId="7CE0A4A1" w14:textId="77777777" w:rsidR="00EE3346" w:rsidRPr="00FF66FE" w:rsidRDefault="00EE3346" w:rsidP="00FF66FE">
      <w:pPr>
        <w:pStyle w:val="PargrafodaLista"/>
        <w:numPr>
          <w:ilvl w:val="0"/>
          <w:numId w:val="5"/>
        </w:numPr>
        <w:tabs>
          <w:tab w:val="clear" w:pos="1615"/>
        </w:tabs>
        <w:spacing w:line="360" w:lineRule="auto"/>
        <w:jc w:val="both"/>
        <w:rPr>
          <w:rFonts w:asciiTheme="majorHAnsi" w:hAnsiTheme="majorHAnsi" w:cstheme="majorHAnsi"/>
          <w:sz w:val="24"/>
          <w:szCs w:val="24"/>
        </w:rPr>
      </w:pPr>
      <w:r w:rsidRPr="00FF66FE">
        <w:rPr>
          <w:rFonts w:asciiTheme="majorHAnsi" w:hAnsiTheme="majorHAnsi" w:cstheme="majorHAnsi"/>
          <w:b/>
          <w:sz w:val="24"/>
          <w:szCs w:val="24"/>
        </w:rPr>
        <w:t>Flexibilização curricular e fim do currículo mínimo:</w:t>
      </w:r>
      <w:r w:rsidRPr="00FF66FE">
        <w:rPr>
          <w:rFonts w:asciiTheme="majorHAnsi" w:hAnsiTheme="majorHAnsi" w:cstheme="majorHAnsi"/>
          <w:sz w:val="24"/>
          <w:szCs w:val="24"/>
        </w:rPr>
        <w:t xml:space="preserve"> a primeira refere-se à mudança de orientação quanto à rigidez da formação ofertada nos cursos de graduação. Enquanto a Lei n. 5540/68 estabelecia em seu Art. 26 que haveria a fixação de um currículo mínimo para todos os cursos superiores, a Lei n. 9394/96 estabeleceu no seu Art. 9.</w:t>
      </w:r>
      <w:r w:rsidRPr="00FF66FE">
        <w:rPr>
          <w:rFonts w:asciiTheme="majorHAnsi" w:hAnsiTheme="majorHAnsi" w:cstheme="majorHAnsi"/>
          <w:sz w:val="24"/>
          <w:szCs w:val="24"/>
          <w:vertAlign w:val="superscript"/>
        </w:rPr>
        <w:t>o</w:t>
      </w:r>
      <w:r w:rsidRPr="00FF66FE">
        <w:rPr>
          <w:rFonts w:asciiTheme="majorHAnsi" w:hAnsiTheme="majorHAnsi" w:cstheme="majorHAnsi"/>
          <w:sz w:val="24"/>
          <w:szCs w:val="24"/>
        </w:rPr>
        <w:t xml:space="preserve"> que “Compete à União, (...) baixar normas gerais para a educação básica e superior”.</w:t>
      </w:r>
    </w:p>
    <w:p w14:paraId="5118AD32" w14:textId="77777777" w:rsidR="00EE3346" w:rsidRPr="00FF66FE" w:rsidRDefault="00EE3346" w:rsidP="00FF66FE">
      <w:pPr>
        <w:pStyle w:val="PargrafodaLista"/>
        <w:numPr>
          <w:ilvl w:val="0"/>
          <w:numId w:val="5"/>
        </w:numPr>
        <w:tabs>
          <w:tab w:val="clear" w:pos="1615"/>
        </w:tabs>
        <w:spacing w:line="360" w:lineRule="auto"/>
        <w:jc w:val="both"/>
        <w:rPr>
          <w:rFonts w:asciiTheme="majorHAnsi" w:hAnsiTheme="majorHAnsi" w:cstheme="majorHAnsi"/>
          <w:b/>
          <w:sz w:val="24"/>
          <w:szCs w:val="24"/>
        </w:rPr>
      </w:pPr>
      <w:r w:rsidRPr="00FF66FE">
        <w:rPr>
          <w:rFonts w:asciiTheme="majorHAnsi" w:hAnsiTheme="majorHAnsi" w:cstheme="majorHAnsi"/>
          <w:b/>
          <w:sz w:val="24"/>
          <w:szCs w:val="24"/>
        </w:rPr>
        <w:t xml:space="preserve">Exercício profissional: </w:t>
      </w:r>
      <w:r w:rsidRPr="00FF66FE">
        <w:rPr>
          <w:rFonts w:asciiTheme="majorHAnsi" w:hAnsiTheme="majorHAnsi" w:cstheme="majorHAnsi"/>
          <w:sz w:val="24"/>
          <w:szCs w:val="24"/>
        </w:rPr>
        <w:t>a segunda refere-se ao significado do diploma de cursos devidamente reconhecidos. Enquanto o Art. 27 da Lei n. 5540/68 atribuía ao diploma a capacitação para o exercício profissional na área abrangida pelo respectivo currículo, a Lei n. 9394/96 estabeleceu que os diplomas seriam a prova da formação recebida por seu titular. Com isso, a garantia do exercício profissional daquelas carreiras reguladas em Lei passaram a ser de competência dos respectivos conselhos de classe.</w:t>
      </w:r>
    </w:p>
    <w:p w14:paraId="3AB948FB" w14:textId="655F6183" w:rsidR="00EE3346"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Essas duas modificações levaram à edição de organizações didático-pedagógicas de cursos bastante diversas, baseadas nas diretrizes curriculares nacionais que foram sendo estabelecidas a partir de orientação emanada pelo CNE, por meio do Parecer CNE/CES 776/97 (CNE, 1997) que salientava a necessidade de serem asseguradas a flexibilidade e a qualidade da formação oferecida aos estudantes e o respeito a oito princípios assim explicitados no documento:</w:t>
      </w:r>
    </w:p>
    <w:p w14:paraId="172CBDD4" w14:textId="77777777" w:rsidR="00FF66FE" w:rsidRPr="00FF66FE" w:rsidRDefault="00FF66FE" w:rsidP="00FF66FE">
      <w:pPr>
        <w:tabs>
          <w:tab w:val="clear" w:pos="1615"/>
        </w:tabs>
        <w:spacing w:line="360" w:lineRule="auto"/>
        <w:ind w:firstLine="709"/>
        <w:jc w:val="both"/>
        <w:rPr>
          <w:rFonts w:asciiTheme="majorHAnsi" w:hAnsiTheme="majorHAnsi" w:cstheme="majorHAnsi"/>
          <w:sz w:val="24"/>
          <w:szCs w:val="24"/>
        </w:rPr>
      </w:pPr>
    </w:p>
    <w:p w14:paraId="71319BA6" w14:textId="77777777" w:rsidR="00EE3346" w:rsidRPr="00516038" w:rsidRDefault="00EE3346" w:rsidP="00516038">
      <w:pPr>
        <w:tabs>
          <w:tab w:val="clear" w:pos="1615"/>
        </w:tabs>
        <w:spacing w:after="0"/>
        <w:ind w:left="2268" w:right="849"/>
        <w:jc w:val="both"/>
        <w:rPr>
          <w:rFonts w:asciiTheme="majorHAnsi" w:hAnsiTheme="majorHAnsi" w:cstheme="majorHAnsi"/>
        </w:rPr>
      </w:pPr>
      <w:r w:rsidRPr="00516038">
        <w:rPr>
          <w:rFonts w:asciiTheme="majorHAnsi" w:hAnsiTheme="majorHAnsi" w:cstheme="majorHAnsi"/>
        </w:rPr>
        <w:t>1) Assegurar às instituições de ensino superior ampla liberdade na composição da carga horária a ser cumprida para a integralização dos currículos, assim como na especificação das unidades de estudos a serem ministradas;</w:t>
      </w:r>
    </w:p>
    <w:p w14:paraId="172D20AD" w14:textId="77777777" w:rsidR="00EE3346" w:rsidRPr="00516038" w:rsidRDefault="00EE3346" w:rsidP="00516038">
      <w:pPr>
        <w:tabs>
          <w:tab w:val="clear" w:pos="1615"/>
        </w:tabs>
        <w:spacing w:after="0"/>
        <w:ind w:left="2268" w:right="849"/>
        <w:jc w:val="both"/>
        <w:rPr>
          <w:rFonts w:asciiTheme="majorHAnsi" w:hAnsiTheme="majorHAnsi" w:cstheme="majorHAnsi"/>
        </w:rPr>
      </w:pPr>
      <w:r w:rsidRPr="00516038">
        <w:rPr>
          <w:rFonts w:asciiTheme="majorHAnsi" w:hAnsiTheme="majorHAnsi" w:cstheme="majorHAnsi"/>
        </w:rPr>
        <w:t>2) Indicar os tópicos ou os campos de estudo e demais experiências de ensino-aprendizagem que comporão os currículos, evitando, ao máximo, a fixação de conteúdos específicos com cargas horárias pré-determinadas, as quais não poderão exceder 50% da carga horária total dos cursos;</w:t>
      </w:r>
    </w:p>
    <w:p w14:paraId="394B3995" w14:textId="77777777" w:rsidR="00EE3346" w:rsidRPr="00516038" w:rsidRDefault="00EE3346" w:rsidP="00516038">
      <w:pPr>
        <w:tabs>
          <w:tab w:val="clear" w:pos="1615"/>
        </w:tabs>
        <w:spacing w:after="0"/>
        <w:ind w:left="2268" w:right="849"/>
        <w:jc w:val="both"/>
        <w:rPr>
          <w:rFonts w:asciiTheme="majorHAnsi" w:hAnsiTheme="majorHAnsi" w:cstheme="majorHAnsi"/>
        </w:rPr>
      </w:pPr>
      <w:r w:rsidRPr="00516038">
        <w:rPr>
          <w:rFonts w:asciiTheme="majorHAnsi" w:hAnsiTheme="majorHAnsi" w:cstheme="majorHAnsi"/>
        </w:rPr>
        <w:t>3) Evitar o prolongamento desnecessário da duração dos cursos de graduação;</w:t>
      </w:r>
    </w:p>
    <w:p w14:paraId="15ECCD77" w14:textId="77777777" w:rsidR="00EE3346" w:rsidRPr="00516038" w:rsidRDefault="00EE3346" w:rsidP="00516038">
      <w:pPr>
        <w:tabs>
          <w:tab w:val="clear" w:pos="1615"/>
        </w:tabs>
        <w:spacing w:after="0"/>
        <w:ind w:left="2268" w:right="849"/>
        <w:jc w:val="both"/>
        <w:rPr>
          <w:rFonts w:asciiTheme="majorHAnsi" w:hAnsiTheme="majorHAnsi" w:cstheme="majorHAnsi"/>
        </w:rPr>
      </w:pPr>
      <w:r w:rsidRPr="00516038">
        <w:rPr>
          <w:rFonts w:asciiTheme="majorHAnsi" w:hAnsiTheme="majorHAnsi" w:cstheme="majorHAnsi"/>
        </w:rPr>
        <w:t>4) Incentivar uma sólida formação geral, necessária para que o futuro graduado possa vir a superar os desafios de renovadas condições de exercício profissional e de produção do conhecimento, permitindo variados tipos de formação e habilitações diferenciadas em um mesmo programa;</w:t>
      </w:r>
    </w:p>
    <w:p w14:paraId="38931AE2" w14:textId="77777777" w:rsidR="00EE3346" w:rsidRPr="00516038" w:rsidRDefault="00EE3346" w:rsidP="00516038">
      <w:pPr>
        <w:tabs>
          <w:tab w:val="clear" w:pos="1615"/>
        </w:tabs>
        <w:spacing w:after="0"/>
        <w:ind w:left="2268" w:right="849"/>
        <w:jc w:val="both"/>
        <w:rPr>
          <w:rFonts w:asciiTheme="majorHAnsi" w:hAnsiTheme="majorHAnsi" w:cstheme="majorHAnsi"/>
        </w:rPr>
      </w:pPr>
      <w:r w:rsidRPr="00516038">
        <w:rPr>
          <w:rFonts w:asciiTheme="majorHAnsi" w:hAnsiTheme="majorHAnsi" w:cstheme="majorHAnsi"/>
        </w:rPr>
        <w:t>5) Estimular práticas de estudo independente, visando a uma progressiva autonomia profissional e intelectual do aluno;</w:t>
      </w:r>
    </w:p>
    <w:p w14:paraId="7E7B22F8" w14:textId="77777777" w:rsidR="00EE3346" w:rsidRPr="00516038" w:rsidRDefault="00EE3346" w:rsidP="00516038">
      <w:pPr>
        <w:tabs>
          <w:tab w:val="clear" w:pos="1615"/>
        </w:tabs>
        <w:spacing w:after="0"/>
        <w:ind w:left="2268" w:right="849"/>
        <w:jc w:val="both"/>
        <w:rPr>
          <w:rFonts w:asciiTheme="majorHAnsi" w:hAnsiTheme="majorHAnsi" w:cstheme="majorHAnsi"/>
        </w:rPr>
      </w:pPr>
      <w:r w:rsidRPr="00516038">
        <w:rPr>
          <w:rFonts w:asciiTheme="majorHAnsi" w:hAnsiTheme="majorHAnsi" w:cstheme="majorHAnsi"/>
        </w:rPr>
        <w:t>6) Encorajar o reconhecimento de conhecimentos, de habilidades e de competências adquiridas fora do ambiente escolar, inclusive as que se referiram à experiência profissional julgada relevante para a área de formação considerada;</w:t>
      </w:r>
    </w:p>
    <w:p w14:paraId="54F98040" w14:textId="77777777" w:rsidR="00EE3346" w:rsidRPr="00516038" w:rsidRDefault="00EE3346" w:rsidP="00516038">
      <w:pPr>
        <w:tabs>
          <w:tab w:val="clear" w:pos="1615"/>
        </w:tabs>
        <w:spacing w:after="0"/>
        <w:ind w:left="2268" w:right="851"/>
        <w:jc w:val="both"/>
        <w:rPr>
          <w:rFonts w:asciiTheme="majorHAnsi" w:hAnsiTheme="majorHAnsi" w:cstheme="majorHAnsi"/>
        </w:rPr>
      </w:pPr>
      <w:r w:rsidRPr="00516038">
        <w:rPr>
          <w:rFonts w:asciiTheme="majorHAnsi" w:hAnsiTheme="majorHAnsi" w:cstheme="majorHAnsi"/>
        </w:rPr>
        <w:t>7) Fortalecer a articulação da teoria com a prática, valorizando a pesquisa individual e coletiva, assim como os estágios e a participação em atividades de extensão;</w:t>
      </w:r>
    </w:p>
    <w:p w14:paraId="02B9F058" w14:textId="2A7B1C53" w:rsidR="00EE3346" w:rsidRDefault="00EE3346" w:rsidP="00516038">
      <w:pPr>
        <w:tabs>
          <w:tab w:val="clear" w:pos="1615"/>
        </w:tabs>
        <w:ind w:left="2268" w:right="849"/>
        <w:jc w:val="both"/>
        <w:rPr>
          <w:rFonts w:asciiTheme="majorHAnsi" w:hAnsiTheme="majorHAnsi" w:cstheme="majorHAnsi"/>
        </w:rPr>
      </w:pPr>
      <w:r w:rsidRPr="00516038">
        <w:rPr>
          <w:rFonts w:asciiTheme="majorHAnsi" w:hAnsiTheme="majorHAnsi" w:cstheme="majorHAnsi"/>
        </w:rPr>
        <w:t>8) Incluir orientações para a condução de avaliações periódicas que utilizem instrumentos variados e que sirvam para informar a docentes e a discentes acerca do desenvolvimento das atividades didáticas.</w:t>
      </w:r>
    </w:p>
    <w:p w14:paraId="4FFA595E" w14:textId="77777777" w:rsidR="00FF66FE" w:rsidRPr="00516038" w:rsidRDefault="00FF66FE" w:rsidP="00516038">
      <w:pPr>
        <w:tabs>
          <w:tab w:val="clear" w:pos="1615"/>
        </w:tabs>
        <w:ind w:left="2268" w:right="849"/>
        <w:jc w:val="both"/>
        <w:rPr>
          <w:rFonts w:asciiTheme="majorHAnsi" w:hAnsiTheme="majorHAnsi" w:cstheme="majorHAnsi"/>
        </w:rPr>
      </w:pPr>
    </w:p>
    <w:p w14:paraId="32461252" w14:textId="434700DA" w:rsidR="00EE3346"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À exceção do primeiro princípio, posteriormente abandonado para o estabelecimento de uma carga horária mínima em função de abusos com relação ao tempo de integralização praticado em algumas instituições (CNE, 2007, 2009), os demais são válidos e servem para o balizamento na elaboração dos projetos pedagógicos de cursos de todas as instituições de ensino superior do país.</w:t>
      </w:r>
    </w:p>
    <w:p w14:paraId="15F875AD" w14:textId="77777777" w:rsidR="00FF66FE" w:rsidRPr="00FF66FE" w:rsidRDefault="00FF66FE" w:rsidP="00FF66FE">
      <w:pPr>
        <w:tabs>
          <w:tab w:val="clear" w:pos="1615"/>
        </w:tabs>
        <w:spacing w:line="360" w:lineRule="auto"/>
        <w:ind w:firstLine="709"/>
        <w:jc w:val="both"/>
        <w:rPr>
          <w:rFonts w:asciiTheme="majorHAnsi" w:hAnsiTheme="majorHAnsi" w:cstheme="majorHAnsi"/>
          <w:sz w:val="24"/>
          <w:szCs w:val="24"/>
        </w:rPr>
      </w:pPr>
    </w:p>
    <w:p w14:paraId="4539B007" w14:textId="77777777" w:rsidR="00EE3346" w:rsidRPr="00516038" w:rsidRDefault="00EE3346" w:rsidP="00FF66FE">
      <w:pPr>
        <w:pStyle w:val="Ttulo2"/>
        <w:numPr>
          <w:ilvl w:val="1"/>
          <w:numId w:val="1"/>
        </w:numPr>
        <w:tabs>
          <w:tab w:val="clear" w:pos="1615"/>
        </w:tabs>
        <w:spacing w:before="0" w:after="0" w:line="360" w:lineRule="auto"/>
        <w:ind w:left="993"/>
        <w:jc w:val="left"/>
        <w:rPr>
          <w:rFonts w:asciiTheme="majorHAnsi" w:hAnsiTheme="majorHAnsi" w:cstheme="majorHAnsi"/>
        </w:rPr>
      </w:pPr>
      <w:bookmarkStart w:id="82" w:name="_Toc102135007"/>
      <w:r w:rsidRPr="00516038">
        <w:rPr>
          <w:rFonts w:asciiTheme="majorHAnsi" w:hAnsiTheme="majorHAnsi" w:cstheme="majorHAnsi"/>
        </w:rPr>
        <w:t>POSSIBILIDADES PARA INGRESSO E DESENVOLVIMENTO DE CURSOS</w:t>
      </w:r>
      <w:bookmarkEnd w:id="82"/>
    </w:p>
    <w:p w14:paraId="5122DE06" w14:textId="64179FE9"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O ingresso nas Universidades a partir da Lei n. 5540/68 (BRASIL, 1968) passou a contar com exames classificatórios por carreira ou curso, de modo a eliminar o problema então existente de excedentes de aprovados para esse nível de ensino. A despeito de se ter cada vez mais o ingresso voltado para uma formação específica, a própria abordagem inter e transdisciplinar, associada ao grande número de flutuações de estudantes entre cursos, especialmente da mesma área, começaram a pressionar por ingressos mais genéricos e para as formações mais gerais.</w:t>
      </w:r>
    </w:p>
    <w:p w14:paraId="41AC7215" w14:textId="795EAA2C"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Assim, há IES que já contam com um sistema de ingresso por área e que oferecem uma formação inicial mais generalista e que vem ao encontro dessa nova pressão social por profissionais egressos de cursos superiores com competências que vão além dos conhecimentos técnicos.</w:t>
      </w:r>
    </w:p>
    <w:p w14:paraId="0FA16AAC" w14:textId="3FB355D7"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Na Figura 4.1 é exibido um esquema contendo o ingresso e o desenvolvimento dos cursos por áreas do conhecimento. Pode-se notar que foram listadas quatro áreas, sendo uma delas específica para cursos de licenciatura, cujas características comuns permitem sua classificação com ingresso único, mas também pode ser realizada por grande área, como ocorre nas licenciaturas interdisciplinares de Ciências Naturais e Matemática, ou de Letras e Humanidades, que podem ou não envolver também a área de arte. No esquema, além dos cursos para a formação de professores para a educação básica, foram listadas três outras entradas: Ciências Exatas e Naturais, Ciências da Saúde e Ciências e Humanidades, envolvendo as Linguagens e Arte (Figura 4.1A). Além disso, após o ingresso, os cursos podem apresentar alguma intersecção ou atividades curriculares comuns, inclusive a todos eles (Figura 4.1B), o que implica em uma formação mais generalista no ingresso e que traz a vantagem de permitir ajustes entre os estudantes para a escolha de suas carreiras, ou ter uma salutar vivência universitária mais diversificada quando ocorre o “rito de passagem” para esse nível de ensino. Após uma formação mais genérica e interdisciplinar, a estrutura pode prever formações em carreiras específicas, previstas e regulamentadas ou não em leis, conforme esquema da Figura 4.1C.</w:t>
      </w:r>
    </w:p>
    <w:p w14:paraId="3E85F032" w14:textId="77777777" w:rsidR="00EE3346" w:rsidRPr="00516038" w:rsidRDefault="00EE3346" w:rsidP="00516038">
      <w:pPr>
        <w:tabs>
          <w:tab w:val="clear" w:pos="1615"/>
        </w:tabs>
        <w:jc w:val="both"/>
        <w:rPr>
          <w:rFonts w:asciiTheme="majorHAnsi" w:hAnsiTheme="majorHAnsi" w:cstheme="majorHAnsi"/>
          <w:sz w:val="20"/>
        </w:rPr>
      </w:pPr>
      <w:r w:rsidRPr="00516038">
        <w:rPr>
          <w:rFonts w:asciiTheme="majorHAnsi" w:hAnsiTheme="majorHAnsi" w:cstheme="majorHAnsi"/>
          <w:sz w:val="20"/>
        </w:rPr>
        <w:t>Figura 4.</w:t>
      </w:r>
      <w:r w:rsidRPr="00516038">
        <w:rPr>
          <w:rFonts w:asciiTheme="majorHAnsi" w:hAnsiTheme="majorHAnsi" w:cstheme="majorHAnsi"/>
          <w:noProof/>
          <w:sz w:val="20"/>
        </w:rPr>
        <w:fldChar w:fldCharType="begin"/>
      </w:r>
      <w:r w:rsidRPr="00516038">
        <w:rPr>
          <w:rFonts w:asciiTheme="majorHAnsi" w:hAnsiTheme="majorHAnsi" w:cstheme="majorHAnsi"/>
          <w:noProof/>
          <w:sz w:val="20"/>
        </w:rPr>
        <w:instrText xml:space="preserve"> SEQ Figura \* ARABIC </w:instrText>
      </w:r>
      <w:r w:rsidRPr="00516038">
        <w:rPr>
          <w:rFonts w:asciiTheme="majorHAnsi" w:hAnsiTheme="majorHAnsi" w:cstheme="majorHAnsi"/>
          <w:noProof/>
          <w:sz w:val="20"/>
        </w:rPr>
        <w:fldChar w:fldCharType="separate"/>
      </w:r>
      <w:r w:rsidRPr="00516038">
        <w:rPr>
          <w:rFonts w:asciiTheme="majorHAnsi" w:hAnsiTheme="majorHAnsi" w:cstheme="majorHAnsi"/>
          <w:noProof/>
          <w:sz w:val="20"/>
        </w:rPr>
        <w:t>1</w:t>
      </w:r>
      <w:r w:rsidRPr="00516038">
        <w:rPr>
          <w:rFonts w:asciiTheme="majorHAnsi" w:hAnsiTheme="majorHAnsi" w:cstheme="majorHAnsi"/>
          <w:noProof/>
          <w:sz w:val="20"/>
        </w:rPr>
        <w:fldChar w:fldCharType="end"/>
      </w:r>
      <w:r w:rsidRPr="00516038">
        <w:rPr>
          <w:rFonts w:asciiTheme="majorHAnsi" w:hAnsiTheme="majorHAnsi" w:cstheme="majorHAnsi"/>
          <w:sz w:val="20"/>
        </w:rPr>
        <w:t xml:space="preserve"> – Organização dos cursos a partir do ingresso em quatro grandes áreas do conhecimento. O início da formação poderá ser feito de forma menos (A) ou mais interativa (B). Após a formação interdisciplinar, segue-se a formação específica em diferentes carreiras ou formações definidas em lei (C). Para detalhes, consultar o texto.</w:t>
      </w:r>
    </w:p>
    <w:p w14:paraId="335C9258" w14:textId="77777777" w:rsidR="00EE3346" w:rsidRPr="00516038" w:rsidRDefault="00EE3346" w:rsidP="00516038">
      <w:pPr>
        <w:tabs>
          <w:tab w:val="clear" w:pos="1615"/>
        </w:tabs>
        <w:spacing w:after="0"/>
        <w:rPr>
          <w:rFonts w:asciiTheme="majorHAnsi" w:hAnsiTheme="majorHAnsi" w:cstheme="majorHAnsi"/>
        </w:rPr>
      </w:pPr>
      <w:r w:rsidRPr="00516038">
        <w:rPr>
          <w:rFonts w:asciiTheme="majorHAnsi" w:hAnsiTheme="majorHAnsi" w:cstheme="majorHAnsi"/>
          <w:noProof/>
          <w:lang w:eastAsia="pt-BR"/>
        </w:rPr>
        <w:drawing>
          <wp:inline distT="0" distB="0" distL="0" distR="0" wp14:anchorId="0FE7C888" wp14:editId="4A04B11E">
            <wp:extent cx="6120130" cy="2076947"/>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0130" cy="2076947"/>
                    </a:xfrm>
                    <a:prstGeom prst="rect">
                      <a:avLst/>
                    </a:prstGeom>
                    <a:noFill/>
                    <a:ln>
                      <a:noFill/>
                    </a:ln>
                  </pic:spPr>
                </pic:pic>
              </a:graphicData>
            </a:graphic>
          </wp:inline>
        </w:drawing>
      </w:r>
    </w:p>
    <w:p w14:paraId="01670E31" w14:textId="77777777" w:rsidR="00EE3346" w:rsidRPr="00516038" w:rsidRDefault="00EE3346" w:rsidP="00516038">
      <w:pPr>
        <w:tabs>
          <w:tab w:val="clear" w:pos="1615"/>
        </w:tabs>
        <w:rPr>
          <w:rFonts w:asciiTheme="majorHAnsi" w:hAnsiTheme="majorHAnsi" w:cstheme="majorHAnsi"/>
          <w:sz w:val="16"/>
        </w:rPr>
      </w:pPr>
      <w:r w:rsidRPr="00516038">
        <w:rPr>
          <w:rFonts w:asciiTheme="majorHAnsi" w:hAnsiTheme="majorHAnsi" w:cstheme="majorHAnsi"/>
          <w:sz w:val="16"/>
        </w:rPr>
        <w:t>Fonte: Elaborado pelo autor</w:t>
      </w:r>
    </w:p>
    <w:p w14:paraId="69982791" w14:textId="5DF0FCAF" w:rsidR="00EE3346" w:rsidRPr="00516038" w:rsidRDefault="00EE3346" w:rsidP="00516038">
      <w:pPr>
        <w:tabs>
          <w:tab w:val="clear" w:pos="1615"/>
        </w:tabs>
        <w:jc w:val="both"/>
        <w:rPr>
          <w:rFonts w:asciiTheme="majorHAnsi" w:hAnsiTheme="majorHAnsi" w:cstheme="majorHAnsi"/>
        </w:rPr>
      </w:pPr>
      <w:r w:rsidRPr="00516038">
        <w:rPr>
          <w:rFonts w:asciiTheme="majorHAnsi" w:hAnsiTheme="majorHAnsi" w:cstheme="majorHAnsi"/>
        </w:rPr>
        <w:t>Obviamente, o modelo pode prever mais áreas diferenciadas para ingresso ou, no limite, prever um único. Há vantagens e desvantagens para que isso ocorra e seguem algumas considerações.</w:t>
      </w:r>
    </w:p>
    <w:p w14:paraId="0D32E79B" w14:textId="011AAEC7"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A maior vantagem para ingressos mais genéricos refere-se ao fato de que há uma formação comum que se dá no ensino superior e que transcende àquela da formação do cidadão realizada na educação básica e que, além de tudo, nem sempre é obtida. A maturidade e a autonomia na apropriação do conhecimento trazem um diferencial para aqueles que acessam esse nível de escolarização. Além disso, após o término da educação básica, aos 17 anos, muitos jovens ainda não sabem ao certo que carreira pretendem seguir, o que gera uma grande movimentação entre cursos, ainda que em uma mesma instituição. Assim, os cursos de menor demanda acabam tendo um saldo negativo e uma ociosidade crescente, já que a saída de estudantes se torna maior que a entrada.</w:t>
      </w:r>
    </w:p>
    <w:p w14:paraId="74EBE2E6" w14:textId="77AFBCAA"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Uma desvantagem que leva muitas IES a manterem o ingresso diferenciado refere-se à existência de uma demanda muito diferente entre as carreiras, muitas vezes na mesma área do conhecimento. É inegável que as mais antigas e tradicionais continuam mantendo uma maior procura: Medicina na área da saúde, Direito na área de humanas e Engenharia na área de exatas são exemplos dessa diferenciação, que muitas vezes enfrenta a concorrência de alguma formação “da moda” que acaba por contrariar essa lógica. Entretanto, um ingresso diferenciado não garante que não haverá migração para cursos de maior demanda. Além disso, uma escolha mais tardia e baseada num conjunto de avaliações e no desenvolvimento ao longo de um tempo maior pode ser mais sólida do que um ingresso vocacionado realizado a partir de um conjunto de provas que não medem obrigatoriamente o conhecimento. Talvez, com a estruturação do ensino médio contemplando formações mais voltadas para uma grande área, como prevê o Artigo 38a da LDB (BRASIL, 1996), a situação se torne ainda mais interessante para ingressos por grande área.</w:t>
      </w:r>
    </w:p>
    <w:p w14:paraId="186C773C" w14:textId="028E080C" w:rsidR="00EE3346"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Na Figura 4.2 é mostrada a possibilidade de haver um ingresso único para a instituição e, depois dele, por algum critério e ao longo de um certo tempo em que se desenvolvem atividades comuns a todas as formações, haver a diferenciação por grande área e, depois disso, para os diferentes cursos mais específicos. Também essa concepção pode dar lugar a uma outra, em que o ingresso ocorra e o critério seja utilizado para cada itinerário formativo mais simples, sem configurar um curso ou formação graduada. Com isso, poderia haver uma maior adequação das formações aos anseios dos estudantes e isso levaria a uma sensível diminuição do abandono escolar no ensino superior (PIVA Jr. e CORTELAZZO, 2019).</w:t>
      </w:r>
    </w:p>
    <w:p w14:paraId="1DD75A5A" w14:textId="77777777" w:rsidR="00FF66FE" w:rsidRPr="00FF66FE" w:rsidRDefault="00FF66FE" w:rsidP="00FF66FE">
      <w:pPr>
        <w:tabs>
          <w:tab w:val="clear" w:pos="1615"/>
        </w:tabs>
        <w:spacing w:line="360" w:lineRule="auto"/>
        <w:ind w:firstLine="709"/>
        <w:jc w:val="both"/>
        <w:rPr>
          <w:rFonts w:asciiTheme="majorHAnsi" w:hAnsiTheme="majorHAnsi" w:cstheme="majorHAnsi"/>
          <w:sz w:val="24"/>
          <w:szCs w:val="24"/>
        </w:rPr>
      </w:pPr>
    </w:p>
    <w:p w14:paraId="1426FF02" w14:textId="77777777" w:rsidR="00EE3346" w:rsidRPr="00516038" w:rsidRDefault="00EE3346" w:rsidP="008A364C">
      <w:pPr>
        <w:pStyle w:val="Legenda"/>
      </w:pPr>
      <w:r w:rsidRPr="00516038">
        <w:t>Figura 4.2 – Ingresso único, seguido de um maior ou menor período comum da formação, com maior ou menor interação entre as diferentes áreas. Possibilidades para ingresso nos cursos da UnDF.</w:t>
      </w:r>
    </w:p>
    <w:p w14:paraId="3711AAC5" w14:textId="77777777" w:rsidR="00EE3346" w:rsidRPr="00516038" w:rsidRDefault="00EE3346" w:rsidP="00516038">
      <w:pPr>
        <w:tabs>
          <w:tab w:val="clear" w:pos="1615"/>
        </w:tabs>
        <w:spacing w:after="0"/>
        <w:rPr>
          <w:rFonts w:asciiTheme="majorHAnsi" w:hAnsiTheme="majorHAnsi" w:cstheme="majorHAnsi"/>
        </w:rPr>
      </w:pPr>
      <w:r w:rsidRPr="00516038">
        <w:rPr>
          <w:rFonts w:asciiTheme="majorHAnsi" w:hAnsiTheme="majorHAnsi" w:cstheme="majorHAnsi"/>
          <w:noProof/>
          <w:lang w:eastAsia="pt-BR"/>
        </w:rPr>
        <w:drawing>
          <wp:inline distT="0" distB="0" distL="0" distR="0" wp14:anchorId="310BB014" wp14:editId="286EC37D">
            <wp:extent cx="6120130" cy="2991485"/>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130" cy="2991485"/>
                    </a:xfrm>
                    <a:prstGeom prst="rect">
                      <a:avLst/>
                    </a:prstGeom>
                    <a:noFill/>
                    <a:ln>
                      <a:noFill/>
                    </a:ln>
                  </pic:spPr>
                </pic:pic>
              </a:graphicData>
            </a:graphic>
          </wp:inline>
        </w:drawing>
      </w:r>
    </w:p>
    <w:p w14:paraId="3BD12680" w14:textId="77777777" w:rsidR="00EE3346" w:rsidRPr="00516038" w:rsidRDefault="00EE3346" w:rsidP="00516038">
      <w:pPr>
        <w:tabs>
          <w:tab w:val="clear" w:pos="1615"/>
        </w:tabs>
        <w:rPr>
          <w:rFonts w:asciiTheme="majorHAnsi" w:hAnsiTheme="majorHAnsi" w:cstheme="majorHAnsi"/>
          <w:sz w:val="16"/>
        </w:rPr>
      </w:pPr>
      <w:r w:rsidRPr="00516038">
        <w:rPr>
          <w:rFonts w:asciiTheme="majorHAnsi" w:hAnsiTheme="majorHAnsi" w:cstheme="majorHAnsi"/>
          <w:sz w:val="16"/>
        </w:rPr>
        <w:t>Fonte: Elaborado pelo autor</w:t>
      </w:r>
    </w:p>
    <w:p w14:paraId="4B4F9211" w14:textId="77777777" w:rsidR="00FF66FE" w:rsidRDefault="00FF66FE" w:rsidP="00FF66FE">
      <w:pPr>
        <w:tabs>
          <w:tab w:val="clear" w:pos="1615"/>
        </w:tabs>
        <w:spacing w:line="360" w:lineRule="auto"/>
        <w:ind w:firstLine="709"/>
        <w:jc w:val="both"/>
        <w:rPr>
          <w:rFonts w:asciiTheme="majorHAnsi" w:hAnsiTheme="majorHAnsi" w:cstheme="majorHAnsi"/>
          <w:sz w:val="24"/>
          <w:szCs w:val="24"/>
        </w:rPr>
      </w:pPr>
    </w:p>
    <w:p w14:paraId="61BEDBA8" w14:textId="46A37197" w:rsidR="00EE3346"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Finalmente, poder-se-ia propor um modelo em que não houvesse a diferenciação por área, mas simplesmente a escolha de itinerários por parte dos estudantes, garantindo diferentes formações. Talvez esse modelo, esquematizado na Figura 4.3, possa ser uma meta a ser atingida num segundo momento, já que uma instituição sem tradição poderia ter um acréscimo de dificuldades para se consolidar em um modelo tão diferenciado, mas com certeza muito atraente. Nesse modelo, a figura de um tutor ou de um orientador seria fundamental para permitir que os itinerários não fossem tão aleatórios ou os movimentos formativos não fossem “brownianos”, permitindo uma certa coerência e otimização da sua realização.</w:t>
      </w:r>
    </w:p>
    <w:p w14:paraId="0749786A" w14:textId="77777777" w:rsidR="00FF66FE" w:rsidRPr="00FF66FE" w:rsidRDefault="00FF66FE" w:rsidP="00FF66FE">
      <w:pPr>
        <w:tabs>
          <w:tab w:val="clear" w:pos="1615"/>
        </w:tabs>
        <w:spacing w:line="360" w:lineRule="auto"/>
        <w:ind w:firstLine="709"/>
        <w:jc w:val="both"/>
        <w:rPr>
          <w:rFonts w:asciiTheme="majorHAnsi" w:hAnsiTheme="majorHAnsi" w:cstheme="majorHAnsi"/>
          <w:sz w:val="24"/>
          <w:szCs w:val="24"/>
        </w:rPr>
      </w:pPr>
    </w:p>
    <w:p w14:paraId="71FDB018" w14:textId="77777777" w:rsidR="00EE3346" w:rsidRPr="00516038" w:rsidRDefault="00EE3346" w:rsidP="008A364C">
      <w:pPr>
        <w:pStyle w:val="Legenda"/>
      </w:pPr>
      <w:r w:rsidRPr="00516038">
        <w:t xml:space="preserve">Figura 4.3 – Ingresso único, seguido de itinerários formativos de livre escolha do aluno, representados por cada um dos círculos coloridos, até terminar um percurso que origine a diplomação ou o grau acadêmico, resultado da somatória das atividades realizadas. </w:t>
      </w:r>
    </w:p>
    <w:p w14:paraId="2C59706C" w14:textId="77777777" w:rsidR="00EE3346" w:rsidRPr="00516038" w:rsidRDefault="00EE3346" w:rsidP="00516038">
      <w:pPr>
        <w:tabs>
          <w:tab w:val="clear" w:pos="1615"/>
        </w:tabs>
        <w:spacing w:after="0"/>
        <w:jc w:val="center"/>
        <w:rPr>
          <w:rFonts w:asciiTheme="majorHAnsi" w:hAnsiTheme="majorHAnsi" w:cstheme="majorHAnsi"/>
        </w:rPr>
      </w:pPr>
      <w:r w:rsidRPr="00516038">
        <w:rPr>
          <w:rFonts w:asciiTheme="majorHAnsi" w:hAnsiTheme="majorHAnsi" w:cstheme="majorHAnsi"/>
          <w:noProof/>
          <w:lang w:eastAsia="pt-BR"/>
        </w:rPr>
        <w:drawing>
          <wp:inline distT="0" distB="0" distL="0" distR="0" wp14:anchorId="3C4E4C2E" wp14:editId="22CD5C47">
            <wp:extent cx="4131310" cy="3655722"/>
            <wp:effectExtent l="0" t="0" r="2540" b="190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47199" cy="3669782"/>
                    </a:xfrm>
                    <a:prstGeom prst="rect">
                      <a:avLst/>
                    </a:prstGeom>
                    <a:noFill/>
                    <a:ln>
                      <a:noFill/>
                    </a:ln>
                  </pic:spPr>
                </pic:pic>
              </a:graphicData>
            </a:graphic>
          </wp:inline>
        </w:drawing>
      </w:r>
    </w:p>
    <w:p w14:paraId="7E3AA1B1" w14:textId="77777777" w:rsidR="00EE3346" w:rsidRPr="00516038" w:rsidRDefault="00EE3346" w:rsidP="00FF66FE">
      <w:pPr>
        <w:tabs>
          <w:tab w:val="clear" w:pos="1615"/>
        </w:tabs>
        <w:rPr>
          <w:rFonts w:asciiTheme="majorHAnsi" w:hAnsiTheme="majorHAnsi" w:cstheme="majorHAnsi"/>
          <w:sz w:val="16"/>
        </w:rPr>
      </w:pPr>
      <w:r w:rsidRPr="00516038">
        <w:rPr>
          <w:rFonts w:asciiTheme="majorHAnsi" w:hAnsiTheme="majorHAnsi" w:cstheme="majorHAnsi"/>
          <w:sz w:val="16"/>
        </w:rPr>
        <w:t>Fonte: Elaborado pelo autor.</w:t>
      </w:r>
    </w:p>
    <w:p w14:paraId="2F701FF0" w14:textId="77777777" w:rsidR="00FF66FE" w:rsidRDefault="00FF66FE" w:rsidP="00516038">
      <w:pPr>
        <w:tabs>
          <w:tab w:val="clear" w:pos="1615"/>
        </w:tabs>
        <w:jc w:val="both"/>
        <w:rPr>
          <w:rFonts w:asciiTheme="majorHAnsi" w:hAnsiTheme="majorHAnsi" w:cstheme="majorHAnsi"/>
        </w:rPr>
      </w:pPr>
    </w:p>
    <w:p w14:paraId="2A5A07ED" w14:textId="289D23B8" w:rsidR="00EE3346" w:rsidRPr="00FF66FE" w:rsidRDefault="00EE3346" w:rsidP="00FF66FE">
      <w:pPr>
        <w:tabs>
          <w:tab w:val="clear" w:pos="1615"/>
        </w:tabs>
        <w:spacing w:line="360" w:lineRule="auto"/>
        <w:ind w:firstLine="708"/>
        <w:jc w:val="both"/>
        <w:rPr>
          <w:rFonts w:asciiTheme="majorHAnsi" w:hAnsiTheme="majorHAnsi" w:cstheme="majorHAnsi"/>
          <w:sz w:val="24"/>
          <w:szCs w:val="24"/>
        </w:rPr>
      </w:pPr>
      <w:r w:rsidRPr="00FF66FE">
        <w:rPr>
          <w:rFonts w:asciiTheme="majorHAnsi" w:hAnsiTheme="majorHAnsi" w:cstheme="majorHAnsi"/>
          <w:sz w:val="24"/>
          <w:szCs w:val="24"/>
        </w:rPr>
        <w:t>Conforme já explicitado no capítulo anterior, a forma de desenvolvimento dos cursos pode se dar em um modelo disciplinar, que é o mais comumente utilizado, exclusivamente por projetos sem ser formalizada nenhuma atividade disciplinar específica e em um sistema misto, com projetos, problemas ou questões a serem resolvidas.</w:t>
      </w:r>
    </w:p>
    <w:p w14:paraId="5AEED60E" w14:textId="7B8608B6" w:rsidR="00EE3346" w:rsidRPr="00FF66FE" w:rsidRDefault="00EE3346" w:rsidP="00FF66FE">
      <w:pPr>
        <w:tabs>
          <w:tab w:val="clear" w:pos="1615"/>
        </w:tabs>
        <w:spacing w:line="360" w:lineRule="auto"/>
        <w:ind w:firstLine="708"/>
        <w:jc w:val="both"/>
        <w:rPr>
          <w:rFonts w:asciiTheme="majorHAnsi" w:hAnsiTheme="majorHAnsi" w:cstheme="majorHAnsi"/>
          <w:sz w:val="24"/>
          <w:szCs w:val="24"/>
        </w:rPr>
      </w:pPr>
      <w:r w:rsidRPr="00FF66FE">
        <w:rPr>
          <w:rFonts w:asciiTheme="majorHAnsi" w:hAnsiTheme="majorHAnsi" w:cstheme="majorHAnsi"/>
          <w:sz w:val="24"/>
          <w:szCs w:val="24"/>
        </w:rPr>
        <w:t>Quando as atividades realizadas são disciplinares, o tipo de organização pedagógica para a formação será o de cada disciplina ou atividade curricular, ficando para o estudante a responsabilidade de desenvolver a integração entre os conhecimentos tratados e desenvolver as competências necessárias para a sua mobilização. Assim, essa estruturação explicitamente disciplinarizada vai de encontro ao disposto no Art. 3.</w:t>
      </w:r>
      <w:r w:rsidRPr="00FF66FE">
        <w:rPr>
          <w:rFonts w:asciiTheme="majorHAnsi" w:hAnsiTheme="majorHAnsi" w:cstheme="majorHAnsi"/>
          <w:sz w:val="24"/>
          <w:szCs w:val="24"/>
          <w:vertAlign w:val="superscript"/>
        </w:rPr>
        <w:t>o</w:t>
      </w:r>
      <w:r w:rsidRPr="00FF66FE">
        <w:rPr>
          <w:rFonts w:asciiTheme="majorHAnsi" w:hAnsiTheme="majorHAnsi" w:cstheme="majorHAnsi"/>
          <w:sz w:val="24"/>
          <w:szCs w:val="24"/>
        </w:rPr>
        <w:t xml:space="preserve"> da Lei de criação da UnDF, que estabelece, especialmente nos seus Incisos IV e V, abaixo transcritos:</w:t>
      </w:r>
    </w:p>
    <w:p w14:paraId="600915BE" w14:textId="77777777" w:rsidR="00FF66FE" w:rsidRPr="00516038" w:rsidRDefault="00FF66FE" w:rsidP="00516038">
      <w:pPr>
        <w:tabs>
          <w:tab w:val="clear" w:pos="1615"/>
        </w:tabs>
        <w:jc w:val="both"/>
        <w:rPr>
          <w:rFonts w:asciiTheme="majorHAnsi" w:hAnsiTheme="majorHAnsi" w:cstheme="majorHAnsi"/>
        </w:rPr>
      </w:pPr>
    </w:p>
    <w:p w14:paraId="1796B174" w14:textId="77777777" w:rsidR="00EE3346" w:rsidRPr="00516038" w:rsidRDefault="00EE3346" w:rsidP="00516038">
      <w:pPr>
        <w:tabs>
          <w:tab w:val="clear" w:pos="1615"/>
        </w:tabs>
        <w:autoSpaceDE w:val="0"/>
        <w:autoSpaceDN w:val="0"/>
        <w:adjustRightInd w:val="0"/>
        <w:spacing w:after="0"/>
        <w:ind w:left="2268" w:right="851"/>
        <w:jc w:val="both"/>
        <w:rPr>
          <w:rFonts w:asciiTheme="majorHAnsi" w:hAnsiTheme="majorHAnsi" w:cstheme="majorHAnsi"/>
          <w:szCs w:val="21"/>
        </w:rPr>
      </w:pPr>
      <w:r w:rsidRPr="00516038">
        <w:rPr>
          <w:rFonts w:asciiTheme="majorHAnsi" w:hAnsiTheme="majorHAnsi" w:cstheme="majorHAnsi"/>
          <w:szCs w:val="21"/>
        </w:rPr>
        <w:t>Art. 3º São diretrizes de atuação da UnDF:</w:t>
      </w:r>
    </w:p>
    <w:p w14:paraId="0B2264DE" w14:textId="77777777" w:rsidR="00EE3346" w:rsidRPr="00516038" w:rsidRDefault="00EE3346" w:rsidP="00516038">
      <w:pPr>
        <w:tabs>
          <w:tab w:val="clear" w:pos="1615"/>
        </w:tabs>
        <w:autoSpaceDE w:val="0"/>
        <w:autoSpaceDN w:val="0"/>
        <w:adjustRightInd w:val="0"/>
        <w:spacing w:after="0"/>
        <w:ind w:left="2268" w:right="851"/>
        <w:jc w:val="both"/>
        <w:rPr>
          <w:rFonts w:asciiTheme="majorHAnsi" w:hAnsiTheme="majorHAnsi" w:cstheme="majorHAnsi"/>
          <w:szCs w:val="21"/>
        </w:rPr>
      </w:pPr>
      <w:r w:rsidRPr="00516038">
        <w:rPr>
          <w:rFonts w:asciiTheme="majorHAnsi" w:hAnsiTheme="majorHAnsi" w:cstheme="majorHAnsi"/>
          <w:szCs w:val="21"/>
        </w:rPr>
        <w:t>...</w:t>
      </w:r>
    </w:p>
    <w:p w14:paraId="41845531" w14:textId="77777777" w:rsidR="00EE3346" w:rsidRPr="00516038" w:rsidRDefault="00EE3346" w:rsidP="00516038">
      <w:pPr>
        <w:tabs>
          <w:tab w:val="clear" w:pos="1615"/>
        </w:tabs>
        <w:autoSpaceDE w:val="0"/>
        <w:autoSpaceDN w:val="0"/>
        <w:adjustRightInd w:val="0"/>
        <w:spacing w:after="0"/>
        <w:ind w:left="2268" w:right="851"/>
        <w:jc w:val="both"/>
        <w:rPr>
          <w:rFonts w:asciiTheme="majorHAnsi" w:hAnsiTheme="majorHAnsi" w:cstheme="majorHAnsi"/>
          <w:szCs w:val="21"/>
        </w:rPr>
      </w:pPr>
      <w:r w:rsidRPr="00516038">
        <w:rPr>
          <w:rFonts w:asciiTheme="majorHAnsi" w:hAnsiTheme="majorHAnsi" w:cstheme="majorHAnsi"/>
          <w:szCs w:val="21"/>
        </w:rPr>
        <w:t xml:space="preserve">IV – utilização de metodologias problematizadoras de ensino e aprendizagem, respeitadas: </w:t>
      </w:r>
    </w:p>
    <w:p w14:paraId="0CC509A7" w14:textId="77777777" w:rsidR="00EE3346" w:rsidRPr="00516038" w:rsidRDefault="00EE3346" w:rsidP="00516038">
      <w:pPr>
        <w:tabs>
          <w:tab w:val="clear" w:pos="1615"/>
        </w:tabs>
        <w:autoSpaceDE w:val="0"/>
        <w:autoSpaceDN w:val="0"/>
        <w:adjustRightInd w:val="0"/>
        <w:spacing w:after="0"/>
        <w:ind w:left="2268" w:right="851"/>
        <w:jc w:val="both"/>
        <w:rPr>
          <w:rFonts w:asciiTheme="majorHAnsi" w:hAnsiTheme="majorHAnsi" w:cstheme="majorHAnsi"/>
          <w:szCs w:val="21"/>
        </w:rPr>
      </w:pPr>
      <w:r w:rsidRPr="00516038">
        <w:rPr>
          <w:rFonts w:asciiTheme="majorHAnsi" w:hAnsiTheme="majorHAnsi" w:cstheme="majorHAnsi"/>
          <w:szCs w:val="21"/>
        </w:rPr>
        <w:t>a) as referências curriculares de cada área do saber;</w:t>
      </w:r>
    </w:p>
    <w:p w14:paraId="7E0FFEC4" w14:textId="77777777" w:rsidR="00EE3346" w:rsidRPr="00516038" w:rsidRDefault="00EE3346" w:rsidP="00516038">
      <w:pPr>
        <w:tabs>
          <w:tab w:val="clear" w:pos="1615"/>
        </w:tabs>
        <w:autoSpaceDE w:val="0"/>
        <w:autoSpaceDN w:val="0"/>
        <w:adjustRightInd w:val="0"/>
        <w:spacing w:after="0"/>
        <w:ind w:left="2268" w:right="851"/>
        <w:jc w:val="both"/>
        <w:rPr>
          <w:rFonts w:asciiTheme="majorHAnsi" w:hAnsiTheme="majorHAnsi" w:cstheme="majorHAnsi"/>
          <w:szCs w:val="21"/>
        </w:rPr>
      </w:pPr>
      <w:r w:rsidRPr="00516038">
        <w:rPr>
          <w:rFonts w:asciiTheme="majorHAnsi" w:hAnsiTheme="majorHAnsi" w:cstheme="majorHAnsi"/>
          <w:szCs w:val="21"/>
        </w:rPr>
        <w:t xml:space="preserve">b) a liberdade de cátedra; </w:t>
      </w:r>
    </w:p>
    <w:p w14:paraId="46ADA0C3" w14:textId="77777777" w:rsidR="00EE3346" w:rsidRPr="00516038" w:rsidRDefault="00EE3346" w:rsidP="00516038">
      <w:pPr>
        <w:tabs>
          <w:tab w:val="clear" w:pos="1615"/>
        </w:tabs>
        <w:autoSpaceDE w:val="0"/>
        <w:autoSpaceDN w:val="0"/>
        <w:adjustRightInd w:val="0"/>
        <w:spacing w:after="0"/>
        <w:ind w:left="2268" w:right="851"/>
        <w:jc w:val="both"/>
        <w:rPr>
          <w:rFonts w:asciiTheme="majorHAnsi" w:hAnsiTheme="majorHAnsi" w:cstheme="majorHAnsi"/>
          <w:szCs w:val="21"/>
        </w:rPr>
      </w:pPr>
      <w:r w:rsidRPr="00516038">
        <w:rPr>
          <w:rFonts w:asciiTheme="majorHAnsi" w:hAnsiTheme="majorHAnsi" w:cstheme="majorHAnsi"/>
          <w:szCs w:val="21"/>
        </w:rPr>
        <w:t>c) a autonomia pedagógica e didático-científica no processo de construção do conhecimento;</w:t>
      </w:r>
    </w:p>
    <w:p w14:paraId="0DFD208D" w14:textId="77777777" w:rsidR="00EE3346" w:rsidRPr="00516038" w:rsidRDefault="00EE3346" w:rsidP="00516038">
      <w:pPr>
        <w:tabs>
          <w:tab w:val="clear" w:pos="1615"/>
        </w:tabs>
        <w:autoSpaceDE w:val="0"/>
        <w:autoSpaceDN w:val="0"/>
        <w:adjustRightInd w:val="0"/>
        <w:spacing w:after="0"/>
        <w:ind w:left="2268" w:right="851"/>
        <w:jc w:val="both"/>
        <w:rPr>
          <w:rFonts w:asciiTheme="majorHAnsi" w:hAnsiTheme="majorHAnsi" w:cstheme="majorHAnsi"/>
          <w:szCs w:val="21"/>
        </w:rPr>
      </w:pPr>
      <w:r w:rsidRPr="00516038">
        <w:rPr>
          <w:rFonts w:asciiTheme="majorHAnsi" w:hAnsiTheme="majorHAnsi" w:cstheme="majorHAnsi"/>
          <w:szCs w:val="21"/>
        </w:rPr>
        <w:t>V – formação profissional que considere o conhecimento baseado em evidências científicas e as práticas desenvolvidas no mundo do trabalho;</w:t>
      </w:r>
    </w:p>
    <w:p w14:paraId="42D66E2E" w14:textId="5793FBF4" w:rsidR="00EE3346" w:rsidRDefault="00EE3346" w:rsidP="00516038">
      <w:pPr>
        <w:tabs>
          <w:tab w:val="clear" w:pos="1615"/>
        </w:tabs>
        <w:autoSpaceDE w:val="0"/>
        <w:autoSpaceDN w:val="0"/>
        <w:adjustRightInd w:val="0"/>
        <w:ind w:left="2268" w:right="851"/>
        <w:jc w:val="both"/>
        <w:rPr>
          <w:rFonts w:asciiTheme="majorHAnsi" w:hAnsiTheme="majorHAnsi" w:cstheme="majorHAnsi"/>
          <w:szCs w:val="21"/>
        </w:rPr>
      </w:pPr>
      <w:r w:rsidRPr="00516038">
        <w:rPr>
          <w:rFonts w:asciiTheme="majorHAnsi" w:hAnsiTheme="majorHAnsi" w:cstheme="majorHAnsi"/>
          <w:szCs w:val="21"/>
        </w:rPr>
        <w:t>(...) (DISTRITO FEDERAL, 2021).</w:t>
      </w:r>
    </w:p>
    <w:p w14:paraId="6335A8FD" w14:textId="77777777" w:rsidR="00FF66FE" w:rsidRPr="00516038" w:rsidRDefault="00FF66FE" w:rsidP="00516038">
      <w:pPr>
        <w:tabs>
          <w:tab w:val="clear" w:pos="1615"/>
        </w:tabs>
        <w:autoSpaceDE w:val="0"/>
        <w:autoSpaceDN w:val="0"/>
        <w:adjustRightInd w:val="0"/>
        <w:ind w:left="2268" w:right="851"/>
        <w:jc w:val="both"/>
        <w:rPr>
          <w:rFonts w:asciiTheme="majorHAnsi" w:hAnsiTheme="majorHAnsi" w:cstheme="majorHAnsi"/>
          <w:szCs w:val="21"/>
        </w:rPr>
      </w:pPr>
    </w:p>
    <w:p w14:paraId="374DB3F4" w14:textId="77777777" w:rsidR="00EE3346" w:rsidRPr="00FF66FE" w:rsidRDefault="00EE3346" w:rsidP="00FF66FE">
      <w:pPr>
        <w:tabs>
          <w:tab w:val="clear" w:pos="1615"/>
        </w:tabs>
        <w:autoSpaceDE w:val="0"/>
        <w:autoSpaceDN w:val="0"/>
        <w:adjustRightInd w:val="0"/>
        <w:spacing w:line="360" w:lineRule="auto"/>
        <w:ind w:right="-1" w:firstLine="708"/>
        <w:jc w:val="both"/>
        <w:rPr>
          <w:rFonts w:asciiTheme="majorHAnsi" w:hAnsiTheme="majorHAnsi" w:cstheme="majorHAnsi"/>
          <w:sz w:val="24"/>
        </w:rPr>
      </w:pPr>
      <w:r w:rsidRPr="00FF66FE">
        <w:rPr>
          <w:rFonts w:asciiTheme="majorHAnsi" w:hAnsiTheme="majorHAnsi" w:cstheme="majorHAnsi"/>
          <w:sz w:val="24"/>
        </w:rPr>
        <w:t xml:space="preserve">Na Figura 4.4 são mostrados esquemas sobre as possibilidades para o desenvolvimento dos cursos, de modo a cumprir o determinado em lei. </w:t>
      </w:r>
    </w:p>
    <w:p w14:paraId="613E5139" w14:textId="77777777" w:rsidR="00FF66FE" w:rsidRDefault="00FF66FE" w:rsidP="00516038">
      <w:pPr>
        <w:tabs>
          <w:tab w:val="clear" w:pos="1615"/>
        </w:tabs>
        <w:autoSpaceDE w:val="0"/>
        <w:autoSpaceDN w:val="0"/>
        <w:adjustRightInd w:val="0"/>
        <w:ind w:right="-1"/>
        <w:jc w:val="both"/>
        <w:rPr>
          <w:rFonts w:asciiTheme="majorHAnsi" w:hAnsiTheme="majorHAnsi" w:cstheme="majorHAnsi"/>
          <w:sz w:val="20"/>
          <w:szCs w:val="21"/>
        </w:rPr>
      </w:pPr>
    </w:p>
    <w:p w14:paraId="3AFD57EE" w14:textId="1CC2337F" w:rsidR="00EE3346" w:rsidRPr="00516038" w:rsidRDefault="00EE3346" w:rsidP="00516038">
      <w:pPr>
        <w:tabs>
          <w:tab w:val="clear" w:pos="1615"/>
        </w:tabs>
        <w:autoSpaceDE w:val="0"/>
        <w:autoSpaceDN w:val="0"/>
        <w:adjustRightInd w:val="0"/>
        <w:ind w:right="-1"/>
        <w:jc w:val="both"/>
        <w:rPr>
          <w:rFonts w:asciiTheme="majorHAnsi" w:hAnsiTheme="majorHAnsi" w:cstheme="majorHAnsi"/>
          <w:sz w:val="20"/>
          <w:szCs w:val="21"/>
        </w:rPr>
      </w:pPr>
      <w:r w:rsidRPr="00516038">
        <w:rPr>
          <w:rFonts w:asciiTheme="majorHAnsi" w:hAnsiTheme="majorHAnsi" w:cstheme="majorHAnsi"/>
          <w:sz w:val="20"/>
          <w:szCs w:val="21"/>
        </w:rPr>
        <w:t>Figura 4.4. Modelos para desenvolvimento modular ou híbrido de cursos. Para detalhes, ver o texto.</w:t>
      </w:r>
    </w:p>
    <w:p w14:paraId="24231975" w14:textId="77777777" w:rsidR="00EE3346" w:rsidRPr="00516038" w:rsidRDefault="00EE3346" w:rsidP="00516038">
      <w:pPr>
        <w:tabs>
          <w:tab w:val="clear" w:pos="1615"/>
        </w:tabs>
        <w:autoSpaceDE w:val="0"/>
        <w:autoSpaceDN w:val="0"/>
        <w:adjustRightInd w:val="0"/>
        <w:spacing w:after="0"/>
        <w:jc w:val="both"/>
        <w:rPr>
          <w:rFonts w:asciiTheme="majorHAnsi" w:hAnsiTheme="majorHAnsi" w:cstheme="majorHAnsi"/>
          <w:sz w:val="16"/>
          <w:szCs w:val="21"/>
        </w:rPr>
      </w:pPr>
      <w:r w:rsidRPr="00516038">
        <w:rPr>
          <w:rFonts w:asciiTheme="majorHAnsi" w:hAnsiTheme="majorHAnsi" w:cstheme="majorHAnsi"/>
          <w:noProof/>
          <w:lang w:eastAsia="pt-BR"/>
        </w:rPr>
        <w:drawing>
          <wp:inline distT="0" distB="0" distL="0" distR="0" wp14:anchorId="3B59C1EC" wp14:editId="7D714210">
            <wp:extent cx="6120130" cy="2121187"/>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130" cy="2121187"/>
                    </a:xfrm>
                    <a:prstGeom prst="rect">
                      <a:avLst/>
                    </a:prstGeom>
                    <a:noFill/>
                    <a:ln>
                      <a:noFill/>
                    </a:ln>
                  </pic:spPr>
                </pic:pic>
              </a:graphicData>
            </a:graphic>
          </wp:inline>
        </w:drawing>
      </w:r>
    </w:p>
    <w:p w14:paraId="719468BB" w14:textId="77777777" w:rsidR="00EE3346" w:rsidRPr="00516038" w:rsidRDefault="00EE3346" w:rsidP="00516038">
      <w:pPr>
        <w:tabs>
          <w:tab w:val="clear" w:pos="1615"/>
        </w:tabs>
        <w:autoSpaceDE w:val="0"/>
        <w:autoSpaceDN w:val="0"/>
        <w:adjustRightInd w:val="0"/>
        <w:ind w:right="-1"/>
        <w:jc w:val="both"/>
        <w:rPr>
          <w:rFonts w:asciiTheme="majorHAnsi" w:hAnsiTheme="majorHAnsi" w:cstheme="majorHAnsi"/>
          <w:sz w:val="16"/>
          <w:szCs w:val="21"/>
        </w:rPr>
      </w:pPr>
      <w:r w:rsidRPr="00516038">
        <w:rPr>
          <w:rFonts w:asciiTheme="majorHAnsi" w:hAnsiTheme="majorHAnsi" w:cstheme="majorHAnsi"/>
          <w:sz w:val="16"/>
          <w:szCs w:val="21"/>
        </w:rPr>
        <w:t>Fonte: Elaborado pelo Autor.</w:t>
      </w:r>
    </w:p>
    <w:p w14:paraId="6AAA6BD2" w14:textId="77777777" w:rsidR="00FF66FE" w:rsidRDefault="00FF66FE" w:rsidP="00516038">
      <w:pPr>
        <w:tabs>
          <w:tab w:val="clear" w:pos="1615"/>
        </w:tabs>
        <w:autoSpaceDE w:val="0"/>
        <w:autoSpaceDN w:val="0"/>
        <w:adjustRightInd w:val="0"/>
        <w:ind w:right="-1" w:firstLine="708"/>
        <w:jc w:val="both"/>
        <w:rPr>
          <w:rFonts w:asciiTheme="majorHAnsi" w:hAnsiTheme="majorHAnsi" w:cstheme="majorHAnsi"/>
          <w:szCs w:val="21"/>
        </w:rPr>
      </w:pPr>
    </w:p>
    <w:p w14:paraId="6582B5DB" w14:textId="2EBED97D" w:rsidR="00EE3346" w:rsidRPr="00FF66FE" w:rsidRDefault="00EE3346" w:rsidP="00FF66FE">
      <w:pPr>
        <w:tabs>
          <w:tab w:val="clear" w:pos="1615"/>
        </w:tabs>
        <w:autoSpaceDE w:val="0"/>
        <w:autoSpaceDN w:val="0"/>
        <w:adjustRightInd w:val="0"/>
        <w:spacing w:line="360" w:lineRule="auto"/>
        <w:ind w:right="-1" w:firstLine="708"/>
        <w:jc w:val="both"/>
        <w:rPr>
          <w:rFonts w:asciiTheme="majorHAnsi" w:hAnsiTheme="majorHAnsi" w:cstheme="majorHAnsi"/>
          <w:sz w:val="24"/>
        </w:rPr>
      </w:pPr>
      <w:r w:rsidRPr="00FF66FE">
        <w:rPr>
          <w:rFonts w:asciiTheme="majorHAnsi" w:hAnsiTheme="majorHAnsi" w:cstheme="majorHAnsi"/>
          <w:sz w:val="24"/>
        </w:rPr>
        <w:t>Percebe-se que há organizações pedagógicas não disciplinares, baseadas exclusivamente no desenvolvimento do projeto proposto ou na resolução do problema apresentado (Fig. 4.4 A). Esse modelo requer uma participação mais efetiva por parte do estudante, que receberá apenas uma orientação do docente ou do tutor da atividade para que possa, individualmente ou em grupo, chegar à sua resolução ou equacionamento. Via de regra, o tutor ou docente orientador dos grupos, nesse caso, não conseguem ter domínio de todo e qualquer conteúdo a ser desenvolvido e devem dirigir os trabalhos e realizar a necessária motivação para que os próprios componentes dos grupos desenvolvam seus conteúdos. Dúvidas devem ser tiradas junto a especialistas ligados ao tema, mais comumente a partir de recursos eletrônicos de comunicação.</w:t>
      </w:r>
    </w:p>
    <w:p w14:paraId="6287905D" w14:textId="77777777" w:rsidR="00EE3346" w:rsidRPr="00FF66FE" w:rsidRDefault="00EE3346" w:rsidP="00FF66FE">
      <w:pPr>
        <w:tabs>
          <w:tab w:val="clear" w:pos="1615"/>
        </w:tabs>
        <w:autoSpaceDE w:val="0"/>
        <w:autoSpaceDN w:val="0"/>
        <w:adjustRightInd w:val="0"/>
        <w:spacing w:line="360" w:lineRule="auto"/>
        <w:ind w:right="-1" w:firstLine="708"/>
        <w:jc w:val="both"/>
        <w:rPr>
          <w:rFonts w:asciiTheme="majorHAnsi" w:hAnsiTheme="majorHAnsi" w:cstheme="majorHAnsi"/>
          <w:sz w:val="24"/>
        </w:rPr>
      </w:pPr>
      <w:r w:rsidRPr="00FF66FE">
        <w:rPr>
          <w:rFonts w:asciiTheme="majorHAnsi" w:hAnsiTheme="majorHAnsi" w:cstheme="majorHAnsi"/>
          <w:sz w:val="24"/>
        </w:rPr>
        <w:t>A escolha do módulo temático com sua combinação com atividades disciplinares que possam integrar e aprofundar os conhecimentos necessários para a resolução do problema ou para a realização do projeto formam um esquema híbrido, que tende a ser menos disruptivo com a forma com que o estudante chega ao ensino superior. Ao mesmo tempo, conforme discutido anteriormente, exige uma abordagem interdisciplinar planejada e, também neste caso, as reuniões para o desenvolvimento dos projetos ou o equacionamento dos problemas propostos serão feitas por mediadores docentes não obrigatoriamente ligados à temática. Entretanto, as dúvidas surgidas podem ter um ponto de apoio mais consistente, dada a presença de diferentes especialistas ligados ao tema (Figura 4.4 B).</w:t>
      </w:r>
    </w:p>
    <w:p w14:paraId="05BA18A7" w14:textId="59D80B34" w:rsidR="00EE3346" w:rsidRDefault="00EE3346" w:rsidP="00FF66FE">
      <w:pPr>
        <w:tabs>
          <w:tab w:val="clear" w:pos="1615"/>
        </w:tabs>
        <w:autoSpaceDE w:val="0"/>
        <w:autoSpaceDN w:val="0"/>
        <w:adjustRightInd w:val="0"/>
        <w:spacing w:line="360" w:lineRule="auto"/>
        <w:ind w:right="-1" w:firstLine="567"/>
        <w:jc w:val="both"/>
        <w:rPr>
          <w:rFonts w:asciiTheme="majorHAnsi" w:hAnsiTheme="majorHAnsi" w:cstheme="majorHAnsi"/>
          <w:sz w:val="24"/>
        </w:rPr>
      </w:pPr>
      <w:r w:rsidRPr="00FF66FE">
        <w:rPr>
          <w:rFonts w:asciiTheme="majorHAnsi" w:hAnsiTheme="majorHAnsi" w:cstheme="majorHAnsi"/>
          <w:sz w:val="24"/>
        </w:rPr>
        <w:t>O último modelo reproduz o anterior e insere atividades curriculares não ligadas ao tema, mas que permitem a apropriação de outras competências, conhecimentos e habilidades desejáveis para o profissional daquela formação ou desejáveis enquanto projeto de vida do próprio estudante. Assim, paralelamente, ele poderá desenvolver habilidades linguísticas, por exemplo, que gerarão um diferencial positivo em sua formação e por isso, lhe trarão uma maior qualidade de inserção no mundo do trabalho (Fig. 4.4 C).</w:t>
      </w:r>
    </w:p>
    <w:p w14:paraId="5032B929" w14:textId="77777777" w:rsidR="00FF66FE" w:rsidRPr="00FF66FE" w:rsidRDefault="00FF66FE" w:rsidP="00FF66FE">
      <w:pPr>
        <w:tabs>
          <w:tab w:val="clear" w:pos="1615"/>
        </w:tabs>
        <w:autoSpaceDE w:val="0"/>
        <w:autoSpaceDN w:val="0"/>
        <w:adjustRightInd w:val="0"/>
        <w:spacing w:line="360" w:lineRule="auto"/>
        <w:ind w:right="-1" w:firstLine="567"/>
        <w:jc w:val="both"/>
        <w:rPr>
          <w:rFonts w:asciiTheme="majorHAnsi" w:hAnsiTheme="majorHAnsi" w:cstheme="majorHAnsi"/>
          <w:sz w:val="24"/>
        </w:rPr>
      </w:pPr>
    </w:p>
    <w:p w14:paraId="4F50827A" w14:textId="77777777" w:rsidR="00EE3346" w:rsidRPr="00516038" w:rsidRDefault="00EE3346" w:rsidP="00FF66FE">
      <w:pPr>
        <w:pStyle w:val="Ttulo2"/>
        <w:numPr>
          <w:ilvl w:val="1"/>
          <w:numId w:val="1"/>
        </w:numPr>
        <w:tabs>
          <w:tab w:val="clear" w:pos="1615"/>
        </w:tabs>
        <w:spacing w:before="0" w:after="0" w:line="360" w:lineRule="auto"/>
        <w:ind w:left="993"/>
        <w:rPr>
          <w:rFonts w:asciiTheme="majorHAnsi" w:hAnsiTheme="majorHAnsi" w:cstheme="majorHAnsi"/>
        </w:rPr>
      </w:pPr>
      <w:bookmarkStart w:id="83" w:name="_Toc102135008"/>
      <w:r w:rsidRPr="00516038">
        <w:rPr>
          <w:rFonts w:asciiTheme="majorHAnsi" w:hAnsiTheme="majorHAnsi" w:cstheme="majorHAnsi"/>
        </w:rPr>
        <w:t>ANÁLISE DE ALGUNS MODELOS EXISTENTES</w:t>
      </w:r>
      <w:bookmarkEnd w:id="83"/>
    </w:p>
    <w:p w14:paraId="5EAA6AEB" w14:textId="3E8AD87D"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A flexibilização permitida pela LDB (BRASIL, 1996) e pelas DCN permite diferentes modelos de organização curricular. O mais tradicional, implica no ingresso vocacionado (para um curso específico) e a sua integralização que pode se dar a partir de uma sugestão da própria instituição ofertante. Com isso, apesar de uma organização em créditos, normalmente ele se desenvolve como um curso seriado e a reprovação em uma disciplina pode representar o atraso de um ano no término da formação. Apesar dessa característica e de ser cada vez mais questionada a sua eficácia na formação dos quadros de nível superior, ela ainda predomina.</w:t>
      </w:r>
    </w:p>
    <w:p w14:paraId="4AD4A917" w14:textId="6F9FFF29"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Outros modelos se valem de ingressos comuns, ciclos básicos, formação inicial, com possibilidade de certificações também permitidas pela LDB quando legisla sobre um tipo de curso superior (sequencial) que, entretanto, não é uma graduação. Mais recentemente, outros modelos propõem cursos que estão parcial ou integralmente contidos em outros e várias formas diferenciadas de desenvolvimento conforme os exemplos que se seguem.</w:t>
      </w:r>
    </w:p>
    <w:p w14:paraId="5B67AA86" w14:textId="1C7CF578" w:rsidR="00EE3346"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 xml:space="preserve">Foram escolhidos quatro modelos para detalhamento, sendo dois deles praticados por IES públicas e dois deles em IES privadas, sempre priorizando cursos da área de engenharia e de computação, para melhor ilustrar as possibilidades que terá a UnDF na sua própria estruturação. </w:t>
      </w:r>
    </w:p>
    <w:p w14:paraId="00E1C37B" w14:textId="7014F2B7" w:rsidR="00FF66FE" w:rsidRDefault="00FF66FE" w:rsidP="00FF66FE">
      <w:pPr>
        <w:tabs>
          <w:tab w:val="clear" w:pos="1615"/>
        </w:tabs>
        <w:spacing w:line="360" w:lineRule="auto"/>
        <w:ind w:firstLine="709"/>
        <w:jc w:val="both"/>
        <w:rPr>
          <w:rFonts w:asciiTheme="majorHAnsi" w:hAnsiTheme="majorHAnsi" w:cstheme="majorHAnsi"/>
          <w:sz w:val="24"/>
          <w:szCs w:val="24"/>
        </w:rPr>
      </w:pPr>
    </w:p>
    <w:p w14:paraId="6EB036B0" w14:textId="77777777" w:rsidR="00FF66FE" w:rsidRPr="00FF66FE" w:rsidRDefault="00FF66FE" w:rsidP="00FF66FE">
      <w:pPr>
        <w:tabs>
          <w:tab w:val="clear" w:pos="1615"/>
        </w:tabs>
        <w:spacing w:line="360" w:lineRule="auto"/>
        <w:ind w:firstLine="709"/>
        <w:jc w:val="both"/>
        <w:rPr>
          <w:rFonts w:asciiTheme="majorHAnsi" w:hAnsiTheme="majorHAnsi" w:cstheme="majorHAnsi"/>
          <w:sz w:val="24"/>
          <w:szCs w:val="24"/>
        </w:rPr>
      </w:pPr>
    </w:p>
    <w:p w14:paraId="3305C859" w14:textId="41FAF6C0" w:rsidR="00EE3346" w:rsidRPr="00516038" w:rsidRDefault="00FF66FE" w:rsidP="00FF66FE">
      <w:pPr>
        <w:pStyle w:val="Ttulo3"/>
        <w:numPr>
          <w:ilvl w:val="2"/>
          <w:numId w:val="1"/>
        </w:numPr>
        <w:ind w:left="709" w:hanging="709"/>
        <w:rPr>
          <w:rFonts w:asciiTheme="majorHAnsi" w:hAnsiTheme="majorHAnsi" w:cstheme="majorHAnsi"/>
        </w:rPr>
      </w:pPr>
      <w:bookmarkStart w:id="84" w:name="_Toc102135009"/>
      <w:r w:rsidRPr="00516038">
        <w:rPr>
          <w:rFonts w:asciiTheme="majorHAnsi" w:hAnsiTheme="majorHAnsi" w:cstheme="majorHAnsi"/>
        </w:rPr>
        <w:t>BACHARELADO INTERDISCIPLINAR EM CIÊNCIA E TECNOLOGIA</w:t>
      </w:r>
      <w:bookmarkEnd w:id="84"/>
    </w:p>
    <w:p w14:paraId="7FE3C6DC" w14:textId="4B5170D4"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Os Bacharelados Interdisciplinares vêm sendo oferecidos desde 2006 no Brasil e foram regulamentados em 2011 pelo Parecer CNE 266 da Câmara de Educação Superior, enquanto uma possibilidade para a formação em graduação (CNE, 2011). O Parecer reforça o fato de que, como formação mais generalista em uma dada área, esses cursos podem viabilizar a continuidade de estudos em áreas específicas, algumas delas ainda não totalmente estabelecidas. Assim, sua perenidade enquanto formação inicial ganha uma importância que justificou essa regulamentação, homologada em novembro de 2011.</w:t>
      </w:r>
    </w:p>
    <w:p w14:paraId="6050DF87" w14:textId="0E62577A"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Atualmente, além da UFABC, dezenas de outras IES oferecem cursos interdisciplinares e, o mais comum entre eles, é o Bacharelado Interdisciplinar em ciência e tecnologia.</w:t>
      </w:r>
    </w:p>
    <w:p w14:paraId="199C36C1" w14:textId="6DC28A5B"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 xml:space="preserve">Na UFABC, o ingresso se dá apenas a partir de cursos interdisciplinares. A instituição pública federal oferece cursos presenciais, com entrada de 2.008 alunos/processo seletivo, em quatro possibilidades formativas para seus dois </w:t>
      </w:r>
      <w:r w:rsidRPr="00FF66FE">
        <w:rPr>
          <w:rFonts w:asciiTheme="majorHAnsi" w:hAnsiTheme="majorHAnsi" w:cstheme="majorHAnsi"/>
          <w:i/>
          <w:sz w:val="24"/>
          <w:szCs w:val="24"/>
        </w:rPr>
        <w:t>campi</w:t>
      </w:r>
      <w:r w:rsidRPr="00FF66FE">
        <w:rPr>
          <w:rFonts w:asciiTheme="majorHAnsi" w:hAnsiTheme="majorHAnsi" w:cstheme="majorHAnsi"/>
          <w:sz w:val="24"/>
          <w:szCs w:val="24"/>
        </w:rPr>
        <w:t>, em vagas distribuídas no período diurno e noturno: Bacharelado em Ciência &amp; Tecnologia (BC&amp;T), com 1.448 vagas; Bacharelado em Ciências &amp; Humanidades (BC&amp;H), com 350 vagas; Licenciatura em Ciências Humanas (LCH), com 50 vagas e Licenciatura em Ciências Naturais e Exatas (LCNE), com 160 vagas (UFABC, 2021).</w:t>
      </w:r>
    </w:p>
    <w:p w14:paraId="18ED557E" w14:textId="5B42B73F"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 xml:space="preserve">Segundo o Projeto Pedagógico do Curso (PPC) (UFABC, 2017), o bacharelado interdisciplinar na área de ciência e tecnologia pode ser integralizado em três anos em regime quadrimestral de matrícula e tem 2.400 horas. Leva, portanto, ao grau acadêmico de bacharel em ciência e tecnologia. A organização do curso contempla basicamente quatro tipos de atividades: </w:t>
      </w:r>
    </w:p>
    <w:p w14:paraId="63F59245" w14:textId="77777777" w:rsidR="00EE3346" w:rsidRPr="00FF66FE" w:rsidRDefault="00EE3346" w:rsidP="00FF66FE">
      <w:pPr>
        <w:pStyle w:val="PargrafodaLista"/>
        <w:numPr>
          <w:ilvl w:val="0"/>
          <w:numId w:val="6"/>
        </w:numPr>
        <w:tabs>
          <w:tab w:val="clear" w:pos="1615"/>
        </w:tabs>
        <w:spacing w:line="360" w:lineRule="auto"/>
        <w:jc w:val="both"/>
        <w:rPr>
          <w:rFonts w:asciiTheme="majorHAnsi" w:hAnsiTheme="majorHAnsi" w:cstheme="majorHAnsi"/>
          <w:sz w:val="24"/>
          <w:szCs w:val="24"/>
        </w:rPr>
      </w:pPr>
      <w:r w:rsidRPr="00FF66FE">
        <w:rPr>
          <w:rFonts w:asciiTheme="majorHAnsi" w:hAnsiTheme="majorHAnsi" w:cstheme="majorHAnsi"/>
          <w:b/>
          <w:sz w:val="24"/>
          <w:szCs w:val="24"/>
        </w:rPr>
        <w:t>Disciplinas obrigatórias</w:t>
      </w:r>
      <w:r w:rsidRPr="00FF66FE">
        <w:rPr>
          <w:rFonts w:asciiTheme="majorHAnsi" w:hAnsiTheme="majorHAnsi" w:cstheme="majorHAnsi"/>
          <w:sz w:val="24"/>
          <w:szCs w:val="24"/>
        </w:rPr>
        <w:t>, com 90 créditos que correspondem a 1.080 horas de atividades</w:t>
      </w:r>
      <w:r w:rsidRPr="00FF66FE">
        <w:rPr>
          <w:rStyle w:val="Refdenotaderodap"/>
          <w:rFonts w:asciiTheme="majorHAnsi" w:hAnsiTheme="majorHAnsi" w:cstheme="majorHAnsi"/>
          <w:sz w:val="24"/>
          <w:szCs w:val="24"/>
        </w:rPr>
        <w:footnoteReference w:id="2"/>
      </w:r>
      <w:r w:rsidRPr="00FF66FE">
        <w:rPr>
          <w:rFonts w:asciiTheme="majorHAnsi" w:hAnsiTheme="majorHAnsi" w:cstheme="majorHAnsi"/>
          <w:sz w:val="24"/>
          <w:szCs w:val="24"/>
        </w:rPr>
        <w:t xml:space="preserve"> distribuídas em seis grandes eixos estruturantes e presentes no PPC: estrutura da matéria, energia, processos de transformação, representação e simulação, informação e comunicação e humanidades;</w:t>
      </w:r>
    </w:p>
    <w:p w14:paraId="5EF9568D" w14:textId="77777777" w:rsidR="00EE3346" w:rsidRPr="00FF66FE" w:rsidRDefault="00EE3346" w:rsidP="00FF66FE">
      <w:pPr>
        <w:pStyle w:val="PargrafodaLista"/>
        <w:numPr>
          <w:ilvl w:val="0"/>
          <w:numId w:val="6"/>
        </w:numPr>
        <w:tabs>
          <w:tab w:val="clear" w:pos="1615"/>
        </w:tabs>
        <w:spacing w:line="360" w:lineRule="auto"/>
        <w:jc w:val="both"/>
        <w:rPr>
          <w:rFonts w:asciiTheme="majorHAnsi" w:hAnsiTheme="majorHAnsi" w:cstheme="majorHAnsi"/>
          <w:sz w:val="24"/>
          <w:szCs w:val="24"/>
        </w:rPr>
      </w:pPr>
      <w:r w:rsidRPr="00FF66FE">
        <w:rPr>
          <w:rFonts w:asciiTheme="majorHAnsi" w:hAnsiTheme="majorHAnsi" w:cstheme="majorHAnsi"/>
          <w:b/>
          <w:sz w:val="24"/>
          <w:szCs w:val="24"/>
        </w:rPr>
        <w:t>Disciplinas de opção-limitada</w:t>
      </w:r>
      <w:r w:rsidRPr="00FF66FE">
        <w:rPr>
          <w:rFonts w:asciiTheme="majorHAnsi" w:hAnsiTheme="majorHAnsi" w:cstheme="majorHAnsi"/>
          <w:sz w:val="24"/>
          <w:szCs w:val="24"/>
        </w:rPr>
        <w:t>, com 57 créditos que correspondem a 684 horas de atividades, com sugestões estabelecidas no PPC e que possibilitam um aprofundamento em determinadas áreas do curso, se relacionando, desse modo, aos eixos das disciplinas obrigatórias previstos e que podem ser usadas como parte das disciplinas de formações específicas a serem cursadas posteriormente;</w:t>
      </w:r>
    </w:p>
    <w:p w14:paraId="1E7A583C" w14:textId="77777777" w:rsidR="00EE3346" w:rsidRPr="00FF66FE" w:rsidRDefault="00EE3346" w:rsidP="00FF66FE">
      <w:pPr>
        <w:pStyle w:val="PargrafodaLista"/>
        <w:numPr>
          <w:ilvl w:val="0"/>
          <w:numId w:val="6"/>
        </w:numPr>
        <w:tabs>
          <w:tab w:val="clear" w:pos="1615"/>
        </w:tabs>
        <w:spacing w:line="360" w:lineRule="auto"/>
        <w:jc w:val="both"/>
        <w:rPr>
          <w:rFonts w:asciiTheme="majorHAnsi" w:hAnsiTheme="majorHAnsi" w:cstheme="majorHAnsi"/>
          <w:sz w:val="24"/>
          <w:szCs w:val="24"/>
        </w:rPr>
      </w:pPr>
      <w:r w:rsidRPr="00FF66FE">
        <w:rPr>
          <w:rFonts w:asciiTheme="majorHAnsi" w:hAnsiTheme="majorHAnsi" w:cstheme="majorHAnsi"/>
          <w:b/>
          <w:sz w:val="24"/>
          <w:szCs w:val="24"/>
        </w:rPr>
        <w:t>Disciplinas livres</w:t>
      </w:r>
      <w:r w:rsidRPr="00FF66FE">
        <w:rPr>
          <w:rFonts w:asciiTheme="majorHAnsi" w:hAnsiTheme="majorHAnsi" w:cstheme="majorHAnsi"/>
          <w:sz w:val="24"/>
          <w:szCs w:val="24"/>
        </w:rPr>
        <w:t>, com 43 créditos ou 516 horas (21,5% da carga horária total do curso) a ser realizado em qualquer disciplina da instituição ou de outra IES que seja devidamente credenciada na forma da Lei;</w:t>
      </w:r>
    </w:p>
    <w:p w14:paraId="5697B6AF" w14:textId="77777777" w:rsidR="00EE3346" w:rsidRPr="00FF66FE" w:rsidRDefault="00EE3346" w:rsidP="00FF66FE">
      <w:pPr>
        <w:pStyle w:val="PargrafodaLista"/>
        <w:numPr>
          <w:ilvl w:val="0"/>
          <w:numId w:val="6"/>
        </w:numPr>
        <w:tabs>
          <w:tab w:val="clear" w:pos="1615"/>
        </w:tabs>
        <w:spacing w:line="360" w:lineRule="auto"/>
        <w:jc w:val="both"/>
        <w:rPr>
          <w:rFonts w:asciiTheme="majorHAnsi" w:hAnsiTheme="majorHAnsi" w:cstheme="majorHAnsi"/>
          <w:sz w:val="24"/>
          <w:szCs w:val="24"/>
        </w:rPr>
      </w:pPr>
      <w:r w:rsidRPr="00FF66FE">
        <w:rPr>
          <w:rFonts w:asciiTheme="majorHAnsi" w:hAnsiTheme="majorHAnsi" w:cstheme="majorHAnsi"/>
          <w:sz w:val="24"/>
          <w:szCs w:val="24"/>
        </w:rPr>
        <w:t xml:space="preserve">Outras atividades: No BC&amp;T há 120 horas para a realização de </w:t>
      </w:r>
      <w:r w:rsidRPr="00FF66FE">
        <w:rPr>
          <w:rFonts w:asciiTheme="majorHAnsi" w:hAnsiTheme="majorHAnsi" w:cstheme="majorHAnsi"/>
          <w:b/>
          <w:sz w:val="24"/>
          <w:szCs w:val="24"/>
        </w:rPr>
        <w:t>atividades complementares</w:t>
      </w:r>
      <w:r w:rsidRPr="00FF66FE">
        <w:rPr>
          <w:rFonts w:asciiTheme="majorHAnsi" w:hAnsiTheme="majorHAnsi" w:cstheme="majorHAnsi"/>
          <w:sz w:val="24"/>
          <w:szCs w:val="24"/>
        </w:rPr>
        <w:t xml:space="preserve">, de modo a se somar aos 190 créditos (2.280 horas) e originar as 2.400 horas previstas para a integralização. </w:t>
      </w:r>
    </w:p>
    <w:p w14:paraId="15483CF5" w14:textId="297CE533"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Não estão previstos estágios ou trabalhos finais de graduação, mas há uma disciplina obrigatória (Projeto Dirigido), oferecida no último quadrimestre do curso que prevê desenvolver competências para a pesquisa, expressão oral, trabalho em grupo, realização de tarefas, resolução de problemas etc. Essa componente curricular pode se basear na elaboração de projeto ou na participação em atividades dos grupos existentes na Universidade, como Mini-Baja e Liga Universitária de Empreendedorismo, por exemplo.</w:t>
      </w:r>
    </w:p>
    <w:p w14:paraId="0F572D44" w14:textId="37718BED"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 xml:space="preserve">Após o BC&amp;T os estudantes podem realizar algumas formações específicas subdivididas em bacharelados: Biotecnologia, </w:t>
      </w:r>
      <w:r w:rsidRPr="00FF66FE">
        <w:rPr>
          <w:rFonts w:asciiTheme="majorHAnsi" w:hAnsiTheme="majorHAnsi" w:cstheme="majorHAnsi"/>
          <w:b/>
          <w:sz w:val="24"/>
          <w:szCs w:val="24"/>
        </w:rPr>
        <w:t>Ciências da Computação</w:t>
      </w:r>
      <w:r w:rsidRPr="00FF66FE">
        <w:rPr>
          <w:rFonts w:asciiTheme="majorHAnsi" w:hAnsiTheme="majorHAnsi" w:cstheme="majorHAnsi"/>
          <w:sz w:val="24"/>
          <w:szCs w:val="24"/>
        </w:rPr>
        <w:t xml:space="preserve">, Ciências Biológicas, Física, Matemática, Química e Neurociência; e em Engenharias: Ambiental e Urbana, Energia, </w:t>
      </w:r>
      <w:r w:rsidRPr="00FF66FE">
        <w:rPr>
          <w:rFonts w:asciiTheme="majorHAnsi" w:hAnsiTheme="majorHAnsi" w:cstheme="majorHAnsi"/>
          <w:b/>
          <w:sz w:val="24"/>
          <w:szCs w:val="24"/>
        </w:rPr>
        <w:t>Informação</w:t>
      </w:r>
      <w:r w:rsidRPr="00FF66FE">
        <w:rPr>
          <w:rFonts w:asciiTheme="majorHAnsi" w:hAnsiTheme="majorHAnsi" w:cstheme="majorHAnsi"/>
          <w:sz w:val="24"/>
          <w:szCs w:val="24"/>
        </w:rPr>
        <w:t xml:space="preserve">, </w:t>
      </w:r>
      <w:r w:rsidRPr="00FF66FE">
        <w:rPr>
          <w:rFonts w:asciiTheme="majorHAnsi" w:hAnsiTheme="majorHAnsi" w:cstheme="majorHAnsi"/>
          <w:b/>
          <w:sz w:val="24"/>
          <w:szCs w:val="24"/>
        </w:rPr>
        <w:t>Instrumentação, Automação e Robótica</w:t>
      </w:r>
      <w:r w:rsidRPr="00FF66FE">
        <w:rPr>
          <w:rFonts w:asciiTheme="majorHAnsi" w:hAnsiTheme="majorHAnsi" w:cstheme="majorHAnsi"/>
          <w:sz w:val="24"/>
          <w:szCs w:val="24"/>
        </w:rPr>
        <w:t xml:space="preserve">, Materiais, Aeroespacial, Biomédica e Gestão </w:t>
      </w:r>
      <w:r w:rsidRPr="00FF66FE">
        <w:rPr>
          <w:rFonts w:asciiTheme="majorHAnsi" w:hAnsiTheme="majorHAnsi" w:cstheme="majorHAnsi"/>
          <w:b/>
          <w:sz w:val="24"/>
          <w:szCs w:val="24"/>
        </w:rPr>
        <w:t>(gg.nn. por se tratarem de cursos de interesse para início na UnDF)</w:t>
      </w:r>
      <w:r w:rsidRPr="00FF66FE">
        <w:rPr>
          <w:rFonts w:asciiTheme="majorHAnsi" w:hAnsiTheme="majorHAnsi" w:cstheme="majorHAnsi"/>
          <w:sz w:val="24"/>
          <w:szCs w:val="24"/>
        </w:rPr>
        <w:t>. O mesmo ocorre com o Bacharelado em Ciências e Humanidades, que forma depois os bacharéis em Ciências Econômicas, Filosofia, Planejamento Territorial, Políticas Públicas e Relações Internacionais. A LCNE forma professores para Matemática, Biologia, Química e Física e a LCH, em Filosofia.</w:t>
      </w:r>
    </w:p>
    <w:p w14:paraId="1E704E44" w14:textId="1A11D7FE"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Desse modo, após a integralização do BC&amp;T, o aluno pode cursar o Bacharelado em Ciência da Computação e aproveitar as disciplinas de opção limitada ou livres para a sua integralização, que vai requerer, além dos 190 créditos obrigatórios do curso interdisciplinar, outros 124 créditos de atividades obrigatórias (1.488 horas), além de 30 créditos em disciplinas de opção limitada (360 horas) e 12 de disciplinas livres (144 horas), além das 120 horas cursadas de atividades complementares, perfazendo um total de 3.192 horas totais para a integralização do curso.</w:t>
      </w:r>
    </w:p>
    <w:p w14:paraId="557741E5" w14:textId="3997FD65"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Como ilustração, a Figura 4.5 mostra a formação interdisciplinar, deixando apenas os espaços das disciplinas de opção limitada e livres para permitir uma melhor visualização da sugestão da instituição a seus alunos. Além disso, os quadrados correspondentes a cada disciplina são proporcionais à sua duração em créditos, facilitando, também, a análise da distribuição e do tempo necessário para sua integralização. Finalmente, após o nome de cada disciplina constam três números: horas semanais de teoria, de prática e horas que o estudante deve reservar para atividades individuais. Para detalhes, sugere-se a visualização do PPC da instituição, no endereço disponibilizado na própria Figura.</w:t>
      </w:r>
    </w:p>
    <w:p w14:paraId="5B27DB10" w14:textId="77777777" w:rsidR="00EE3346" w:rsidRPr="00FF66FE" w:rsidRDefault="00EE3346" w:rsidP="00FF66FE">
      <w:pPr>
        <w:pStyle w:val="NormalWeb"/>
        <w:spacing w:before="0" w:beforeAutospacing="0" w:after="160" w:afterAutospacing="0" w:line="360" w:lineRule="auto"/>
        <w:ind w:firstLine="709"/>
        <w:jc w:val="both"/>
        <w:textAlignment w:val="baseline"/>
        <w:rPr>
          <w:rFonts w:asciiTheme="majorHAnsi" w:hAnsiTheme="majorHAnsi" w:cstheme="majorHAnsi"/>
          <w:color w:val="auto"/>
          <w:sz w:val="24"/>
        </w:rPr>
      </w:pPr>
      <w:r w:rsidRPr="00FF66FE">
        <w:rPr>
          <w:rFonts w:asciiTheme="majorHAnsi" w:hAnsiTheme="majorHAnsi" w:cstheme="majorHAnsi"/>
          <w:color w:val="auto"/>
          <w:sz w:val="24"/>
        </w:rPr>
        <w:t>Além disso, dado que se pretende desenvolver na UnDF cursos na área de Engenharia, são mostradas as matrizes curriculares de duas delas, que estão mais relacionadas à área da computação, como maneira de perceber a organização curricular que foi imprimida para o desenvolvimento de todos os cursos da instituição. Assim, podem ser vistos na Figura 4.6 os dois percursos curriculares para a formação em Engenharia de Informação e para Engenharia de Instrumentação, Automação e Robótica ofertados, todos eles a partir da formação no Bacharelado Interdisciplinar de C&amp;T.</w:t>
      </w:r>
    </w:p>
    <w:p w14:paraId="230BCBBB" w14:textId="5CF9F468" w:rsidR="00EE3346" w:rsidRDefault="00EE3346" w:rsidP="00FF66FE">
      <w:pPr>
        <w:pStyle w:val="NormalWeb"/>
        <w:spacing w:before="0" w:beforeAutospacing="0" w:after="0" w:afterAutospacing="0" w:line="360" w:lineRule="auto"/>
        <w:ind w:firstLine="709"/>
        <w:jc w:val="both"/>
        <w:textAlignment w:val="baseline"/>
        <w:rPr>
          <w:rFonts w:asciiTheme="majorHAnsi" w:hAnsiTheme="majorHAnsi" w:cstheme="majorHAnsi"/>
          <w:color w:val="333333"/>
          <w:sz w:val="24"/>
        </w:rPr>
      </w:pPr>
      <w:r w:rsidRPr="00FF66FE">
        <w:rPr>
          <w:rFonts w:asciiTheme="majorHAnsi" w:hAnsiTheme="majorHAnsi" w:cstheme="majorHAnsi"/>
          <w:color w:val="333333"/>
          <w:sz w:val="24"/>
        </w:rPr>
        <w:t>A partir dos 90 créditos obrigatórios do BC&amp;T (1.080 horas), o estudante de engenharia deve realizar uma quantidade de créditos ligado à formação específica escolhida. Há um elenco de até 17 disciplinas que formam um conjunto de atividades obrigatórias, ou de opção limitada ou livre dependendo do tipo de engenharia escolhida. A tabela 4.1 abaixo mostra a situação dos quatro cursos abordados.</w:t>
      </w:r>
    </w:p>
    <w:p w14:paraId="7C221783" w14:textId="77777777" w:rsidR="00FF66FE" w:rsidRPr="00FF66FE" w:rsidRDefault="00FF66FE" w:rsidP="00FF66FE">
      <w:pPr>
        <w:pStyle w:val="NormalWeb"/>
        <w:spacing w:before="0" w:beforeAutospacing="0" w:after="0" w:afterAutospacing="0" w:line="360" w:lineRule="auto"/>
        <w:ind w:firstLine="709"/>
        <w:jc w:val="both"/>
        <w:textAlignment w:val="baseline"/>
        <w:rPr>
          <w:rFonts w:asciiTheme="majorHAnsi" w:hAnsiTheme="majorHAnsi" w:cstheme="majorHAnsi"/>
          <w:color w:val="333333"/>
          <w:sz w:val="24"/>
        </w:rPr>
      </w:pPr>
    </w:p>
    <w:p w14:paraId="16939363" w14:textId="77777777" w:rsidR="00EE3346" w:rsidRPr="00516038" w:rsidRDefault="00EE3346" w:rsidP="00516038">
      <w:pPr>
        <w:pStyle w:val="NormalWeb"/>
        <w:spacing w:before="0" w:beforeAutospacing="0" w:after="0" w:afterAutospacing="0"/>
        <w:jc w:val="both"/>
        <w:textAlignment w:val="baseline"/>
        <w:rPr>
          <w:rFonts w:asciiTheme="majorHAnsi" w:hAnsiTheme="majorHAnsi" w:cstheme="majorHAnsi"/>
          <w:color w:val="333333"/>
          <w:sz w:val="22"/>
          <w:szCs w:val="22"/>
        </w:rPr>
      </w:pPr>
    </w:p>
    <w:p w14:paraId="3689F743" w14:textId="77777777" w:rsidR="00EE3346" w:rsidRPr="00516038" w:rsidRDefault="00EE3346" w:rsidP="008A364C">
      <w:pPr>
        <w:pStyle w:val="Legenda"/>
      </w:pPr>
      <w:r w:rsidRPr="00516038">
        <w:t>Tabela 4.1. – Créditos e carga horária dos Cursos da UFABC citados (UFABC, 2017).</w:t>
      </w:r>
    </w:p>
    <w:tbl>
      <w:tblPr>
        <w:tblW w:w="10049" w:type="dxa"/>
        <w:tblLayout w:type="fixed"/>
        <w:tblCellMar>
          <w:left w:w="70" w:type="dxa"/>
          <w:right w:w="70" w:type="dxa"/>
        </w:tblCellMar>
        <w:tblLook w:val="04A0" w:firstRow="1" w:lastRow="0" w:firstColumn="1" w:lastColumn="0" w:noHBand="0" w:noVBand="1"/>
      </w:tblPr>
      <w:tblGrid>
        <w:gridCol w:w="2667"/>
        <w:gridCol w:w="580"/>
        <w:gridCol w:w="14"/>
        <w:gridCol w:w="567"/>
        <w:gridCol w:w="14"/>
        <w:gridCol w:w="553"/>
        <w:gridCol w:w="14"/>
        <w:gridCol w:w="411"/>
        <w:gridCol w:w="14"/>
        <w:gridCol w:w="553"/>
        <w:gridCol w:w="14"/>
        <w:gridCol w:w="567"/>
        <w:gridCol w:w="14"/>
        <w:gridCol w:w="567"/>
        <w:gridCol w:w="14"/>
        <w:gridCol w:w="567"/>
        <w:gridCol w:w="14"/>
        <w:gridCol w:w="567"/>
        <w:gridCol w:w="14"/>
        <w:gridCol w:w="567"/>
        <w:gridCol w:w="14"/>
        <w:gridCol w:w="567"/>
        <w:gridCol w:w="14"/>
        <w:gridCol w:w="567"/>
        <w:gridCol w:w="14"/>
        <w:gridCol w:w="567"/>
        <w:gridCol w:w="14"/>
      </w:tblGrid>
      <w:tr w:rsidR="00EE3346" w:rsidRPr="00516038" w14:paraId="0CF91A19" w14:textId="77777777" w:rsidTr="001F6376">
        <w:trPr>
          <w:gridAfter w:val="1"/>
          <w:wAfter w:w="14" w:type="dxa"/>
          <w:trHeight w:val="288"/>
        </w:trPr>
        <w:tc>
          <w:tcPr>
            <w:tcW w:w="2667" w:type="dxa"/>
            <w:vMerge w:val="restart"/>
            <w:tcBorders>
              <w:top w:val="single" w:sz="4" w:space="0" w:color="auto"/>
              <w:left w:val="nil"/>
              <w:right w:val="nil"/>
            </w:tcBorders>
            <w:shd w:val="clear" w:color="auto" w:fill="F2F2F2" w:themeFill="background1" w:themeFillShade="F2"/>
            <w:vAlign w:val="center"/>
          </w:tcPr>
          <w:p w14:paraId="65DF84F4" w14:textId="77777777" w:rsidR="00EE3346" w:rsidRPr="00516038" w:rsidRDefault="00EE3346" w:rsidP="00516038">
            <w:pPr>
              <w:tabs>
                <w:tab w:val="clear" w:pos="1615"/>
              </w:tabs>
              <w:spacing w:after="0"/>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Cursos</w:t>
            </w:r>
          </w:p>
        </w:tc>
        <w:tc>
          <w:tcPr>
            <w:tcW w:w="2153" w:type="dxa"/>
            <w:gridSpan w:val="7"/>
            <w:tcBorders>
              <w:top w:val="single" w:sz="4" w:space="0" w:color="auto"/>
              <w:left w:val="nil"/>
              <w:bottom w:val="single" w:sz="4" w:space="0" w:color="auto"/>
              <w:right w:val="nil"/>
            </w:tcBorders>
            <w:shd w:val="clear" w:color="auto" w:fill="F2F2F2" w:themeFill="background1" w:themeFillShade="F2"/>
            <w:noWrap/>
            <w:vAlign w:val="bottom"/>
          </w:tcPr>
          <w:p w14:paraId="4AFC66A6" w14:textId="77777777" w:rsidR="00EE3346" w:rsidRPr="00516038" w:rsidRDefault="00EE3346" w:rsidP="00516038">
            <w:pPr>
              <w:tabs>
                <w:tab w:val="clear" w:pos="1615"/>
              </w:tabs>
              <w:spacing w:after="0"/>
              <w:jc w:val="center"/>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Créditos Obrigatórios</w:t>
            </w:r>
          </w:p>
        </w:tc>
        <w:tc>
          <w:tcPr>
            <w:tcW w:w="1148" w:type="dxa"/>
            <w:gridSpan w:val="4"/>
            <w:tcBorders>
              <w:top w:val="single" w:sz="4" w:space="0" w:color="auto"/>
              <w:left w:val="nil"/>
              <w:bottom w:val="single" w:sz="4" w:space="0" w:color="auto"/>
              <w:right w:val="nil"/>
            </w:tcBorders>
            <w:shd w:val="clear" w:color="auto" w:fill="F2F2F2" w:themeFill="background1" w:themeFillShade="F2"/>
            <w:noWrap/>
            <w:vAlign w:val="bottom"/>
          </w:tcPr>
          <w:p w14:paraId="4FFAB842" w14:textId="77777777" w:rsidR="00EE3346" w:rsidRPr="00516038" w:rsidRDefault="00EE3346" w:rsidP="00516038">
            <w:pPr>
              <w:tabs>
                <w:tab w:val="clear" w:pos="1615"/>
              </w:tabs>
              <w:spacing w:after="0"/>
              <w:jc w:val="center"/>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TOTAL Obrig.</w:t>
            </w:r>
          </w:p>
        </w:tc>
        <w:tc>
          <w:tcPr>
            <w:tcW w:w="1162" w:type="dxa"/>
            <w:gridSpan w:val="4"/>
            <w:tcBorders>
              <w:top w:val="single" w:sz="4" w:space="0" w:color="auto"/>
              <w:left w:val="nil"/>
              <w:bottom w:val="single" w:sz="4" w:space="0" w:color="auto"/>
              <w:right w:val="nil"/>
            </w:tcBorders>
            <w:shd w:val="clear" w:color="auto" w:fill="F2F2F2" w:themeFill="background1" w:themeFillShade="F2"/>
            <w:noWrap/>
            <w:vAlign w:val="bottom"/>
          </w:tcPr>
          <w:p w14:paraId="607BA087" w14:textId="77777777" w:rsidR="00EE3346" w:rsidRPr="00516038" w:rsidRDefault="00EE3346" w:rsidP="00516038">
            <w:pPr>
              <w:tabs>
                <w:tab w:val="clear" w:pos="1615"/>
              </w:tabs>
              <w:spacing w:after="0"/>
              <w:ind w:hanging="126"/>
              <w:jc w:val="center"/>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Opção Limitada</w:t>
            </w:r>
          </w:p>
        </w:tc>
        <w:tc>
          <w:tcPr>
            <w:tcW w:w="1162" w:type="dxa"/>
            <w:gridSpan w:val="4"/>
            <w:tcBorders>
              <w:left w:val="nil"/>
              <w:bottom w:val="single" w:sz="4" w:space="0" w:color="auto"/>
              <w:right w:val="nil"/>
            </w:tcBorders>
            <w:shd w:val="clear" w:color="auto" w:fill="F2F2F2" w:themeFill="background1" w:themeFillShade="F2"/>
            <w:noWrap/>
            <w:vAlign w:val="bottom"/>
          </w:tcPr>
          <w:p w14:paraId="01CA521C" w14:textId="77777777" w:rsidR="00EE3346" w:rsidRPr="00516038" w:rsidRDefault="00EE3346" w:rsidP="00516038">
            <w:pPr>
              <w:tabs>
                <w:tab w:val="clear" w:pos="1615"/>
              </w:tabs>
              <w:spacing w:after="0"/>
              <w:jc w:val="center"/>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Livres</w:t>
            </w:r>
          </w:p>
        </w:tc>
        <w:tc>
          <w:tcPr>
            <w:tcW w:w="581" w:type="dxa"/>
            <w:gridSpan w:val="2"/>
            <w:tcBorders>
              <w:left w:val="nil"/>
              <w:bottom w:val="single" w:sz="4" w:space="0" w:color="auto"/>
              <w:right w:val="nil"/>
            </w:tcBorders>
            <w:shd w:val="clear" w:color="auto" w:fill="F2F2F2" w:themeFill="background1" w:themeFillShade="F2"/>
            <w:vAlign w:val="bottom"/>
          </w:tcPr>
          <w:p w14:paraId="49BCA156" w14:textId="77777777" w:rsidR="00EE3346" w:rsidRPr="00516038" w:rsidRDefault="00EE3346" w:rsidP="00516038">
            <w:pPr>
              <w:tabs>
                <w:tab w:val="clear" w:pos="1615"/>
              </w:tabs>
              <w:spacing w:after="0"/>
              <w:jc w:val="center"/>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AC</w:t>
            </w:r>
            <w:r w:rsidRPr="00516038">
              <w:rPr>
                <w:rFonts w:asciiTheme="majorHAnsi" w:eastAsia="Times New Roman" w:hAnsiTheme="majorHAnsi" w:cstheme="majorHAnsi"/>
                <w:b/>
                <w:bCs/>
                <w:color w:val="000000"/>
                <w:sz w:val="16"/>
                <w:szCs w:val="16"/>
                <w:vertAlign w:val="superscript"/>
                <w:lang w:eastAsia="pt-BR"/>
              </w:rPr>
              <w:t>1</w:t>
            </w:r>
          </w:p>
        </w:tc>
        <w:tc>
          <w:tcPr>
            <w:tcW w:w="1162" w:type="dxa"/>
            <w:gridSpan w:val="4"/>
            <w:tcBorders>
              <w:left w:val="nil"/>
              <w:bottom w:val="single" w:sz="4" w:space="0" w:color="auto"/>
              <w:right w:val="nil"/>
            </w:tcBorders>
            <w:shd w:val="clear" w:color="auto" w:fill="F2F2F2" w:themeFill="background1" w:themeFillShade="F2"/>
            <w:noWrap/>
            <w:vAlign w:val="bottom"/>
          </w:tcPr>
          <w:p w14:paraId="64863DAE" w14:textId="77777777" w:rsidR="00EE3346" w:rsidRPr="00516038" w:rsidRDefault="00EE3346" w:rsidP="00516038">
            <w:pPr>
              <w:tabs>
                <w:tab w:val="clear" w:pos="1615"/>
              </w:tabs>
              <w:spacing w:after="0"/>
              <w:jc w:val="center"/>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TOTAL GERAL</w:t>
            </w:r>
          </w:p>
        </w:tc>
      </w:tr>
      <w:tr w:rsidR="00EE3346" w:rsidRPr="00516038" w14:paraId="29B34CB1" w14:textId="77777777" w:rsidTr="001F6376">
        <w:trPr>
          <w:gridAfter w:val="1"/>
          <w:wAfter w:w="14" w:type="dxa"/>
          <w:trHeight w:val="288"/>
        </w:trPr>
        <w:tc>
          <w:tcPr>
            <w:tcW w:w="2667" w:type="dxa"/>
            <w:vMerge/>
            <w:tcBorders>
              <w:left w:val="nil"/>
              <w:bottom w:val="single" w:sz="4" w:space="0" w:color="auto"/>
              <w:right w:val="nil"/>
            </w:tcBorders>
            <w:shd w:val="clear" w:color="auto" w:fill="F2F2F2" w:themeFill="background1" w:themeFillShade="F2"/>
            <w:vAlign w:val="bottom"/>
          </w:tcPr>
          <w:p w14:paraId="4B6AFB69" w14:textId="77777777" w:rsidR="00EE3346" w:rsidRPr="00516038" w:rsidRDefault="00EE3346" w:rsidP="00516038">
            <w:pPr>
              <w:tabs>
                <w:tab w:val="clear" w:pos="1615"/>
              </w:tabs>
              <w:spacing w:after="0"/>
              <w:rPr>
                <w:rFonts w:asciiTheme="majorHAnsi" w:eastAsia="Times New Roman" w:hAnsiTheme="majorHAnsi" w:cstheme="majorHAnsi"/>
                <w:b/>
                <w:bCs/>
                <w:color w:val="000000"/>
                <w:sz w:val="16"/>
                <w:szCs w:val="16"/>
                <w:lang w:eastAsia="pt-BR"/>
              </w:rPr>
            </w:pPr>
          </w:p>
        </w:tc>
        <w:tc>
          <w:tcPr>
            <w:tcW w:w="580" w:type="dxa"/>
            <w:tcBorders>
              <w:top w:val="single" w:sz="4" w:space="0" w:color="auto"/>
              <w:left w:val="nil"/>
              <w:bottom w:val="single" w:sz="4" w:space="0" w:color="auto"/>
              <w:right w:val="nil"/>
            </w:tcBorders>
            <w:shd w:val="clear" w:color="auto" w:fill="F2F2F2" w:themeFill="background1" w:themeFillShade="F2"/>
            <w:noWrap/>
            <w:vAlign w:val="bottom"/>
          </w:tcPr>
          <w:p w14:paraId="623BCC2D" w14:textId="77777777" w:rsidR="00EE3346" w:rsidRPr="00516038" w:rsidRDefault="00EE3346" w:rsidP="00516038">
            <w:pPr>
              <w:tabs>
                <w:tab w:val="clear" w:pos="1615"/>
              </w:tabs>
              <w:spacing w:after="0"/>
              <w:jc w:val="center"/>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Cd BI</w:t>
            </w:r>
            <w:r w:rsidRPr="00516038">
              <w:rPr>
                <w:rFonts w:asciiTheme="majorHAnsi" w:eastAsia="Times New Roman" w:hAnsiTheme="majorHAnsi" w:cstheme="majorHAnsi"/>
                <w:b/>
                <w:bCs/>
                <w:color w:val="000000"/>
                <w:sz w:val="16"/>
                <w:szCs w:val="16"/>
                <w:vertAlign w:val="superscript"/>
                <w:lang w:eastAsia="pt-BR"/>
              </w:rPr>
              <w:t>2</w:t>
            </w:r>
          </w:p>
        </w:tc>
        <w:tc>
          <w:tcPr>
            <w:tcW w:w="581" w:type="dxa"/>
            <w:gridSpan w:val="2"/>
            <w:tcBorders>
              <w:top w:val="single" w:sz="4" w:space="0" w:color="auto"/>
              <w:left w:val="nil"/>
              <w:bottom w:val="single" w:sz="4" w:space="0" w:color="auto"/>
              <w:right w:val="nil"/>
            </w:tcBorders>
            <w:shd w:val="clear" w:color="auto" w:fill="F2F2F2" w:themeFill="background1" w:themeFillShade="F2"/>
            <w:noWrap/>
            <w:vAlign w:val="bottom"/>
          </w:tcPr>
          <w:p w14:paraId="2B14BCCE" w14:textId="77777777" w:rsidR="00EE3346" w:rsidRPr="00516038" w:rsidRDefault="00EE3346" w:rsidP="00516038">
            <w:pPr>
              <w:tabs>
                <w:tab w:val="clear" w:pos="1615"/>
              </w:tabs>
              <w:spacing w:after="0"/>
              <w:ind w:right="-70"/>
              <w:jc w:val="center"/>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CdEsp</w:t>
            </w:r>
            <w:r w:rsidRPr="00516038">
              <w:rPr>
                <w:rFonts w:asciiTheme="majorHAnsi" w:eastAsia="Times New Roman" w:hAnsiTheme="majorHAnsi" w:cstheme="majorHAnsi"/>
                <w:b/>
                <w:bCs/>
                <w:color w:val="000000"/>
                <w:sz w:val="16"/>
                <w:szCs w:val="16"/>
                <w:vertAlign w:val="superscript"/>
                <w:lang w:eastAsia="pt-BR"/>
              </w:rPr>
              <w:t>3</w:t>
            </w:r>
          </w:p>
        </w:tc>
        <w:tc>
          <w:tcPr>
            <w:tcW w:w="567" w:type="dxa"/>
            <w:gridSpan w:val="2"/>
            <w:tcBorders>
              <w:top w:val="single" w:sz="4" w:space="0" w:color="auto"/>
              <w:left w:val="nil"/>
              <w:bottom w:val="single" w:sz="4" w:space="0" w:color="auto"/>
              <w:right w:val="nil"/>
            </w:tcBorders>
            <w:shd w:val="clear" w:color="auto" w:fill="F2F2F2" w:themeFill="background1" w:themeFillShade="F2"/>
            <w:noWrap/>
            <w:vAlign w:val="bottom"/>
          </w:tcPr>
          <w:p w14:paraId="559BF83C" w14:textId="77777777" w:rsidR="00EE3346" w:rsidRPr="00516038" w:rsidRDefault="00EE3346" w:rsidP="00516038">
            <w:pPr>
              <w:tabs>
                <w:tab w:val="clear" w:pos="1615"/>
              </w:tabs>
              <w:spacing w:after="0"/>
              <w:jc w:val="center"/>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Est</w:t>
            </w:r>
            <w:r w:rsidRPr="00516038">
              <w:rPr>
                <w:rFonts w:asciiTheme="majorHAnsi" w:eastAsia="Times New Roman" w:hAnsiTheme="majorHAnsi" w:cstheme="majorHAnsi"/>
                <w:b/>
                <w:bCs/>
                <w:color w:val="000000"/>
                <w:sz w:val="16"/>
                <w:szCs w:val="16"/>
                <w:vertAlign w:val="superscript"/>
                <w:lang w:eastAsia="pt-BR"/>
              </w:rPr>
              <w:t>4</w:t>
            </w:r>
          </w:p>
        </w:tc>
        <w:tc>
          <w:tcPr>
            <w:tcW w:w="425" w:type="dxa"/>
            <w:gridSpan w:val="2"/>
            <w:tcBorders>
              <w:top w:val="single" w:sz="4" w:space="0" w:color="auto"/>
              <w:left w:val="nil"/>
              <w:bottom w:val="single" w:sz="4" w:space="0" w:color="auto"/>
              <w:right w:val="nil"/>
            </w:tcBorders>
            <w:shd w:val="clear" w:color="auto" w:fill="F2F2F2" w:themeFill="background1" w:themeFillShade="F2"/>
            <w:noWrap/>
            <w:vAlign w:val="bottom"/>
          </w:tcPr>
          <w:p w14:paraId="5B8F07FC" w14:textId="77777777" w:rsidR="00EE3346" w:rsidRPr="00516038" w:rsidRDefault="00EE3346" w:rsidP="00516038">
            <w:pPr>
              <w:tabs>
                <w:tab w:val="clear" w:pos="1615"/>
              </w:tabs>
              <w:spacing w:after="0"/>
              <w:jc w:val="center"/>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TG</w:t>
            </w:r>
            <w:r w:rsidRPr="00516038">
              <w:rPr>
                <w:rFonts w:asciiTheme="majorHAnsi" w:eastAsia="Times New Roman" w:hAnsiTheme="majorHAnsi" w:cstheme="majorHAnsi"/>
                <w:b/>
                <w:bCs/>
                <w:color w:val="000000"/>
                <w:sz w:val="16"/>
                <w:szCs w:val="16"/>
                <w:vertAlign w:val="superscript"/>
                <w:lang w:eastAsia="pt-BR"/>
              </w:rPr>
              <w:t>5</w:t>
            </w:r>
          </w:p>
        </w:tc>
        <w:tc>
          <w:tcPr>
            <w:tcW w:w="567" w:type="dxa"/>
            <w:gridSpan w:val="2"/>
            <w:tcBorders>
              <w:top w:val="single" w:sz="4" w:space="0" w:color="auto"/>
              <w:left w:val="nil"/>
              <w:bottom w:val="single" w:sz="4" w:space="0" w:color="auto"/>
              <w:right w:val="nil"/>
            </w:tcBorders>
            <w:shd w:val="clear" w:color="auto" w:fill="F2F2F2" w:themeFill="background1" w:themeFillShade="F2"/>
            <w:noWrap/>
            <w:vAlign w:val="bottom"/>
          </w:tcPr>
          <w:p w14:paraId="193247DC" w14:textId="77777777" w:rsidR="00EE3346" w:rsidRPr="00516038" w:rsidRDefault="00EE3346" w:rsidP="00516038">
            <w:pPr>
              <w:tabs>
                <w:tab w:val="clear" w:pos="1615"/>
              </w:tabs>
              <w:spacing w:after="0"/>
              <w:jc w:val="center"/>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Cd</w:t>
            </w:r>
            <w:r w:rsidRPr="00516038">
              <w:rPr>
                <w:rFonts w:asciiTheme="majorHAnsi" w:eastAsia="Times New Roman" w:hAnsiTheme="majorHAnsi" w:cstheme="majorHAnsi"/>
                <w:b/>
                <w:bCs/>
                <w:color w:val="000000"/>
                <w:sz w:val="16"/>
                <w:szCs w:val="16"/>
                <w:vertAlign w:val="superscript"/>
                <w:lang w:eastAsia="pt-BR"/>
              </w:rPr>
              <w:t>6</w:t>
            </w:r>
          </w:p>
        </w:tc>
        <w:tc>
          <w:tcPr>
            <w:tcW w:w="581" w:type="dxa"/>
            <w:gridSpan w:val="2"/>
            <w:tcBorders>
              <w:top w:val="single" w:sz="4" w:space="0" w:color="auto"/>
              <w:left w:val="nil"/>
              <w:bottom w:val="single" w:sz="4" w:space="0" w:color="auto"/>
              <w:right w:val="nil"/>
            </w:tcBorders>
            <w:shd w:val="clear" w:color="auto" w:fill="F2F2F2" w:themeFill="background1" w:themeFillShade="F2"/>
            <w:noWrap/>
            <w:vAlign w:val="bottom"/>
          </w:tcPr>
          <w:p w14:paraId="38FB7952" w14:textId="77777777" w:rsidR="00EE3346" w:rsidRPr="00516038" w:rsidRDefault="00EE3346" w:rsidP="00516038">
            <w:pPr>
              <w:tabs>
                <w:tab w:val="clear" w:pos="1615"/>
              </w:tabs>
              <w:spacing w:after="0"/>
              <w:jc w:val="center"/>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CH</w:t>
            </w:r>
            <w:r w:rsidRPr="00516038">
              <w:rPr>
                <w:rFonts w:asciiTheme="majorHAnsi" w:eastAsia="Times New Roman" w:hAnsiTheme="majorHAnsi" w:cstheme="majorHAnsi"/>
                <w:b/>
                <w:bCs/>
                <w:color w:val="000000"/>
                <w:sz w:val="16"/>
                <w:szCs w:val="16"/>
                <w:vertAlign w:val="superscript"/>
                <w:lang w:eastAsia="pt-BR"/>
              </w:rPr>
              <w:t>7</w:t>
            </w:r>
          </w:p>
        </w:tc>
        <w:tc>
          <w:tcPr>
            <w:tcW w:w="581" w:type="dxa"/>
            <w:gridSpan w:val="2"/>
            <w:tcBorders>
              <w:top w:val="single" w:sz="4" w:space="0" w:color="auto"/>
              <w:left w:val="nil"/>
              <w:bottom w:val="single" w:sz="4" w:space="0" w:color="auto"/>
              <w:right w:val="nil"/>
            </w:tcBorders>
            <w:shd w:val="clear" w:color="auto" w:fill="F2F2F2" w:themeFill="background1" w:themeFillShade="F2"/>
            <w:noWrap/>
            <w:vAlign w:val="bottom"/>
          </w:tcPr>
          <w:p w14:paraId="226A13AF" w14:textId="77777777" w:rsidR="00EE3346" w:rsidRPr="00516038" w:rsidRDefault="00EE3346" w:rsidP="00516038">
            <w:pPr>
              <w:tabs>
                <w:tab w:val="clear" w:pos="1615"/>
              </w:tabs>
              <w:spacing w:after="0"/>
              <w:jc w:val="center"/>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Cd</w:t>
            </w:r>
            <w:r w:rsidRPr="00516038">
              <w:rPr>
                <w:rFonts w:asciiTheme="majorHAnsi" w:eastAsia="Times New Roman" w:hAnsiTheme="majorHAnsi" w:cstheme="majorHAnsi"/>
                <w:b/>
                <w:bCs/>
                <w:color w:val="000000"/>
                <w:sz w:val="16"/>
                <w:szCs w:val="16"/>
                <w:vertAlign w:val="superscript"/>
                <w:lang w:eastAsia="pt-BR"/>
              </w:rPr>
              <w:t>6</w:t>
            </w:r>
          </w:p>
        </w:tc>
        <w:tc>
          <w:tcPr>
            <w:tcW w:w="581" w:type="dxa"/>
            <w:gridSpan w:val="2"/>
            <w:tcBorders>
              <w:top w:val="single" w:sz="4" w:space="0" w:color="auto"/>
              <w:left w:val="nil"/>
              <w:bottom w:val="single" w:sz="4" w:space="0" w:color="auto"/>
              <w:right w:val="nil"/>
            </w:tcBorders>
            <w:shd w:val="clear" w:color="auto" w:fill="F2F2F2" w:themeFill="background1" w:themeFillShade="F2"/>
            <w:noWrap/>
            <w:vAlign w:val="bottom"/>
          </w:tcPr>
          <w:p w14:paraId="5A81F2B2" w14:textId="77777777" w:rsidR="00EE3346" w:rsidRPr="00516038" w:rsidRDefault="00EE3346" w:rsidP="00516038">
            <w:pPr>
              <w:tabs>
                <w:tab w:val="clear" w:pos="1615"/>
              </w:tabs>
              <w:spacing w:after="0"/>
              <w:jc w:val="center"/>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CH</w:t>
            </w:r>
            <w:r w:rsidRPr="00516038">
              <w:rPr>
                <w:rFonts w:asciiTheme="majorHAnsi" w:eastAsia="Times New Roman" w:hAnsiTheme="majorHAnsi" w:cstheme="majorHAnsi"/>
                <w:b/>
                <w:bCs/>
                <w:color w:val="000000"/>
                <w:sz w:val="16"/>
                <w:szCs w:val="16"/>
                <w:vertAlign w:val="superscript"/>
                <w:lang w:eastAsia="pt-BR"/>
              </w:rPr>
              <w:t>7</w:t>
            </w:r>
          </w:p>
        </w:tc>
        <w:tc>
          <w:tcPr>
            <w:tcW w:w="581" w:type="dxa"/>
            <w:gridSpan w:val="2"/>
            <w:tcBorders>
              <w:top w:val="single" w:sz="4" w:space="0" w:color="auto"/>
              <w:left w:val="nil"/>
              <w:bottom w:val="single" w:sz="4" w:space="0" w:color="auto"/>
              <w:right w:val="nil"/>
            </w:tcBorders>
            <w:shd w:val="clear" w:color="auto" w:fill="F2F2F2" w:themeFill="background1" w:themeFillShade="F2"/>
            <w:noWrap/>
            <w:vAlign w:val="bottom"/>
          </w:tcPr>
          <w:p w14:paraId="46487380" w14:textId="77777777" w:rsidR="00EE3346" w:rsidRPr="00516038" w:rsidRDefault="00EE3346" w:rsidP="00516038">
            <w:pPr>
              <w:tabs>
                <w:tab w:val="clear" w:pos="1615"/>
              </w:tabs>
              <w:spacing w:after="0"/>
              <w:jc w:val="center"/>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Cd</w:t>
            </w:r>
            <w:r w:rsidRPr="00516038">
              <w:rPr>
                <w:rFonts w:asciiTheme="majorHAnsi" w:eastAsia="Times New Roman" w:hAnsiTheme="majorHAnsi" w:cstheme="majorHAnsi"/>
                <w:b/>
                <w:bCs/>
                <w:color w:val="000000"/>
                <w:sz w:val="16"/>
                <w:szCs w:val="16"/>
                <w:vertAlign w:val="superscript"/>
                <w:lang w:eastAsia="pt-BR"/>
              </w:rPr>
              <w:t>6</w:t>
            </w:r>
          </w:p>
        </w:tc>
        <w:tc>
          <w:tcPr>
            <w:tcW w:w="581" w:type="dxa"/>
            <w:gridSpan w:val="2"/>
            <w:tcBorders>
              <w:top w:val="single" w:sz="4" w:space="0" w:color="auto"/>
              <w:left w:val="nil"/>
              <w:bottom w:val="single" w:sz="4" w:space="0" w:color="auto"/>
              <w:right w:val="nil"/>
            </w:tcBorders>
            <w:shd w:val="clear" w:color="auto" w:fill="F2F2F2" w:themeFill="background1" w:themeFillShade="F2"/>
            <w:noWrap/>
            <w:vAlign w:val="bottom"/>
          </w:tcPr>
          <w:p w14:paraId="6483D15C" w14:textId="77777777" w:rsidR="00EE3346" w:rsidRPr="00516038" w:rsidRDefault="00EE3346" w:rsidP="00516038">
            <w:pPr>
              <w:tabs>
                <w:tab w:val="clear" w:pos="1615"/>
              </w:tabs>
              <w:spacing w:after="0"/>
              <w:jc w:val="center"/>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CH</w:t>
            </w:r>
            <w:r w:rsidRPr="00516038">
              <w:rPr>
                <w:rFonts w:asciiTheme="majorHAnsi" w:eastAsia="Times New Roman" w:hAnsiTheme="majorHAnsi" w:cstheme="majorHAnsi"/>
                <w:b/>
                <w:bCs/>
                <w:color w:val="000000"/>
                <w:sz w:val="16"/>
                <w:szCs w:val="16"/>
                <w:vertAlign w:val="superscript"/>
                <w:lang w:eastAsia="pt-BR"/>
              </w:rPr>
              <w:t>7</w:t>
            </w:r>
          </w:p>
        </w:tc>
        <w:tc>
          <w:tcPr>
            <w:tcW w:w="581" w:type="dxa"/>
            <w:gridSpan w:val="2"/>
            <w:tcBorders>
              <w:top w:val="single" w:sz="4" w:space="0" w:color="auto"/>
              <w:left w:val="nil"/>
              <w:bottom w:val="single" w:sz="4" w:space="0" w:color="auto"/>
              <w:right w:val="nil"/>
            </w:tcBorders>
            <w:shd w:val="clear" w:color="auto" w:fill="F2F2F2" w:themeFill="background1" w:themeFillShade="F2"/>
            <w:vAlign w:val="bottom"/>
          </w:tcPr>
          <w:p w14:paraId="3003AAC9" w14:textId="77777777" w:rsidR="00EE3346" w:rsidRPr="00516038" w:rsidRDefault="00EE3346" w:rsidP="00516038">
            <w:pPr>
              <w:tabs>
                <w:tab w:val="clear" w:pos="1615"/>
              </w:tabs>
              <w:spacing w:after="0"/>
              <w:jc w:val="center"/>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CH</w:t>
            </w:r>
            <w:r w:rsidRPr="00516038">
              <w:rPr>
                <w:rFonts w:asciiTheme="majorHAnsi" w:eastAsia="Times New Roman" w:hAnsiTheme="majorHAnsi" w:cstheme="majorHAnsi"/>
                <w:b/>
                <w:bCs/>
                <w:color w:val="000000"/>
                <w:sz w:val="16"/>
                <w:szCs w:val="16"/>
                <w:vertAlign w:val="superscript"/>
                <w:lang w:eastAsia="pt-BR"/>
              </w:rPr>
              <w:t>7</w:t>
            </w:r>
          </w:p>
        </w:tc>
        <w:tc>
          <w:tcPr>
            <w:tcW w:w="581" w:type="dxa"/>
            <w:gridSpan w:val="2"/>
            <w:tcBorders>
              <w:top w:val="single" w:sz="4" w:space="0" w:color="auto"/>
              <w:left w:val="nil"/>
              <w:bottom w:val="single" w:sz="4" w:space="0" w:color="auto"/>
              <w:right w:val="nil"/>
            </w:tcBorders>
            <w:shd w:val="clear" w:color="auto" w:fill="F2F2F2" w:themeFill="background1" w:themeFillShade="F2"/>
            <w:noWrap/>
            <w:vAlign w:val="bottom"/>
          </w:tcPr>
          <w:p w14:paraId="17BBBE3C" w14:textId="77777777" w:rsidR="00EE3346" w:rsidRPr="00516038" w:rsidRDefault="00EE3346" w:rsidP="00516038">
            <w:pPr>
              <w:tabs>
                <w:tab w:val="clear" w:pos="1615"/>
              </w:tabs>
              <w:spacing w:after="0"/>
              <w:jc w:val="center"/>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Cd</w:t>
            </w:r>
            <w:r w:rsidRPr="00516038">
              <w:rPr>
                <w:rFonts w:asciiTheme="majorHAnsi" w:eastAsia="Times New Roman" w:hAnsiTheme="majorHAnsi" w:cstheme="majorHAnsi"/>
                <w:b/>
                <w:bCs/>
                <w:color w:val="000000"/>
                <w:sz w:val="16"/>
                <w:szCs w:val="16"/>
                <w:vertAlign w:val="superscript"/>
                <w:lang w:eastAsia="pt-BR"/>
              </w:rPr>
              <w:t>6</w:t>
            </w:r>
          </w:p>
        </w:tc>
        <w:tc>
          <w:tcPr>
            <w:tcW w:w="581" w:type="dxa"/>
            <w:gridSpan w:val="2"/>
            <w:tcBorders>
              <w:top w:val="single" w:sz="4" w:space="0" w:color="auto"/>
              <w:left w:val="nil"/>
              <w:bottom w:val="single" w:sz="4" w:space="0" w:color="auto"/>
              <w:right w:val="nil"/>
            </w:tcBorders>
            <w:shd w:val="clear" w:color="auto" w:fill="F2F2F2" w:themeFill="background1" w:themeFillShade="F2"/>
            <w:noWrap/>
            <w:vAlign w:val="bottom"/>
          </w:tcPr>
          <w:p w14:paraId="187DB5C7" w14:textId="77777777" w:rsidR="00EE3346" w:rsidRPr="00516038" w:rsidRDefault="00EE3346" w:rsidP="00516038">
            <w:pPr>
              <w:tabs>
                <w:tab w:val="clear" w:pos="1615"/>
              </w:tabs>
              <w:spacing w:after="0"/>
              <w:jc w:val="center"/>
              <w:rPr>
                <w:rFonts w:asciiTheme="majorHAnsi" w:eastAsia="Times New Roman" w:hAnsiTheme="majorHAnsi" w:cstheme="majorHAnsi"/>
                <w:b/>
                <w:bCs/>
                <w:color w:val="000000"/>
                <w:sz w:val="16"/>
                <w:szCs w:val="16"/>
                <w:lang w:eastAsia="pt-BR"/>
              </w:rPr>
            </w:pPr>
            <w:r w:rsidRPr="00516038">
              <w:rPr>
                <w:rFonts w:asciiTheme="majorHAnsi" w:eastAsia="Times New Roman" w:hAnsiTheme="majorHAnsi" w:cstheme="majorHAnsi"/>
                <w:b/>
                <w:bCs/>
                <w:color w:val="000000"/>
                <w:sz w:val="16"/>
                <w:szCs w:val="16"/>
                <w:lang w:eastAsia="pt-BR"/>
              </w:rPr>
              <w:t>CH</w:t>
            </w:r>
            <w:r w:rsidRPr="00516038">
              <w:rPr>
                <w:rFonts w:asciiTheme="majorHAnsi" w:eastAsia="Times New Roman" w:hAnsiTheme="majorHAnsi" w:cstheme="majorHAnsi"/>
                <w:b/>
                <w:bCs/>
                <w:color w:val="000000"/>
                <w:sz w:val="16"/>
                <w:szCs w:val="16"/>
                <w:vertAlign w:val="superscript"/>
                <w:lang w:eastAsia="pt-BR"/>
              </w:rPr>
              <w:t>7</w:t>
            </w:r>
          </w:p>
        </w:tc>
      </w:tr>
      <w:tr w:rsidR="00EE3346" w:rsidRPr="00516038" w14:paraId="50C9509A" w14:textId="77777777" w:rsidTr="001F6376">
        <w:trPr>
          <w:trHeight w:val="288"/>
        </w:trPr>
        <w:tc>
          <w:tcPr>
            <w:tcW w:w="2667" w:type="dxa"/>
            <w:tcBorders>
              <w:top w:val="single" w:sz="4" w:space="0" w:color="auto"/>
              <w:left w:val="nil"/>
              <w:bottom w:val="nil"/>
              <w:right w:val="nil"/>
            </w:tcBorders>
            <w:shd w:val="clear" w:color="000000" w:fill="FFFFFF"/>
            <w:noWrap/>
            <w:vAlign w:val="bottom"/>
            <w:hideMark/>
          </w:tcPr>
          <w:p w14:paraId="5E91DB05" w14:textId="77777777" w:rsidR="00EE3346" w:rsidRPr="00516038" w:rsidRDefault="00EE3346" w:rsidP="00516038">
            <w:pPr>
              <w:tabs>
                <w:tab w:val="clear" w:pos="1615"/>
              </w:tabs>
              <w:spacing w:after="0"/>
              <w:rPr>
                <w:rFonts w:asciiTheme="majorHAnsi" w:eastAsia="Times New Roman" w:hAnsiTheme="majorHAnsi" w:cstheme="majorHAnsi"/>
                <w:b/>
                <w:sz w:val="16"/>
                <w:szCs w:val="16"/>
                <w:lang w:eastAsia="pt-BR"/>
              </w:rPr>
            </w:pPr>
            <w:r w:rsidRPr="00516038">
              <w:rPr>
                <w:rFonts w:asciiTheme="majorHAnsi" w:eastAsia="Times New Roman" w:hAnsiTheme="majorHAnsi" w:cstheme="majorHAnsi"/>
                <w:b/>
                <w:sz w:val="16"/>
                <w:szCs w:val="16"/>
                <w:lang w:eastAsia="pt-BR"/>
              </w:rPr>
              <w:t>Bacharelado Interdisciplinar em C &amp; T</w:t>
            </w:r>
          </w:p>
        </w:tc>
        <w:tc>
          <w:tcPr>
            <w:tcW w:w="594" w:type="dxa"/>
            <w:gridSpan w:val="2"/>
            <w:tcBorders>
              <w:top w:val="single" w:sz="4" w:space="0" w:color="auto"/>
              <w:left w:val="nil"/>
              <w:bottom w:val="nil"/>
              <w:right w:val="nil"/>
            </w:tcBorders>
            <w:shd w:val="clear" w:color="000000" w:fill="FFFFFF"/>
            <w:noWrap/>
            <w:vAlign w:val="bottom"/>
          </w:tcPr>
          <w:p w14:paraId="1C8C3BEA" w14:textId="77777777" w:rsidR="00EE3346" w:rsidRPr="00516038" w:rsidRDefault="00EE3346" w:rsidP="00516038">
            <w:pPr>
              <w:tabs>
                <w:tab w:val="clear" w:pos="1615"/>
              </w:tabs>
              <w:spacing w:after="0"/>
              <w:jc w:val="center"/>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90</w:t>
            </w:r>
          </w:p>
        </w:tc>
        <w:tc>
          <w:tcPr>
            <w:tcW w:w="581" w:type="dxa"/>
            <w:gridSpan w:val="2"/>
            <w:tcBorders>
              <w:top w:val="single" w:sz="4" w:space="0" w:color="auto"/>
              <w:left w:val="nil"/>
              <w:bottom w:val="nil"/>
              <w:right w:val="nil"/>
            </w:tcBorders>
            <w:shd w:val="clear" w:color="000000" w:fill="FFFFFF"/>
            <w:noWrap/>
            <w:vAlign w:val="bottom"/>
          </w:tcPr>
          <w:p w14:paraId="4AE34577" w14:textId="77777777" w:rsidR="00EE3346" w:rsidRPr="00516038" w:rsidRDefault="00EE3346" w:rsidP="00516038">
            <w:pPr>
              <w:tabs>
                <w:tab w:val="clear" w:pos="1615"/>
              </w:tabs>
              <w:spacing w:after="0"/>
              <w:ind w:left="-70" w:hanging="40"/>
              <w:jc w:val="center"/>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w:t>
            </w:r>
          </w:p>
        </w:tc>
        <w:tc>
          <w:tcPr>
            <w:tcW w:w="567" w:type="dxa"/>
            <w:gridSpan w:val="2"/>
            <w:tcBorders>
              <w:top w:val="single" w:sz="4" w:space="0" w:color="auto"/>
              <w:left w:val="nil"/>
              <w:bottom w:val="nil"/>
              <w:right w:val="nil"/>
            </w:tcBorders>
            <w:shd w:val="clear" w:color="000000" w:fill="FFFFFF"/>
            <w:noWrap/>
            <w:vAlign w:val="bottom"/>
          </w:tcPr>
          <w:p w14:paraId="0BECCEAF" w14:textId="77777777" w:rsidR="00EE3346" w:rsidRPr="00516038" w:rsidRDefault="00EE3346" w:rsidP="00516038">
            <w:pPr>
              <w:tabs>
                <w:tab w:val="clear" w:pos="1615"/>
              </w:tabs>
              <w:spacing w:after="0"/>
              <w:jc w:val="center"/>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w:t>
            </w:r>
          </w:p>
        </w:tc>
        <w:tc>
          <w:tcPr>
            <w:tcW w:w="425" w:type="dxa"/>
            <w:gridSpan w:val="2"/>
            <w:tcBorders>
              <w:top w:val="single" w:sz="4" w:space="0" w:color="auto"/>
              <w:left w:val="nil"/>
              <w:bottom w:val="nil"/>
              <w:right w:val="nil"/>
            </w:tcBorders>
            <w:shd w:val="clear" w:color="000000" w:fill="FFFFFF"/>
            <w:noWrap/>
            <w:vAlign w:val="bottom"/>
          </w:tcPr>
          <w:p w14:paraId="16C1CAFF" w14:textId="77777777" w:rsidR="00EE3346" w:rsidRPr="00516038" w:rsidRDefault="00EE3346" w:rsidP="00516038">
            <w:pPr>
              <w:tabs>
                <w:tab w:val="clear" w:pos="1615"/>
              </w:tabs>
              <w:spacing w:after="0"/>
              <w:jc w:val="center"/>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w:t>
            </w:r>
          </w:p>
        </w:tc>
        <w:tc>
          <w:tcPr>
            <w:tcW w:w="567" w:type="dxa"/>
            <w:gridSpan w:val="2"/>
            <w:tcBorders>
              <w:top w:val="single" w:sz="4" w:space="0" w:color="auto"/>
              <w:left w:val="nil"/>
              <w:bottom w:val="nil"/>
              <w:right w:val="nil"/>
            </w:tcBorders>
            <w:shd w:val="clear" w:color="000000" w:fill="FFFFFF"/>
            <w:noWrap/>
            <w:vAlign w:val="bottom"/>
          </w:tcPr>
          <w:p w14:paraId="23954DB0" w14:textId="77777777" w:rsidR="00EE3346" w:rsidRPr="00516038" w:rsidRDefault="00EE3346" w:rsidP="00516038">
            <w:pPr>
              <w:tabs>
                <w:tab w:val="clear" w:pos="1615"/>
              </w:tabs>
              <w:spacing w:after="0"/>
              <w:jc w:val="center"/>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90</w:t>
            </w:r>
          </w:p>
        </w:tc>
        <w:tc>
          <w:tcPr>
            <w:tcW w:w="581" w:type="dxa"/>
            <w:gridSpan w:val="2"/>
            <w:tcBorders>
              <w:top w:val="single" w:sz="4" w:space="0" w:color="auto"/>
              <w:left w:val="nil"/>
              <w:bottom w:val="nil"/>
              <w:right w:val="nil"/>
            </w:tcBorders>
            <w:shd w:val="clear" w:color="000000" w:fill="FFFFFF"/>
            <w:noWrap/>
            <w:vAlign w:val="bottom"/>
          </w:tcPr>
          <w:p w14:paraId="31D2237E" w14:textId="77777777" w:rsidR="00EE3346" w:rsidRPr="00516038" w:rsidRDefault="00EE3346" w:rsidP="00516038">
            <w:pPr>
              <w:tabs>
                <w:tab w:val="clear" w:pos="1615"/>
              </w:tabs>
              <w:spacing w:after="0"/>
              <w:jc w:val="center"/>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1.080</w:t>
            </w:r>
          </w:p>
        </w:tc>
        <w:tc>
          <w:tcPr>
            <w:tcW w:w="581" w:type="dxa"/>
            <w:gridSpan w:val="2"/>
            <w:tcBorders>
              <w:top w:val="single" w:sz="4" w:space="0" w:color="auto"/>
              <w:left w:val="nil"/>
              <w:bottom w:val="nil"/>
              <w:right w:val="nil"/>
            </w:tcBorders>
            <w:shd w:val="clear" w:color="000000" w:fill="FFFFFF"/>
            <w:noWrap/>
            <w:vAlign w:val="bottom"/>
          </w:tcPr>
          <w:p w14:paraId="65A86858" w14:textId="77777777" w:rsidR="00EE3346" w:rsidRPr="00516038" w:rsidRDefault="00EE3346" w:rsidP="00516038">
            <w:pPr>
              <w:tabs>
                <w:tab w:val="clear" w:pos="1615"/>
              </w:tabs>
              <w:spacing w:after="0"/>
              <w:jc w:val="center"/>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57</w:t>
            </w:r>
          </w:p>
        </w:tc>
        <w:tc>
          <w:tcPr>
            <w:tcW w:w="581" w:type="dxa"/>
            <w:gridSpan w:val="2"/>
            <w:tcBorders>
              <w:top w:val="single" w:sz="4" w:space="0" w:color="auto"/>
              <w:left w:val="nil"/>
              <w:bottom w:val="nil"/>
              <w:right w:val="nil"/>
            </w:tcBorders>
            <w:shd w:val="clear" w:color="000000" w:fill="FFFFFF"/>
            <w:noWrap/>
            <w:vAlign w:val="bottom"/>
          </w:tcPr>
          <w:p w14:paraId="08B7F46E" w14:textId="77777777" w:rsidR="00EE3346" w:rsidRPr="00516038" w:rsidRDefault="00EE3346" w:rsidP="00516038">
            <w:pPr>
              <w:tabs>
                <w:tab w:val="clear" w:pos="1615"/>
              </w:tabs>
              <w:spacing w:after="0"/>
              <w:jc w:val="center"/>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684</w:t>
            </w:r>
          </w:p>
        </w:tc>
        <w:tc>
          <w:tcPr>
            <w:tcW w:w="581" w:type="dxa"/>
            <w:gridSpan w:val="2"/>
            <w:tcBorders>
              <w:top w:val="single" w:sz="4" w:space="0" w:color="auto"/>
              <w:left w:val="nil"/>
              <w:bottom w:val="nil"/>
              <w:right w:val="nil"/>
            </w:tcBorders>
            <w:shd w:val="clear" w:color="auto" w:fill="FFFFFF" w:themeFill="background1"/>
            <w:noWrap/>
            <w:vAlign w:val="bottom"/>
          </w:tcPr>
          <w:p w14:paraId="1428C820" w14:textId="77777777" w:rsidR="00EE3346" w:rsidRPr="00516038" w:rsidRDefault="00EE3346" w:rsidP="00516038">
            <w:pPr>
              <w:tabs>
                <w:tab w:val="clear" w:pos="1615"/>
              </w:tabs>
              <w:spacing w:after="0"/>
              <w:jc w:val="center"/>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43</w:t>
            </w:r>
          </w:p>
        </w:tc>
        <w:tc>
          <w:tcPr>
            <w:tcW w:w="581" w:type="dxa"/>
            <w:gridSpan w:val="2"/>
            <w:tcBorders>
              <w:top w:val="single" w:sz="4" w:space="0" w:color="auto"/>
              <w:left w:val="nil"/>
              <w:bottom w:val="nil"/>
              <w:right w:val="nil"/>
            </w:tcBorders>
            <w:shd w:val="clear" w:color="auto" w:fill="FFFFFF" w:themeFill="background1"/>
            <w:noWrap/>
            <w:vAlign w:val="bottom"/>
          </w:tcPr>
          <w:p w14:paraId="7B9234E2" w14:textId="77777777" w:rsidR="00EE3346" w:rsidRPr="00516038" w:rsidRDefault="00EE3346" w:rsidP="00516038">
            <w:pPr>
              <w:tabs>
                <w:tab w:val="clear" w:pos="1615"/>
              </w:tabs>
              <w:spacing w:after="0"/>
              <w:jc w:val="center"/>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516</w:t>
            </w:r>
          </w:p>
        </w:tc>
        <w:tc>
          <w:tcPr>
            <w:tcW w:w="581" w:type="dxa"/>
            <w:gridSpan w:val="2"/>
            <w:tcBorders>
              <w:top w:val="single" w:sz="4" w:space="0" w:color="auto"/>
              <w:left w:val="nil"/>
              <w:right w:val="nil"/>
            </w:tcBorders>
            <w:shd w:val="clear" w:color="auto" w:fill="FFFFFF" w:themeFill="background1"/>
            <w:vAlign w:val="bottom"/>
          </w:tcPr>
          <w:p w14:paraId="3303CA53" w14:textId="77777777" w:rsidR="00EE3346" w:rsidRPr="00516038" w:rsidRDefault="00EE3346" w:rsidP="00516038">
            <w:pPr>
              <w:tabs>
                <w:tab w:val="clear" w:pos="1615"/>
              </w:tabs>
              <w:spacing w:after="0"/>
              <w:jc w:val="center"/>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120</w:t>
            </w:r>
          </w:p>
        </w:tc>
        <w:tc>
          <w:tcPr>
            <w:tcW w:w="581" w:type="dxa"/>
            <w:gridSpan w:val="2"/>
            <w:tcBorders>
              <w:top w:val="single" w:sz="4" w:space="0" w:color="auto"/>
              <w:left w:val="nil"/>
              <w:bottom w:val="nil"/>
              <w:right w:val="nil"/>
            </w:tcBorders>
            <w:shd w:val="clear" w:color="auto" w:fill="FFFFFF" w:themeFill="background1"/>
            <w:noWrap/>
            <w:vAlign w:val="bottom"/>
          </w:tcPr>
          <w:p w14:paraId="33758E52" w14:textId="77777777" w:rsidR="00EE3346" w:rsidRPr="00516038" w:rsidRDefault="00EE3346" w:rsidP="00516038">
            <w:pPr>
              <w:tabs>
                <w:tab w:val="clear" w:pos="1615"/>
              </w:tabs>
              <w:spacing w:after="0"/>
              <w:jc w:val="center"/>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190</w:t>
            </w:r>
          </w:p>
        </w:tc>
        <w:tc>
          <w:tcPr>
            <w:tcW w:w="581" w:type="dxa"/>
            <w:gridSpan w:val="2"/>
            <w:tcBorders>
              <w:top w:val="single" w:sz="4" w:space="0" w:color="auto"/>
              <w:left w:val="nil"/>
              <w:bottom w:val="nil"/>
              <w:right w:val="nil"/>
            </w:tcBorders>
            <w:shd w:val="clear" w:color="000000" w:fill="FFFFFF"/>
            <w:noWrap/>
            <w:vAlign w:val="bottom"/>
          </w:tcPr>
          <w:p w14:paraId="3FE1B429" w14:textId="77777777" w:rsidR="00EE3346" w:rsidRPr="00516038" w:rsidRDefault="00EE3346" w:rsidP="00516038">
            <w:pPr>
              <w:tabs>
                <w:tab w:val="clear" w:pos="1615"/>
              </w:tabs>
              <w:spacing w:after="0"/>
              <w:jc w:val="center"/>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2.400</w:t>
            </w:r>
          </w:p>
        </w:tc>
      </w:tr>
      <w:tr w:rsidR="00EE3346" w:rsidRPr="00516038" w14:paraId="157CD75B" w14:textId="77777777" w:rsidTr="001F6376">
        <w:trPr>
          <w:trHeight w:val="288"/>
        </w:trPr>
        <w:tc>
          <w:tcPr>
            <w:tcW w:w="2667" w:type="dxa"/>
            <w:tcBorders>
              <w:top w:val="nil"/>
              <w:left w:val="nil"/>
              <w:bottom w:val="nil"/>
              <w:right w:val="nil"/>
            </w:tcBorders>
            <w:shd w:val="clear" w:color="000000" w:fill="FFFFFF"/>
            <w:noWrap/>
            <w:vAlign w:val="bottom"/>
            <w:hideMark/>
          </w:tcPr>
          <w:p w14:paraId="5625F744" w14:textId="77777777" w:rsidR="00EE3346" w:rsidRPr="00516038" w:rsidRDefault="00EE3346" w:rsidP="00516038">
            <w:pPr>
              <w:tabs>
                <w:tab w:val="clear" w:pos="1615"/>
              </w:tabs>
              <w:spacing w:after="0"/>
              <w:rPr>
                <w:rFonts w:asciiTheme="majorHAnsi" w:eastAsia="Times New Roman" w:hAnsiTheme="majorHAnsi" w:cstheme="majorHAnsi"/>
                <w:b/>
                <w:sz w:val="16"/>
                <w:szCs w:val="16"/>
                <w:lang w:eastAsia="pt-BR"/>
              </w:rPr>
            </w:pPr>
            <w:r w:rsidRPr="00516038">
              <w:rPr>
                <w:rFonts w:asciiTheme="majorHAnsi" w:eastAsia="Times New Roman" w:hAnsiTheme="majorHAnsi" w:cstheme="majorHAnsi"/>
                <w:b/>
                <w:sz w:val="16"/>
                <w:szCs w:val="16"/>
                <w:lang w:eastAsia="pt-BR"/>
              </w:rPr>
              <w:t>Engenharia de computação</w:t>
            </w:r>
          </w:p>
        </w:tc>
        <w:tc>
          <w:tcPr>
            <w:tcW w:w="594" w:type="dxa"/>
            <w:gridSpan w:val="2"/>
            <w:tcBorders>
              <w:top w:val="nil"/>
              <w:left w:val="nil"/>
              <w:bottom w:val="nil"/>
              <w:right w:val="nil"/>
            </w:tcBorders>
            <w:shd w:val="clear" w:color="000000" w:fill="FFFFFF"/>
            <w:noWrap/>
            <w:vAlign w:val="bottom"/>
          </w:tcPr>
          <w:p w14:paraId="098BC4F2" w14:textId="77777777" w:rsidR="00EE3346" w:rsidRPr="00516038" w:rsidRDefault="00EE3346" w:rsidP="00516038">
            <w:pPr>
              <w:tabs>
                <w:tab w:val="clear" w:pos="1615"/>
              </w:tabs>
              <w:spacing w:after="0"/>
              <w:jc w:val="center"/>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90</w:t>
            </w:r>
          </w:p>
        </w:tc>
        <w:tc>
          <w:tcPr>
            <w:tcW w:w="581" w:type="dxa"/>
            <w:gridSpan w:val="2"/>
            <w:tcBorders>
              <w:top w:val="nil"/>
              <w:left w:val="nil"/>
              <w:bottom w:val="nil"/>
              <w:right w:val="nil"/>
            </w:tcBorders>
            <w:shd w:val="clear" w:color="000000" w:fill="FFFFFF"/>
            <w:noWrap/>
            <w:vAlign w:val="bottom"/>
          </w:tcPr>
          <w:p w14:paraId="520F3834" w14:textId="77777777" w:rsidR="00EE3346" w:rsidRPr="00516038" w:rsidRDefault="00EE3346" w:rsidP="00516038">
            <w:pPr>
              <w:tabs>
                <w:tab w:val="clear" w:pos="1615"/>
              </w:tabs>
              <w:spacing w:after="0"/>
              <w:ind w:left="-70" w:hanging="40"/>
              <w:jc w:val="center"/>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124</w:t>
            </w:r>
          </w:p>
        </w:tc>
        <w:tc>
          <w:tcPr>
            <w:tcW w:w="567" w:type="dxa"/>
            <w:gridSpan w:val="2"/>
            <w:tcBorders>
              <w:top w:val="nil"/>
              <w:left w:val="nil"/>
              <w:bottom w:val="nil"/>
              <w:right w:val="nil"/>
            </w:tcBorders>
            <w:shd w:val="clear" w:color="000000" w:fill="FFFFFF"/>
            <w:noWrap/>
            <w:vAlign w:val="bottom"/>
          </w:tcPr>
          <w:p w14:paraId="2CEBF6E3" w14:textId="77777777" w:rsidR="00EE3346" w:rsidRPr="00516038" w:rsidRDefault="00EE3346" w:rsidP="00516038">
            <w:pPr>
              <w:tabs>
                <w:tab w:val="clear" w:pos="1615"/>
              </w:tabs>
              <w:spacing w:after="0"/>
              <w:jc w:val="center"/>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0</w:t>
            </w:r>
            <w:r w:rsidRPr="00516038">
              <w:rPr>
                <w:rFonts w:asciiTheme="majorHAnsi" w:eastAsia="Times New Roman" w:hAnsiTheme="majorHAnsi" w:cstheme="majorHAnsi"/>
                <w:sz w:val="16"/>
                <w:szCs w:val="16"/>
                <w:vertAlign w:val="superscript"/>
                <w:lang w:eastAsia="pt-BR"/>
              </w:rPr>
              <w:t>8</w:t>
            </w:r>
          </w:p>
        </w:tc>
        <w:tc>
          <w:tcPr>
            <w:tcW w:w="425" w:type="dxa"/>
            <w:gridSpan w:val="2"/>
            <w:tcBorders>
              <w:top w:val="nil"/>
              <w:left w:val="nil"/>
              <w:bottom w:val="nil"/>
              <w:right w:val="nil"/>
            </w:tcBorders>
            <w:shd w:val="clear" w:color="000000" w:fill="FFFFFF"/>
            <w:noWrap/>
            <w:vAlign w:val="bottom"/>
          </w:tcPr>
          <w:p w14:paraId="736B2DB1" w14:textId="77777777" w:rsidR="00EE3346" w:rsidRPr="00516038" w:rsidRDefault="00EE3346" w:rsidP="00516038">
            <w:pPr>
              <w:tabs>
                <w:tab w:val="clear" w:pos="1615"/>
              </w:tabs>
              <w:spacing w:after="0"/>
              <w:jc w:val="center"/>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w:t>
            </w:r>
          </w:p>
        </w:tc>
        <w:tc>
          <w:tcPr>
            <w:tcW w:w="567" w:type="dxa"/>
            <w:gridSpan w:val="2"/>
            <w:tcBorders>
              <w:top w:val="nil"/>
              <w:left w:val="nil"/>
              <w:bottom w:val="nil"/>
              <w:right w:val="nil"/>
            </w:tcBorders>
            <w:shd w:val="clear" w:color="000000" w:fill="FFFFFF"/>
            <w:noWrap/>
            <w:vAlign w:val="bottom"/>
          </w:tcPr>
          <w:p w14:paraId="71C4C739" w14:textId="77777777" w:rsidR="00EE3346" w:rsidRPr="00516038" w:rsidRDefault="00EE3346" w:rsidP="00516038">
            <w:pPr>
              <w:tabs>
                <w:tab w:val="clear" w:pos="1615"/>
              </w:tabs>
              <w:spacing w:after="0"/>
              <w:jc w:val="center"/>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214</w:t>
            </w:r>
          </w:p>
        </w:tc>
        <w:tc>
          <w:tcPr>
            <w:tcW w:w="581" w:type="dxa"/>
            <w:gridSpan w:val="2"/>
            <w:tcBorders>
              <w:top w:val="nil"/>
              <w:left w:val="nil"/>
              <w:bottom w:val="nil"/>
              <w:right w:val="nil"/>
            </w:tcBorders>
            <w:shd w:val="clear" w:color="000000" w:fill="FFFFFF"/>
            <w:noWrap/>
            <w:vAlign w:val="bottom"/>
          </w:tcPr>
          <w:p w14:paraId="251BD383" w14:textId="77777777" w:rsidR="00EE3346" w:rsidRPr="00516038" w:rsidRDefault="00EE3346" w:rsidP="00516038">
            <w:pPr>
              <w:tabs>
                <w:tab w:val="clear" w:pos="1615"/>
              </w:tabs>
              <w:spacing w:after="0"/>
              <w:jc w:val="center"/>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2.568</w:t>
            </w:r>
          </w:p>
        </w:tc>
        <w:tc>
          <w:tcPr>
            <w:tcW w:w="581" w:type="dxa"/>
            <w:gridSpan w:val="2"/>
            <w:tcBorders>
              <w:top w:val="nil"/>
              <w:left w:val="nil"/>
              <w:bottom w:val="nil"/>
              <w:right w:val="nil"/>
            </w:tcBorders>
            <w:shd w:val="clear" w:color="000000" w:fill="FFFFFF"/>
            <w:noWrap/>
            <w:vAlign w:val="bottom"/>
          </w:tcPr>
          <w:p w14:paraId="378E2188" w14:textId="77777777" w:rsidR="00EE3346" w:rsidRPr="00516038" w:rsidRDefault="00EE3346" w:rsidP="00516038">
            <w:pPr>
              <w:tabs>
                <w:tab w:val="clear" w:pos="1615"/>
              </w:tabs>
              <w:spacing w:after="0"/>
              <w:jc w:val="center"/>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30</w:t>
            </w:r>
          </w:p>
        </w:tc>
        <w:tc>
          <w:tcPr>
            <w:tcW w:w="581" w:type="dxa"/>
            <w:gridSpan w:val="2"/>
            <w:tcBorders>
              <w:top w:val="nil"/>
              <w:left w:val="nil"/>
              <w:bottom w:val="nil"/>
              <w:right w:val="nil"/>
            </w:tcBorders>
            <w:shd w:val="clear" w:color="000000" w:fill="FFFFFF"/>
            <w:noWrap/>
            <w:vAlign w:val="bottom"/>
          </w:tcPr>
          <w:p w14:paraId="62A9292F" w14:textId="77777777" w:rsidR="00EE3346" w:rsidRPr="00516038" w:rsidRDefault="00EE3346" w:rsidP="00516038">
            <w:pPr>
              <w:tabs>
                <w:tab w:val="clear" w:pos="1615"/>
              </w:tabs>
              <w:spacing w:after="0"/>
              <w:jc w:val="center"/>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360</w:t>
            </w:r>
          </w:p>
        </w:tc>
        <w:tc>
          <w:tcPr>
            <w:tcW w:w="581" w:type="dxa"/>
            <w:gridSpan w:val="2"/>
            <w:tcBorders>
              <w:top w:val="nil"/>
              <w:left w:val="nil"/>
              <w:bottom w:val="nil"/>
              <w:right w:val="nil"/>
            </w:tcBorders>
            <w:shd w:val="clear" w:color="auto" w:fill="FFFFFF" w:themeFill="background1"/>
            <w:noWrap/>
            <w:vAlign w:val="bottom"/>
          </w:tcPr>
          <w:p w14:paraId="0E9DD48E" w14:textId="77777777" w:rsidR="00EE3346" w:rsidRPr="00516038" w:rsidRDefault="00EE3346" w:rsidP="00516038">
            <w:pPr>
              <w:tabs>
                <w:tab w:val="clear" w:pos="1615"/>
              </w:tabs>
              <w:spacing w:after="0"/>
              <w:jc w:val="center"/>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12</w:t>
            </w:r>
          </w:p>
        </w:tc>
        <w:tc>
          <w:tcPr>
            <w:tcW w:w="581" w:type="dxa"/>
            <w:gridSpan w:val="2"/>
            <w:tcBorders>
              <w:top w:val="nil"/>
              <w:left w:val="nil"/>
              <w:bottom w:val="nil"/>
              <w:right w:val="nil"/>
            </w:tcBorders>
            <w:shd w:val="clear" w:color="auto" w:fill="FFFFFF" w:themeFill="background1"/>
            <w:noWrap/>
            <w:vAlign w:val="bottom"/>
          </w:tcPr>
          <w:p w14:paraId="57F01550" w14:textId="77777777" w:rsidR="00EE3346" w:rsidRPr="00516038" w:rsidRDefault="00EE3346" w:rsidP="00516038">
            <w:pPr>
              <w:tabs>
                <w:tab w:val="clear" w:pos="1615"/>
              </w:tabs>
              <w:spacing w:after="0"/>
              <w:jc w:val="center"/>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144</w:t>
            </w:r>
          </w:p>
        </w:tc>
        <w:tc>
          <w:tcPr>
            <w:tcW w:w="581" w:type="dxa"/>
            <w:gridSpan w:val="2"/>
            <w:tcBorders>
              <w:left w:val="nil"/>
              <w:right w:val="nil"/>
            </w:tcBorders>
            <w:shd w:val="clear" w:color="auto" w:fill="FFFFFF" w:themeFill="background1"/>
            <w:vAlign w:val="bottom"/>
          </w:tcPr>
          <w:p w14:paraId="306E9413" w14:textId="77777777" w:rsidR="00EE3346" w:rsidRPr="00516038" w:rsidRDefault="00EE3346" w:rsidP="00516038">
            <w:pPr>
              <w:tabs>
                <w:tab w:val="clear" w:pos="1615"/>
              </w:tabs>
              <w:spacing w:after="0"/>
              <w:jc w:val="center"/>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120</w:t>
            </w:r>
          </w:p>
        </w:tc>
        <w:tc>
          <w:tcPr>
            <w:tcW w:w="581" w:type="dxa"/>
            <w:gridSpan w:val="2"/>
            <w:tcBorders>
              <w:top w:val="nil"/>
              <w:left w:val="nil"/>
              <w:bottom w:val="nil"/>
              <w:right w:val="nil"/>
            </w:tcBorders>
            <w:shd w:val="clear" w:color="auto" w:fill="FFFFFF" w:themeFill="background1"/>
            <w:noWrap/>
            <w:vAlign w:val="bottom"/>
          </w:tcPr>
          <w:p w14:paraId="1D3379F7" w14:textId="77777777" w:rsidR="00EE3346" w:rsidRPr="00516038" w:rsidRDefault="00EE3346" w:rsidP="00516038">
            <w:pPr>
              <w:tabs>
                <w:tab w:val="clear" w:pos="1615"/>
              </w:tabs>
              <w:spacing w:after="0"/>
              <w:jc w:val="center"/>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256</w:t>
            </w:r>
          </w:p>
        </w:tc>
        <w:tc>
          <w:tcPr>
            <w:tcW w:w="581" w:type="dxa"/>
            <w:gridSpan w:val="2"/>
            <w:tcBorders>
              <w:top w:val="nil"/>
              <w:left w:val="nil"/>
              <w:bottom w:val="nil"/>
              <w:right w:val="nil"/>
            </w:tcBorders>
            <w:shd w:val="clear" w:color="000000" w:fill="FFFFFF"/>
            <w:noWrap/>
            <w:vAlign w:val="bottom"/>
          </w:tcPr>
          <w:p w14:paraId="5ADAC322" w14:textId="77777777" w:rsidR="00EE3346" w:rsidRPr="00516038" w:rsidRDefault="00EE3346" w:rsidP="00516038">
            <w:pPr>
              <w:tabs>
                <w:tab w:val="clear" w:pos="1615"/>
              </w:tabs>
              <w:spacing w:after="0"/>
              <w:jc w:val="center"/>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3.192</w:t>
            </w:r>
          </w:p>
        </w:tc>
      </w:tr>
      <w:tr w:rsidR="00EE3346" w:rsidRPr="00516038" w14:paraId="7D1E5187" w14:textId="77777777" w:rsidTr="001F6376">
        <w:trPr>
          <w:trHeight w:val="288"/>
        </w:trPr>
        <w:tc>
          <w:tcPr>
            <w:tcW w:w="2667" w:type="dxa"/>
            <w:tcBorders>
              <w:top w:val="nil"/>
              <w:left w:val="nil"/>
              <w:bottom w:val="nil"/>
              <w:right w:val="nil"/>
            </w:tcBorders>
            <w:shd w:val="clear" w:color="000000" w:fill="FFFFFF"/>
            <w:noWrap/>
            <w:vAlign w:val="bottom"/>
            <w:hideMark/>
          </w:tcPr>
          <w:p w14:paraId="715E7607" w14:textId="77777777" w:rsidR="00EE3346" w:rsidRPr="00516038" w:rsidRDefault="00EE3346" w:rsidP="00516038">
            <w:pPr>
              <w:tabs>
                <w:tab w:val="clear" w:pos="1615"/>
              </w:tabs>
              <w:spacing w:after="0"/>
              <w:rPr>
                <w:rFonts w:asciiTheme="majorHAnsi" w:eastAsia="Times New Roman" w:hAnsiTheme="majorHAnsi" w:cstheme="majorHAnsi"/>
                <w:b/>
                <w:sz w:val="16"/>
                <w:szCs w:val="16"/>
                <w:lang w:eastAsia="pt-BR"/>
              </w:rPr>
            </w:pPr>
            <w:r w:rsidRPr="00516038">
              <w:rPr>
                <w:rFonts w:asciiTheme="majorHAnsi" w:eastAsia="Times New Roman" w:hAnsiTheme="majorHAnsi" w:cstheme="majorHAnsi"/>
                <w:b/>
                <w:sz w:val="16"/>
                <w:szCs w:val="16"/>
                <w:lang w:eastAsia="pt-BR"/>
              </w:rPr>
              <w:t>Engenharia de informação</w:t>
            </w:r>
          </w:p>
        </w:tc>
        <w:tc>
          <w:tcPr>
            <w:tcW w:w="594" w:type="dxa"/>
            <w:gridSpan w:val="2"/>
            <w:tcBorders>
              <w:top w:val="nil"/>
              <w:left w:val="nil"/>
              <w:bottom w:val="nil"/>
              <w:right w:val="nil"/>
            </w:tcBorders>
            <w:shd w:val="clear" w:color="000000" w:fill="FFFFFF"/>
            <w:noWrap/>
            <w:vAlign w:val="bottom"/>
          </w:tcPr>
          <w:p w14:paraId="4FE2DEAE" w14:textId="77777777" w:rsidR="00EE3346" w:rsidRPr="00516038" w:rsidRDefault="00EE3346" w:rsidP="00516038">
            <w:pPr>
              <w:tabs>
                <w:tab w:val="clear" w:pos="1615"/>
              </w:tabs>
              <w:spacing w:after="0"/>
              <w:jc w:val="center"/>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90</w:t>
            </w:r>
          </w:p>
        </w:tc>
        <w:tc>
          <w:tcPr>
            <w:tcW w:w="581" w:type="dxa"/>
            <w:gridSpan w:val="2"/>
            <w:tcBorders>
              <w:top w:val="nil"/>
              <w:left w:val="nil"/>
              <w:bottom w:val="nil"/>
              <w:right w:val="nil"/>
            </w:tcBorders>
            <w:shd w:val="clear" w:color="000000" w:fill="FFFFFF"/>
            <w:noWrap/>
            <w:vAlign w:val="bottom"/>
          </w:tcPr>
          <w:p w14:paraId="4D85A808" w14:textId="77777777" w:rsidR="00EE3346" w:rsidRPr="00516038" w:rsidRDefault="00EE3346" w:rsidP="00516038">
            <w:pPr>
              <w:tabs>
                <w:tab w:val="clear" w:pos="1615"/>
              </w:tabs>
              <w:spacing w:after="0"/>
              <w:ind w:left="-70" w:hanging="40"/>
              <w:jc w:val="center"/>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135</w:t>
            </w:r>
          </w:p>
        </w:tc>
        <w:tc>
          <w:tcPr>
            <w:tcW w:w="567" w:type="dxa"/>
            <w:gridSpan w:val="2"/>
            <w:tcBorders>
              <w:top w:val="nil"/>
              <w:left w:val="nil"/>
              <w:bottom w:val="nil"/>
              <w:right w:val="nil"/>
            </w:tcBorders>
            <w:shd w:val="clear" w:color="000000" w:fill="FFFFFF"/>
            <w:noWrap/>
            <w:vAlign w:val="bottom"/>
          </w:tcPr>
          <w:p w14:paraId="1B8C0730" w14:textId="77777777" w:rsidR="00EE3346" w:rsidRPr="00516038" w:rsidRDefault="00EE3346" w:rsidP="00516038">
            <w:pPr>
              <w:tabs>
                <w:tab w:val="clear" w:pos="1615"/>
              </w:tabs>
              <w:spacing w:after="0"/>
              <w:jc w:val="center"/>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14</w:t>
            </w:r>
          </w:p>
        </w:tc>
        <w:tc>
          <w:tcPr>
            <w:tcW w:w="425" w:type="dxa"/>
            <w:gridSpan w:val="2"/>
            <w:tcBorders>
              <w:top w:val="nil"/>
              <w:left w:val="nil"/>
              <w:bottom w:val="nil"/>
              <w:right w:val="nil"/>
            </w:tcBorders>
            <w:shd w:val="clear" w:color="000000" w:fill="FFFFFF"/>
            <w:noWrap/>
            <w:vAlign w:val="bottom"/>
          </w:tcPr>
          <w:p w14:paraId="65FC6C77" w14:textId="77777777" w:rsidR="00EE3346" w:rsidRPr="00516038" w:rsidRDefault="00EE3346" w:rsidP="00516038">
            <w:pPr>
              <w:tabs>
                <w:tab w:val="clear" w:pos="1615"/>
              </w:tabs>
              <w:spacing w:after="0"/>
              <w:jc w:val="center"/>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6</w:t>
            </w:r>
          </w:p>
        </w:tc>
        <w:tc>
          <w:tcPr>
            <w:tcW w:w="567" w:type="dxa"/>
            <w:gridSpan w:val="2"/>
            <w:tcBorders>
              <w:top w:val="nil"/>
              <w:left w:val="nil"/>
              <w:bottom w:val="nil"/>
              <w:right w:val="nil"/>
            </w:tcBorders>
            <w:shd w:val="clear" w:color="000000" w:fill="FFFFFF"/>
            <w:noWrap/>
            <w:vAlign w:val="bottom"/>
          </w:tcPr>
          <w:p w14:paraId="1FD9FBA2" w14:textId="77777777" w:rsidR="00EE3346" w:rsidRPr="00516038" w:rsidRDefault="00EE3346" w:rsidP="00516038">
            <w:pPr>
              <w:tabs>
                <w:tab w:val="clear" w:pos="1615"/>
              </w:tabs>
              <w:spacing w:after="0"/>
              <w:jc w:val="center"/>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245</w:t>
            </w:r>
          </w:p>
        </w:tc>
        <w:tc>
          <w:tcPr>
            <w:tcW w:w="581" w:type="dxa"/>
            <w:gridSpan w:val="2"/>
            <w:tcBorders>
              <w:top w:val="nil"/>
              <w:left w:val="nil"/>
              <w:bottom w:val="nil"/>
              <w:right w:val="nil"/>
            </w:tcBorders>
            <w:shd w:val="clear" w:color="000000" w:fill="FFFFFF"/>
            <w:noWrap/>
            <w:vAlign w:val="bottom"/>
          </w:tcPr>
          <w:p w14:paraId="089726A2" w14:textId="77777777" w:rsidR="00EE3346" w:rsidRPr="00516038" w:rsidRDefault="00EE3346" w:rsidP="00516038">
            <w:pPr>
              <w:tabs>
                <w:tab w:val="clear" w:pos="1615"/>
              </w:tabs>
              <w:spacing w:after="0"/>
              <w:jc w:val="center"/>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2.940</w:t>
            </w:r>
          </w:p>
        </w:tc>
        <w:tc>
          <w:tcPr>
            <w:tcW w:w="581" w:type="dxa"/>
            <w:gridSpan w:val="2"/>
            <w:tcBorders>
              <w:top w:val="nil"/>
              <w:left w:val="nil"/>
              <w:bottom w:val="nil"/>
              <w:right w:val="nil"/>
            </w:tcBorders>
            <w:shd w:val="clear" w:color="000000" w:fill="FFFFFF"/>
            <w:noWrap/>
            <w:vAlign w:val="bottom"/>
          </w:tcPr>
          <w:p w14:paraId="29B1D1D8" w14:textId="77777777" w:rsidR="00EE3346" w:rsidRPr="00516038" w:rsidRDefault="00EE3346" w:rsidP="00516038">
            <w:pPr>
              <w:tabs>
                <w:tab w:val="clear" w:pos="1615"/>
              </w:tabs>
              <w:spacing w:after="0"/>
              <w:jc w:val="center"/>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28</w:t>
            </w:r>
          </w:p>
        </w:tc>
        <w:tc>
          <w:tcPr>
            <w:tcW w:w="581" w:type="dxa"/>
            <w:gridSpan w:val="2"/>
            <w:tcBorders>
              <w:top w:val="nil"/>
              <w:left w:val="nil"/>
              <w:bottom w:val="nil"/>
              <w:right w:val="nil"/>
            </w:tcBorders>
            <w:shd w:val="clear" w:color="000000" w:fill="FFFFFF"/>
            <w:noWrap/>
            <w:vAlign w:val="bottom"/>
          </w:tcPr>
          <w:p w14:paraId="25CC1FC4" w14:textId="77777777" w:rsidR="00EE3346" w:rsidRPr="00516038" w:rsidRDefault="00EE3346" w:rsidP="00516038">
            <w:pPr>
              <w:tabs>
                <w:tab w:val="clear" w:pos="1615"/>
              </w:tabs>
              <w:spacing w:after="0"/>
              <w:jc w:val="center"/>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336</w:t>
            </w:r>
          </w:p>
        </w:tc>
        <w:tc>
          <w:tcPr>
            <w:tcW w:w="581" w:type="dxa"/>
            <w:gridSpan w:val="2"/>
            <w:tcBorders>
              <w:top w:val="nil"/>
              <w:left w:val="nil"/>
              <w:bottom w:val="nil"/>
              <w:right w:val="nil"/>
            </w:tcBorders>
            <w:shd w:val="clear" w:color="auto" w:fill="FFFFFF" w:themeFill="background1"/>
            <w:noWrap/>
            <w:vAlign w:val="bottom"/>
          </w:tcPr>
          <w:p w14:paraId="22EB62F1" w14:textId="77777777" w:rsidR="00EE3346" w:rsidRPr="00516038" w:rsidRDefault="00EE3346" w:rsidP="00516038">
            <w:pPr>
              <w:tabs>
                <w:tab w:val="clear" w:pos="1615"/>
              </w:tabs>
              <w:spacing w:after="0"/>
              <w:jc w:val="center"/>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27</w:t>
            </w:r>
          </w:p>
        </w:tc>
        <w:tc>
          <w:tcPr>
            <w:tcW w:w="581" w:type="dxa"/>
            <w:gridSpan w:val="2"/>
            <w:tcBorders>
              <w:top w:val="nil"/>
              <w:left w:val="nil"/>
              <w:bottom w:val="nil"/>
              <w:right w:val="nil"/>
            </w:tcBorders>
            <w:shd w:val="clear" w:color="auto" w:fill="FFFFFF" w:themeFill="background1"/>
            <w:noWrap/>
            <w:vAlign w:val="bottom"/>
          </w:tcPr>
          <w:p w14:paraId="3B3F8EFE" w14:textId="77777777" w:rsidR="00EE3346" w:rsidRPr="00516038" w:rsidRDefault="00EE3346" w:rsidP="00516038">
            <w:pPr>
              <w:tabs>
                <w:tab w:val="clear" w:pos="1615"/>
              </w:tabs>
              <w:spacing w:after="0"/>
              <w:jc w:val="center"/>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324</w:t>
            </w:r>
          </w:p>
        </w:tc>
        <w:tc>
          <w:tcPr>
            <w:tcW w:w="581" w:type="dxa"/>
            <w:gridSpan w:val="2"/>
            <w:tcBorders>
              <w:left w:val="nil"/>
              <w:right w:val="nil"/>
            </w:tcBorders>
            <w:shd w:val="clear" w:color="auto" w:fill="FFFFFF" w:themeFill="background1"/>
            <w:vAlign w:val="bottom"/>
          </w:tcPr>
          <w:p w14:paraId="105D7F24" w14:textId="77777777" w:rsidR="00EE3346" w:rsidRPr="00516038" w:rsidRDefault="00EE3346" w:rsidP="00516038">
            <w:pPr>
              <w:tabs>
                <w:tab w:val="clear" w:pos="1615"/>
              </w:tabs>
              <w:spacing w:after="0"/>
              <w:jc w:val="center"/>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120</w:t>
            </w:r>
          </w:p>
        </w:tc>
        <w:tc>
          <w:tcPr>
            <w:tcW w:w="581" w:type="dxa"/>
            <w:gridSpan w:val="2"/>
            <w:tcBorders>
              <w:top w:val="nil"/>
              <w:left w:val="nil"/>
              <w:bottom w:val="nil"/>
              <w:right w:val="nil"/>
            </w:tcBorders>
            <w:shd w:val="clear" w:color="auto" w:fill="FFFFFF" w:themeFill="background1"/>
            <w:noWrap/>
            <w:vAlign w:val="bottom"/>
          </w:tcPr>
          <w:p w14:paraId="6DE34BE3" w14:textId="77777777" w:rsidR="00EE3346" w:rsidRPr="00516038" w:rsidRDefault="00EE3346" w:rsidP="00516038">
            <w:pPr>
              <w:tabs>
                <w:tab w:val="clear" w:pos="1615"/>
              </w:tabs>
              <w:spacing w:after="0"/>
              <w:jc w:val="center"/>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300</w:t>
            </w:r>
          </w:p>
        </w:tc>
        <w:tc>
          <w:tcPr>
            <w:tcW w:w="581" w:type="dxa"/>
            <w:gridSpan w:val="2"/>
            <w:tcBorders>
              <w:top w:val="nil"/>
              <w:left w:val="nil"/>
              <w:bottom w:val="nil"/>
              <w:right w:val="nil"/>
            </w:tcBorders>
            <w:shd w:val="clear" w:color="000000" w:fill="FFFFFF"/>
            <w:noWrap/>
            <w:vAlign w:val="bottom"/>
          </w:tcPr>
          <w:p w14:paraId="43E32C11" w14:textId="77777777" w:rsidR="00EE3346" w:rsidRPr="00516038" w:rsidRDefault="00EE3346" w:rsidP="00516038">
            <w:pPr>
              <w:tabs>
                <w:tab w:val="clear" w:pos="1615"/>
              </w:tabs>
              <w:spacing w:after="0"/>
              <w:jc w:val="center"/>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3.720</w:t>
            </w:r>
          </w:p>
        </w:tc>
      </w:tr>
      <w:tr w:rsidR="00EE3346" w:rsidRPr="00516038" w14:paraId="75BF0BD9" w14:textId="77777777" w:rsidTr="001F6376">
        <w:trPr>
          <w:trHeight w:val="288"/>
        </w:trPr>
        <w:tc>
          <w:tcPr>
            <w:tcW w:w="2667" w:type="dxa"/>
            <w:tcBorders>
              <w:top w:val="nil"/>
              <w:left w:val="nil"/>
              <w:bottom w:val="single" w:sz="4" w:space="0" w:color="auto"/>
              <w:right w:val="nil"/>
            </w:tcBorders>
            <w:shd w:val="clear" w:color="000000" w:fill="FFFFFF"/>
            <w:noWrap/>
            <w:vAlign w:val="bottom"/>
            <w:hideMark/>
          </w:tcPr>
          <w:p w14:paraId="0F2AA194" w14:textId="77777777" w:rsidR="00EE3346" w:rsidRPr="00516038" w:rsidRDefault="00EE3346" w:rsidP="00516038">
            <w:pPr>
              <w:tabs>
                <w:tab w:val="clear" w:pos="1615"/>
              </w:tabs>
              <w:spacing w:after="0"/>
              <w:rPr>
                <w:rFonts w:asciiTheme="majorHAnsi" w:eastAsia="Times New Roman" w:hAnsiTheme="majorHAnsi" w:cstheme="majorHAnsi"/>
                <w:b/>
                <w:sz w:val="16"/>
                <w:szCs w:val="16"/>
                <w:lang w:eastAsia="pt-BR"/>
              </w:rPr>
            </w:pPr>
            <w:r w:rsidRPr="00516038">
              <w:rPr>
                <w:rFonts w:asciiTheme="majorHAnsi" w:eastAsia="Times New Roman" w:hAnsiTheme="majorHAnsi" w:cstheme="majorHAnsi"/>
                <w:b/>
                <w:sz w:val="16"/>
                <w:szCs w:val="16"/>
                <w:lang w:eastAsia="pt-BR"/>
              </w:rPr>
              <w:t>Engenharia Instrum. Autom. Robótica</w:t>
            </w:r>
          </w:p>
        </w:tc>
        <w:tc>
          <w:tcPr>
            <w:tcW w:w="594" w:type="dxa"/>
            <w:gridSpan w:val="2"/>
            <w:tcBorders>
              <w:top w:val="nil"/>
              <w:left w:val="nil"/>
              <w:bottom w:val="single" w:sz="4" w:space="0" w:color="auto"/>
              <w:right w:val="nil"/>
            </w:tcBorders>
            <w:shd w:val="clear" w:color="000000" w:fill="FFFFFF"/>
            <w:noWrap/>
            <w:vAlign w:val="bottom"/>
          </w:tcPr>
          <w:p w14:paraId="71857637" w14:textId="77777777" w:rsidR="00EE3346" w:rsidRPr="00516038" w:rsidRDefault="00EE3346" w:rsidP="00516038">
            <w:pPr>
              <w:tabs>
                <w:tab w:val="clear" w:pos="1615"/>
              </w:tabs>
              <w:spacing w:after="0"/>
              <w:jc w:val="center"/>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90</w:t>
            </w:r>
          </w:p>
        </w:tc>
        <w:tc>
          <w:tcPr>
            <w:tcW w:w="581" w:type="dxa"/>
            <w:gridSpan w:val="2"/>
            <w:tcBorders>
              <w:top w:val="nil"/>
              <w:left w:val="nil"/>
              <w:bottom w:val="single" w:sz="4" w:space="0" w:color="auto"/>
              <w:right w:val="nil"/>
            </w:tcBorders>
            <w:shd w:val="clear" w:color="000000" w:fill="FFFFFF"/>
            <w:noWrap/>
            <w:vAlign w:val="bottom"/>
          </w:tcPr>
          <w:p w14:paraId="281518D0" w14:textId="77777777" w:rsidR="00EE3346" w:rsidRPr="00516038" w:rsidRDefault="00EE3346" w:rsidP="00516038">
            <w:pPr>
              <w:tabs>
                <w:tab w:val="clear" w:pos="1615"/>
              </w:tabs>
              <w:spacing w:after="0"/>
              <w:ind w:left="-70" w:hanging="40"/>
              <w:jc w:val="center"/>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144</w:t>
            </w:r>
          </w:p>
        </w:tc>
        <w:tc>
          <w:tcPr>
            <w:tcW w:w="567" w:type="dxa"/>
            <w:gridSpan w:val="2"/>
            <w:tcBorders>
              <w:top w:val="nil"/>
              <w:left w:val="nil"/>
              <w:bottom w:val="single" w:sz="4" w:space="0" w:color="auto"/>
              <w:right w:val="nil"/>
            </w:tcBorders>
            <w:shd w:val="clear" w:color="000000" w:fill="FFFFFF"/>
            <w:noWrap/>
            <w:vAlign w:val="bottom"/>
          </w:tcPr>
          <w:p w14:paraId="4C65AEB7" w14:textId="77777777" w:rsidR="00EE3346" w:rsidRPr="00516038" w:rsidRDefault="00EE3346" w:rsidP="00516038">
            <w:pPr>
              <w:tabs>
                <w:tab w:val="clear" w:pos="1615"/>
              </w:tabs>
              <w:spacing w:after="0"/>
              <w:jc w:val="center"/>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14</w:t>
            </w:r>
          </w:p>
        </w:tc>
        <w:tc>
          <w:tcPr>
            <w:tcW w:w="425" w:type="dxa"/>
            <w:gridSpan w:val="2"/>
            <w:tcBorders>
              <w:top w:val="nil"/>
              <w:left w:val="nil"/>
              <w:bottom w:val="single" w:sz="4" w:space="0" w:color="auto"/>
              <w:right w:val="nil"/>
            </w:tcBorders>
            <w:shd w:val="clear" w:color="000000" w:fill="FFFFFF"/>
            <w:noWrap/>
            <w:vAlign w:val="bottom"/>
          </w:tcPr>
          <w:p w14:paraId="73EC836F" w14:textId="77777777" w:rsidR="00EE3346" w:rsidRPr="00516038" w:rsidRDefault="00EE3346" w:rsidP="00516038">
            <w:pPr>
              <w:tabs>
                <w:tab w:val="clear" w:pos="1615"/>
              </w:tabs>
              <w:spacing w:after="0"/>
              <w:jc w:val="center"/>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6</w:t>
            </w:r>
          </w:p>
        </w:tc>
        <w:tc>
          <w:tcPr>
            <w:tcW w:w="567" w:type="dxa"/>
            <w:gridSpan w:val="2"/>
            <w:tcBorders>
              <w:top w:val="nil"/>
              <w:left w:val="nil"/>
              <w:bottom w:val="single" w:sz="4" w:space="0" w:color="auto"/>
              <w:right w:val="nil"/>
            </w:tcBorders>
            <w:shd w:val="clear" w:color="000000" w:fill="FFFFFF"/>
            <w:noWrap/>
            <w:vAlign w:val="bottom"/>
          </w:tcPr>
          <w:p w14:paraId="537B3B2D" w14:textId="77777777" w:rsidR="00EE3346" w:rsidRPr="00516038" w:rsidRDefault="00EE3346" w:rsidP="00516038">
            <w:pPr>
              <w:tabs>
                <w:tab w:val="clear" w:pos="1615"/>
              </w:tabs>
              <w:spacing w:after="0"/>
              <w:jc w:val="center"/>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254</w:t>
            </w:r>
          </w:p>
        </w:tc>
        <w:tc>
          <w:tcPr>
            <w:tcW w:w="581" w:type="dxa"/>
            <w:gridSpan w:val="2"/>
            <w:tcBorders>
              <w:top w:val="nil"/>
              <w:left w:val="nil"/>
              <w:bottom w:val="single" w:sz="4" w:space="0" w:color="auto"/>
              <w:right w:val="nil"/>
            </w:tcBorders>
            <w:shd w:val="clear" w:color="000000" w:fill="FFFFFF"/>
            <w:noWrap/>
            <w:vAlign w:val="bottom"/>
          </w:tcPr>
          <w:p w14:paraId="3999FEF2" w14:textId="77777777" w:rsidR="00EE3346" w:rsidRPr="00516038" w:rsidRDefault="00EE3346" w:rsidP="00516038">
            <w:pPr>
              <w:tabs>
                <w:tab w:val="clear" w:pos="1615"/>
              </w:tabs>
              <w:spacing w:after="0"/>
              <w:jc w:val="center"/>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3.048</w:t>
            </w:r>
          </w:p>
        </w:tc>
        <w:tc>
          <w:tcPr>
            <w:tcW w:w="581" w:type="dxa"/>
            <w:gridSpan w:val="2"/>
            <w:tcBorders>
              <w:top w:val="nil"/>
              <w:left w:val="nil"/>
              <w:bottom w:val="single" w:sz="4" w:space="0" w:color="auto"/>
              <w:right w:val="nil"/>
            </w:tcBorders>
            <w:shd w:val="clear" w:color="000000" w:fill="FFFFFF"/>
            <w:noWrap/>
            <w:vAlign w:val="bottom"/>
          </w:tcPr>
          <w:p w14:paraId="63D65C55" w14:textId="77777777" w:rsidR="00EE3346" w:rsidRPr="00516038" w:rsidRDefault="00EE3346" w:rsidP="00516038">
            <w:pPr>
              <w:tabs>
                <w:tab w:val="clear" w:pos="1615"/>
              </w:tabs>
              <w:spacing w:after="0"/>
              <w:jc w:val="center"/>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23</w:t>
            </w:r>
          </w:p>
        </w:tc>
        <w:tc>
          <w:tcPr>
            <w:tcW w:w="581" w:type="dxa"/>
            <w:gridSpan w:val="2"/>
            <w:tcBorders>
              <w:top w:val="nil"/>
              <w:left w:val="nil"/>
              <w:bottom w:val="single" w:sz="4" w:space="0" w:color="auto"/>
              <w:right w:val="nil"/>
            </w:tcBorders>
            <w:shd w:val="clear" w:color="000000" w:fill="FFFFFF"/>
            <w:noWrap/>
            <w:vAlign w:val="bottom"/>
          </w:tcPr>
          <w:p w14:paraId="31A12197" w14:textId="77777777" w:rsidR="00EE3346" w:rsidRPr="00516038" w:rsidRDefault="00EE3346" w:rsidP="00516038">
            <w:pPr>
              <w:tabs>
                <w:tab w:val="clear" w:pos="1615"/>
              </w:tabs>
              <w:spacing w:after="0"/>
              <w:jc w:val="center"/>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276</w:t>
            </w:r>
          </w:p>
        </w:tc>
        <w:tc>
          <w:tcPr>
            <w:tcW w:w="581" w:type="dxa"/>
            <w:gridSpan w:val="2"/>
            <w:tcBorders>
              <w:top w:val="nil"/>
              <w:left w:val="nil"/>
              <w:bottom w:val="single" w:sz="4" w:space="0" w:color="auto"/>
              <w:right w:val="nil"/>
            </w:tcBorders>
            <w:shd w:val="clear" w:color="auto" w:fill="FFFFFF" w:themeFill="background1"/>
            <w:noWrap/>
            <w:vAlign w:val="bottom"/>
          </w:tcPr>
          <w:p w14:paraId="0D92693D" w14:textId="77777777" w:rsidR="00EE3346" w:rsidRPr="00516038" w:rsidRDefault="00EE3346" w:rsidP="00516038">
            <w:pPr>
              <w:tabs>
                <w:tab w:val="clear" w:pos="1615"/>
              </w:tabs>
              <w:spacing w:after="0"/>
              <w:jc w:val="center"/>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23</w:t>
            </w:r>
          </w:p>
        </w:tc>
        <w:tc>
          <w:tcPr>
            <w:tcW w:w="581" w:type="dxa"/>
            <w:gridSpan w:val="2"/>
            <w:tcBorders>
              <w:top w:val="nil"/>
              <w:left w:val="nil"/>
              <w:bottom w:val="single" w:sz="4" w:space="0" w:color="auto"/>
              <w:right w:val="nil"/>
            </w:tcBorders>
            <w:shd w:val="clear" w:color="auto" w:fill="FFFFFF" w:themeFill="background1"/>
            <w:noWrap/>
            <w:vAlign w:val="bottom"/>
          </w:tcPr>
          <w:p w14:paraId="44DBF24C" w14:textId="77777777" w:rsidR="00EE3346" w:rsidRPr="00516038" w:rsidRDefault="00EE3346" w:rsidP="00516038">
            <w:pPr>
              <w:tabs>
                <w:tab w:val="clear" w:pos="1615"/>
              </w:tabs>
              <w:spacing w:after="0"/>
              <w:jc w:val="center"/>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276</w:t>
            </w:r>
          </w:p>
        </w:tc>
        <w:tc>
          <w:tcPr>
            <w:tcW w:w="581" w:type="dxa"/>
            <w:gridSpan w:val="2"/>
            <w:tcBorders>
              <w:left w:val="nil"/>
              <w:bottom w:val="single" w:sz="4" w:space="0" w:color="auto"/>
              <w:right w:val="nil"/>
            </w:tcBorders>
            <w:shd w:val="clear" w:color="auto" w:fill="FFFFFF" w:themeFill="background1"/>
            <w:vAlign w:val="bottom"/>
          </w:tcPr>
          <w:p w14:paraId="44EB1CBC" w14:textId="77777777" w:rsidR="00EE3346" w:rsidRPr="00516038" w:rsidRDefault="00EE3346" w:rsidP="00516038">
            <w:pPr>
              <w:tabs>
                <w:tab w:val="clear" w:pos="1615"/>
              </w:tabs>
              <w:spacing w:after="0"/>
              <w:jc w:val="center"/>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120</w:t>
            </w:r>
          </w:p>
        </w:tc>
        <w:tc>
          <w:tcPr>
            <w:tcW w:w="581" w:type="dxa"/>
            <w:gridSpan w:val="2"/>
            <w:tcBorders>
              <w:top w:val="nil"/>
              <w:left w:val="nil"/>
              <w:bottom w:val="single" w:sz="4" w:space="0" w:color="auto"/>
              <w:right w:val="nil"/>
            </w:tcBorders>
            <w:shd w:val="clear" w:color="auto" w:fill="FFFFFF" w:themeFill="background1"/>
            <w:noWrap/>
            <w:vAlign w:val="bottom"/>
          </w:tcPr>
          <w:p w14:paraId="0ABA2AF2" w14:textId="77777777" w:rsidR="00EE3346" w:rsidRPr="00516038" w:rsidRDefault="00EE3346" w:rsidP="00516038">
            <w:pPr>
              <w:tabs>
                <w:tab w:val="clear" w:pos="1615"/>
              </w:tabs>
              <w:spacing w:after="0"/>
              <w:jc w:val="center"/>
              <w:rPr>
                <w:rFonts w:asciiTheme="majorHAnsi" w:eastAsia="Times New Roman" w:hAnsiTheme="majorHAnsi" w:cstheme="majorHAnsi"/>
                <w:sz w:val="16"/>
                <w:szCs w:val="16"/>
                <w:lang w:eastAsia="pt-BR"/>
              </w:rPr>
            </w:pPr>
            <w:r w:rsidRPr="00516038">
              <w:rPr>
                <w:rFonts w:asciiTheme="majorHAnsi" w:eastAsia="Times New Roman" w:hAnsiTheme="majorHAnsi" w:cstheme="majorHAnsi"/>
                <w:sz w:val="16"/>
                <w:szCs w:val="16"/>
                <w:lang w:eastAsia="pt-BR"/>
              </w:rPr>
              <w:t>300</w:t>
            </w:r>
          </w:p>
        </w:tc>
        <w:tc>
          <w:tcPr>
            <w:tcW w:w="581" w:type="dxa"/>
            <w:gridSpan w:val="2"/>
            <w:tcBorders>
              <w:top w:val="nil"/>
              <w:left w:val="nil"/>
              <w:bottom w:val="single" w:sz="4" w:space="0" w:color="auto"/>
              <w:right w:val="nil"/>
            </w:tcBorders>
            <w:shd w:val="clear" w:color="000000" w:fill="FFFFFF"/>
            <w:noWrap/>
            <w:vAlign w:val="bottom"/>
          </w:tcPr>
          <w:p w14:paraId="230E46CE" w14:textId="77777777" w:rsidR="00EE3346" w:rsidRPr="00516038" w:rsidRDefault="00EE3346" w:rsidP="00516038">
            <w:pPr>
              <w:tabs>
                <w:tab w:val="clear" w:pos="1615"/>
              </w:tabs>
              <w:spacing w:after="0"/>
              <w:jc w:val="center"/>
              <w:rPr>
                <w:rFonts w:asciiTheme="majorHAnsi" w:eastAsia="Times New Roman" w:hAnsiTheme="majorHAnsi" w:cstheme="majorHAnsi"/>
                <w:color w:val="000000"/>
                <w:sz w:val="16"/>
                <w:szCs w:val="16"/>
                <w:lang w:eastAsia="pt-BR"/>
              </w:rPr>
            </w:pPr>
            <w:r w:rsidRPr="00516038">
              <w:rPr>
                <w:rFonts w:asciiTheme="majorHAnsi" w:eastAsia="Times New Roman" w:hAnsiTheme="majorHAnsi" w:cstheme="majorHAnsi"/>
                <w:color w:val="000000"/>
                <w:sz w:val="16"/>
                <w:szCs w:val="16"/>
                <w:lang w:eastAsia="pt-BR"/>
              </w:rPr>
              <w:t>3.720</w:t>
            </w:r>
          </w:p>
        </w:tc>
      </w:tr>
    </w:tbl>
    <w:p w14:paraId="3D367AD2" w14:textId="77777777" w:rsidR="00EE3346" w:rsidRPr="00516038" w:rsidRDefault="00EE3346" w:rsidP="00516038">
      <w:pPr>
        <w:tabs>
          <w:tab w:val="clear" w:pos="1615"/>
        </w:tabs>
        <w:ind w:right="140"/>
        <w:rPr>
          <w:rFonts w:asciiTheme="majorHAnsi" w:hAnsiTheme="majorHAnsi" w:cstheme="majorHAnsi"/>
          <w:sz w:val="16"/>
        </w:rPr>
      </w:pPr>
      <w:r w:rsidRPr="00516038">
        <w:rPr>
          <w:rFonts w:asciiTheme="majorHAnsi" w:hAnsiTheme="majorHAnsi" w:cstheme="majorHAnsi"/>
          <w:sz w:val="16"/>
        </w:rPr>
        <w:t>1.Atividades Complementares realizadas apenas no BC&amp;T com 120h totais; 2.Bacharelado Interdisciplinar; 3.Esp = Curso Específico; 4. Est = Estágio; 5. TG = Trabalho de Graduação; 6.Cd = Créditos; 7.CH = Carga horária em horas; 8. O aluno pode cursar como Opção Limitada e ganhar 4 créditos para isso, mas não é obrigatório. Fonte: Elaborado pelo autor a partir dos dados da UFABC (UFABC, 2017).</w:t>
      </w:r>
    </w:p>
    <w:p w14:paraId="6E128ED9" w14:textId="77777777" w:rsidR="00EE3346" w:rsidRPr="00516038" w:rsidRDefault="00EE3346" w:rsidP="00516038">
      <w:pPr>
        <w:tabs>
          <w:tab w:val="clear" w:pos="1615"/>
        </w:tabs>
        <w:spacing w:line="259" w:lineRule="auto"/>
        <w:rPr>
          <w:rFonts w:asciiTheme="majorHAnsi" w:eastAsia="Times New Roman" w:hAnsiTheme="majorHAnsi" w:cstheme="majorHAnsi"/>
          <w:color w:val="333333"/>
          <w:lang w:eastAsia="pt-BR"/>
        </w:rPr>
      </w:pPr>
      <w:r w:rsidRPr="00516038">
        <w:rPr>
          <w:rFonts w:asciiTheme="majorHAnsi" w:hAnsiTheme="majorHAnsi" w:cstheme="majorHAnsi"/>
          <w:color w:val="333333"/>
        </w:rPr>
        <w:br w:type="page"/>
      </w:r>
    </w:p>
    <w:p w14:paraId="58FEFC63" w14:textId="77777777" w:rsidR="00EE3346" w:rsidRPr="00516038" w:rsidRDefault="00EE3346" w:rsidP="00516038">
      <w:pPr>
        <w:pStyle w:val="NormalWeb"/>
        <w:spacing w:before="0" w:beforeAutospacing="0" w:after="0" w:afterAutospacing="0"/>
        <w:jc w:val="both"/>
        <w:textAlignment w:val="baseline"/>
        <w:rPr>
          <w:rFonts w:asciiTheme="majorHAnsi" w:hAnsiTheme="majorHAnsi" w:cstheme="majorHAnsi"/>
          <w:color w:val="333333"/>
          <w:sz w:val="22"/>
          <w:szCs w:val="22"/>
        </w:rPr>
        <w:sectPr w:rsidR="00EE3346" w:rsidRPr="00516038" w:rsidSect="001864E3">
          <w:pgSz w:w="11906" w:h="16838"/>
          <w:pgMar w:top="1134" w:right="1134" w:bottom="1701" w:left="1134" w:header="708" w:footer="680" w:gutter="0"/>
          <w:cols w:space="708"/>
          <w:docGrid w:linePitch="360"/>
        </w:sectPr>
      </w:pPr>
    </w:p>
    <w:p w14:paraId="49254EFC" w14:textId="77777777" w:rsidR="00EE3346" w:rsidRPr="00516038" w:rsidRDefault="00EE3346" w:rsidP="008A364C">
      <w:pPr>
        <w:pStyle w:val="Legenda"/>
      </w:pPr>
      <w:r w:rsidRPr="00516038">
        <w:t xml:space="preserve">Figura </w:t>
      </w:r>
      <w:r w:rsidRPr="00516038">
        <w:rPr>
          <w:noProof/>
        </w:rPr>
        <w:t xml:space="preserve">4.5 </w:t>
      </w:r>
      <w:r w:rsidRPr="00516038">
        <w:t xml:space="preserve">– Distribuição das disciplinas do Curso de Bacharelado Interdisciplinar e de Ciência da Computação ministrados pela UFABC, mostrando a relação entre as disciplinas dos cursos. </w:t>
      </w:r>
    </w:p>
    <w:p w14:paraId="3753FE67" w14:textId="77777777" w:rsidR="00EE3346" w:rsidRPr="00516038" w:rsidRDefault="00EE3346" w:rsidP="008A364C">
      <w:pPr>
        <w:pStyle w:val="Legenda"/>
      </w:pPr>
      <w:r w:rsidRPr="00516038">
        <w:rPr>
          <w:noProof/>
          <w:lang w:eastAsia="pt-BR"/>
        </w:rPr>
        <w:drawing>
          <wp:inline distT="0" distB="0" distL="0" distR="0" wp14:anchorId="7D005D04" wp14:editId="11FD5060">
            <wp:extent cx="7232073" cy="5395665"/>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243008" cy="5403823"/>
                    </a:xfrm>
                    <a:prstGeom prst="rect">
                      <a:avLst/>
                    </a:prstGeom>
                    <a:noFill/>
                    <a:ln>
                      <a:noFill/>
                    </a:ln>
                  </pic:spPr>
                </pic:pic>
              </a:graphicData>
            </a:graphic>
          </wp:inline>
        </w:drawing>
      </w:r>
    </w:p>
    <w:p w14:paraId="2C537BA1" w14:textId="77777777" w:rsidR="00EE3346" w:rsidRPr="00516038" w:rsidRDefault="00EE3346" w:rsidP="00516038">
      <w:pPr>
        <w:tabs>
          <w:tab w:val="clear" w:pos="1615"/>
        </w:tabs>
        <w:spacing w:after="40"/>
        <w:rPr>
          <w:rFonts w:asciiTheme="majorHAnsi" w:hAnsiTheme="majorHAnsi" w:cstheme="majorHAnsi"/>
          <w:sz w:val="16"/>
        </w:rPr>
      </w:pPr>
      <w:r w:rsidRPr="00516038">
        <w:rPr>
          <w:rFonts w:asciiTheme="majorHAnsi" w:hAnsiTheme="majorHAnsi" w:cstheme="majorHAnsi"/>
          <w:sz w:val="16"/>
        </w:rPr>
        <w:t>Na UFABC um conjunto de disciplinas optativas para o curso chamadas de “Opção Limitada” e outras que são de livre escolha inclusive de outras IES. Fonte: compilação feita pelo autor a partir dos dados presentes na página dos cursos da instituição (https://prograd.ufabc.edu.br/cursos/?source=Portal).</w:t>
      </w:r>
    </w:p>
    <w:p w14:paraId="19BA8A89" w14:textId="77777777" w:rsidR="00EE3346" w:rsidRPr="00516038" w:rsidRDefault="00EE3346" w:rsidP="008A364C">
      <w:pPr>
        <w:pStyle w:val="Legenda"/>
      </w:pPr>
      <w:r w:rsidRPr="00516038">
        <w:t xml:space="preserve">Figura </w:t>
      </w:r>
      <w:r w:rsidRPr="00516038">
        <w:rPr>
          <w:noProof/>
        </w:rPr>
        <w:t xml:space="preserve">4.6 </w:t>
      </w:r>
      <w:r w:rsidRPr="00516038">
        <w:t xml:space="preserve">– Distribuição das disciplinas do Curso de Bacharelado Interdisciplinar e de Ciência da Computação ministrados pela UFABC, mostrando a relação entre as disciplinas dos cursos. </w:t>
      </w:r>
    </w:p>
    <w:p w14:paraId="24616258" w14:textId="77777777" w:rsidR="00EE3346" w:rsidRPr="00516038" w:rsidRDefault="00EE3346" w:rsidP="00516038">
      <w:pPr>
        <w:tabs>
          <w:tab w:val="clear" w:pos="1615"/>
        </w:tabs>
        <w:spacing w:after="0"/>
        <w:rPr>
          <w:rFonts w:asciiTheme="majorHAnsi" w:hAnsiTheme="majorHAnsi" w:cstheme="majorHAnsi"/>
        </w:rPr>
      </w:pPr>
      <w:r w:rsidRPr="00516038">
        <w:rPr>
          <w:rFonts w:asciiTheme="majorHAnsi" w:hAnsiTheme="majorHAnsi" w:cstheme="majorHAnsi"/>
          <w:noProof/>
          <w:lang w:eastAsia="pt-BR"/>
        </w:rPr>
        <w:drawing>
          <wp:inline distT="0" distB="0" distL="0" distR="0" wp14:anchorId="3E013855" wp14:editId="367A7B20">
            <wp:extent cx="8603673" cy="5003643"/>
            <wp:effectExtent l="0" t="0" r="6985"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606827" cy="5005477"/>
                    </a:xfrm>
                    <a:prstGeom prst="rect">
                      <a:avLst/>
                    </a:prstGeom>
                    <a:noFill/>
                    <a:ln>
                      <a:noFill/>
                    </a:ln>
                  </pic:spPr>
                </pic:pic>
              </a:graphicData>
            </a:graphic>
          </wp:inline>
        </w:drawing>
      </w:r>
    </w:p>
    <w:p w14:paraId="470682C4" w14:textId="77777777" w:rsidR="00EE3346" w:rsidRPr="00516038" w:rsidRDefault="00EE3346" w:rsidP="00516038">
      <w:pPr>
        <w:tabs>
          <w:tab w:val="clear" w:pos="1615"/>
        </w:tabs>
        <w:spacing w:after="40"/>
        <w:rPr>
          <w:rFonts w:asciiTheme="majorHAnsi" w:hAnsiTheme="majorHAnsi" w:cstheme="majorHAnsi"/>
          <w:sz w:val="16"/>
        </w:rPr>
      </w:pPr>
      <w:r w:rsidRPr="00516038">
        <w:rPr>
          <w:rFonts w:asciiTheme="majorHAnsi" w:hAnsiTheme="majorHAnsi" w:cstheme="majorHAnsi"/>
          <w:sz w:val="16"/>
        </w:rPr>
        <w:t>Na UFABC um conjunto de disciplinas optativas para o curso chamadas de “Opção Limitada” e outras que são de livre escolha inclusive de outras IES. Fonte: compilação feita pelo autor a partir dos dados presentes na página dos cursos da instituição (https://prograd.ufabc.edu.br/cursos/?source=Portal).</w:t>
      </w:r>
    </w:p>
    <w:p w14:paraId="5FD366E7" w14:textId="77777777" w:rsidR="00EE3346" w:rsidRPr="00516038" w:rsidRDefault="00EE3346" w:rsidP="00516038">
      <w:pPr>
        <w:tabs>
          <w:tab w:val="clear" w:pos="1615"/>
        </w:tabs>
        <w:rPr>
          <w:rFonts w:asciiTheme="majorHAnsi" w:hAnsiTheme="majorHAnsi" w:cstheme="majorHAnsi"/>
        </w:rPr>
        <w:sectPr w:rsidR="00EE3346" w:rsidRPr="00516038" w:rsidSect="00402294">
          <w:pgSz w:w="16838" w:h="11906" w:orient="landscape"/>
          <w:pgMar w:top="1134" w:right="1701" w:bottom="1134" w:left="1134" w:header="709" w:footer="680" w:gutter="0"/>
          <w:cols w:space="708"/>
          <w:docGrid w:linePitch="360"/>
        </w:sectPr>
      </w:pPr>
    </w:p>
    <w:p w14:paraId="4C1F939E" w14:textId="77777777" w:rsidR="00EE3346" w:rsidRPr="00FF66FE" w:rsidRDefault="00EE3346" w:rsidP="00FF66FE">
      <w:pPr>
        <w:pStyle w:val="NormalWeb"/>
        <w:spacing w:before="0" w:beforeAutospacing="0" w:after="160" w:afterAutospacing="0" w:line="360" w:lineRule="auto"/>
        <w:ind w:firstLine="708"/>
        <w:jc w:val="both"/>
        <w:textAlignment w:val="baseline"/>
        <w:rPr>
          <w:rFonts w:asciiTheme="majorHAnsi" w:hAnsiTheme="majorHAnsi" w:cstheme="majorHAnsi"/>
          <w:color w:val="auto"/>
          <w:sz w:val="24"/>
        </w:rPr>
      </w:pPr>
      <w:r w:rsidRPr="00FF66FE">
        <w:rPr>
          <w:rFonts w:asciiTheme="majorHAnsi" w:hAnsiTheme="majorHAnsi" w:cstheme="majorHAnsi"/>
          <w:color w:val="333333"/>
          <w:sz w:val="24"/>
        </w:rPr>
        <w:t xml:space="preserve">Em todos os cursos podem ser desenvolvidas ações visando à melhoria da formação, a partir de projetos de iniciação científica, monitorias, grupo mini-baja, semanas acadêmicas, incentivo à permanência, à aprendizagem de línguas, mobilidade acadêmica etc. No caso das engenharias, pode haver a participação no </w:t>
      </w:r>
      <w:r w:rsidRPr="00FF66FE">
        <w:rPr>
          <w:rFonts w:asciiTheme="majorHAnsi" w:hAnsiTheme="majorHAnsi" w:cstheme="majorHAnsi"/>
          <w:color w:val="auto"/>
          <w:sz w:val="24"/>
        </w:rPr>
        <w:t>IEEE (Institute of Electrical and Electronic Engineers).</w:t>
      </w:r>
    </w:p>
    <w:p w14:paraId="726EFD38" w14:textId="77777777" w:rsidR="00EE3346" w:rsidRPr="00FF66FE" w:rsidRDefault="00EE3346" w:rsidP="00FF66FE">
      <w:pPr>
        <w:pStyle w:val="NormalWeb"/>
        <w:spacing w:before="0" w:beforeAutospacing="0" w:after="160" w:afterAutospacing="0" w:line="360" w:lineRule="auto"/>
        <w:ind w:firstLine="708"/>
        <w:jc w:val="both"/>
        <w:textAlignment w:val="baseline"/>
        <w:rPr>
          <w:rFonts w:asciiTheme="majorHAnsi" w:hAnsiTheme="majorHAnsi" w:cstheme="majorHAnsi"/>
          <w:color w:val="auto"/>
          <w:sz w:val="24"/>
        </w:rPr>
      </w:pPr>
      <w:r w:rsidRPr="00FF66FE">
        <w:rPr>
          <w:rFonts w:asciiTheme="majorHAnsi" w:hAnsiTheme="majorHAnsi" w:cstheme="majorHAnsi"/>
          <w:color w:val="auto"/>
          <w:sz w:val="24"/>
        </w:rPr>
        <w:t>A UFABC oferece suas vagas por meio do Sistema de Seleção Unificada (SiSU), organizado e gerido pelo MEC, com diferentes bonificações baseadas na situação socioeconômica, racial e para egressos de escola pública.</w:t>
      </w:r>
    </w:p>
    <w:p w14:paraId="26F551F8" w14:textId="212E9CED" w:rsidR="00EE3346" w:rsidRPr="00516038" w:rsidRDefault="00FF66FE" w:rsidP="00FF66FE">
      <w:pPr>
        <w:pStyle w:val="Ttulo3"/>
        <w:numPr>
          <w:ilvl w:val="2"/>
          <w:numId w:val="1"/>
        </w:numPr>
        <w:ind w:left="709" w:hanging="709"/>
        <w:rPr>
          <w:rFonts w:asciiTheme="majorHAnsi" w:hAnsiTheme="majorHAnsi" w:cstheme="majorHAnsi"/>
        </w:rPr>
      </w:pPr>
      <w:bookmarkStart w:id="85" w:name="_Toc102135010"/>
      <w:r w:rsidRPr="00516038">
        <w:rPr>
          <w:rFonts w:asciiTheme="majorHAnsi" w:hAnsiTheme="majorHAnsi" w:cstheme="majorHAnsi"/>
        </w:rPr>
        <w:t>INGRESSO COMUM COM DIPLOMAÇÃO DIFERENCIADA</w:t>
      </w:r>
      <w:bookmarkEnd w:id="85"/>
    </w:p>
    <w:p w14:paraId="2C565E0D" w14:textId="16E0E888" w:rsidR="00EE3346" w:rsidRPr="00FF66FE" w:rsidRDefault="00EE3346" w:rsidP="008A364C">
      <w:pPr>
        <w:pStyle w:val="Legenda"/>
      </w:pPr>
      <w:r w:rsidRPr="00FF66FE">
        <w:t>Foi escolhida a Universidade Virtual do Estado de São Paulo, instituição pública estadual e que oferece cursos desenvolvidos a distância para ilustrar essa forma de organização. Em 2021, a IES ofereceu 11.020 vagas em vestibular com sistema de bonificação para diferentes grupos e com duas possibilidades de ingresso, inclusive realizadas a partir de provas diferenciadas: uma para o eixo de licenciaturas (Letras, Matemática e Pedagogia), com 5.510 vagas e outra para o eixo de Computação (Bacharelado em Tecnologia da Informação, Ciências de Dados e Engenharia da Computação), com essa mesma quantidade de vagas (UNIVESP, 2021). A ideia é a de que a formação docente requer um conjunto de competências e de conhecimentos que são comuns, independentemente da sua área de atuação e, após a apropriação do ferramental metodológico da profissão, se inicia a formação específica na área de Matemática ou Letras ou Pedagogia, que são os três cursos atualmente oferecidos na área da licenciatura pela IES.</w:t>
      </w:r>
    </w:p>
    <w:p w14:paraId="0862F317" w14:textId="4D455EE8"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Na área da Computação, a entrada é única e permite a realização de três cursos: os Bacharelados em Tecnologia de Informação (BTI), com três anos, e em Ciência de Dados (BCD), com quatro anos, e a Engenharia de Computação (EC), com cinco anos de prazo mínimo para integralização.</w:t>
      </w:r>
    </w:p>
    <w:p w14:paraId="57146F14" w14:textId="7956B847"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Todos os alunos realizam as mesmas atividades curriculares no primeiro semestre e, em seguida, realizam aquelas voltadas para a licenciatura ou para o bacharelado, conforme sua opção de ingresso. Na computação, há mais um ano totalmente comum e, a partir do 4.</w:t>
      </w:r>
      <w:r w:rsidRPr="00FF66FE">
        <w:rPr>
          <w:rFonts w:asciiTheme="majorHAnsi" w:hAnsiTheme="majorHAnsi" w:cstheme="majorHAnsi"/>
          <w:sz w:val="24"/>
          <w:szCs w:val="24"/>
          <w:vertAlign w:val="superscript"/>
        </w:rPr>
        <w:t>o</w:t>
      </w:r>
      <w:r w:rsidRPr="00FF66FE">
        <w:rPr>
          <w:rFonts w:asciiTheme="majorHAnsi" w:hAnsiTheme="majorHAnsi" w:cstheme="majorHAnsi"/>
          <w:sz w:val="24"/>
          <w:szCs w:val="24"/>
        </w:rPr>
        <w:t xml:space="preserve"> semestre, o aluno faz a opção por uma das três formações oferecidas.</w:t>
      </w:r>
    </w:p>
    <w:p w14:paraId="45F6352C" w14:textId="0EE87F5F"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Ao integralizar todas as atividades curriculares até o 6.</w:t>
      </w:r>
      <w:r w:rsidRPr="00FF66FE">
        <w:rPr>
          <w:rFonts w:asciiTheme="majorHAnsi" w:hAnsiTheme="majorHAnsi" w:cstheme="majorHAnsi"/>
          <w:sz w:val="24"/>
          <w:szCs w:val="24"/>
          <w:vertAlign w:val="superscript"/>
        </w:rPr>
        <w:t>o</w:t>
      </w:r>
      <w:r w:rsidRPr="00FF66FE">
        <w:rPr>
          <w:rFonts w:asciiTheme="majorHAnsi" w:hAnsiTheme="majorHAnsi" w:cstheme="majorHAnsi"/>
          <w:sz w:val="24"/>
          <w:szCs w:val="24"/>
        </w:rPr>
        <w:t xml:space="preserve"> semestre, inclusive os três projetos integradores com 240 horas totais e 200 horas de atividades profissionais, o estudante recebe um diploma de Bacharel em Tecnologia de Informação (BTI), cuja formação é originária da opção realizada a partir do 4.</w:t>
      </w:r>
      <w:r w:rsidRPr="00FF66FE">
        <w:rPr>
          <w:rFonts w:asciiTheme="majorHAnsi" w:hAnsiTheme="majorHAnsi" w:cstheme="majorHAnsi"/>
          <w:sz w:val="24"/>
          <w:szCs w:val="24"/>
          <w:vertAlign w:val="superscript"/>
        </w:rPr>
        <w:t>o</w:t>
      </w:r>
      <w:r w:rsidRPr="00FF66FE">
        <w:rPr>
          <w:rFonts w:asciiTheme="majorHAnsi" w:hAnsiTheme="majorHAnsi" w:cstheme="majorHAnsi"/>
          <w:sz w:val="24"/>
          <w:szCs w:val="24"/>
        </w:rPr>
        <w:t xml:space="preserve"> semestre: BTI com ênfase em desenvolvimento de </w:t>
      </w:r>
      <w:r w:rsidRPr="00FF66FE">
        <w:rPr>
          <w:rFonts w:asciiTheme="majorHAnsi" w:hAnsiTheme="majorHAnsi" w:cstheme="majorHAnsi"/>
          <w:i/>
          <w:iCs/>
          <w:sz w:val="24"/>
          <w:szCs w:val="24"/>
        </w:rPr>
        <w:t>software</w:t>
      </w:r>
      <w:r w:rsidRPr="00FF66FE">
        <w:rPr>
          <w:rFonts w:asciiTheme="majorHAnsi" w:hAnsiTheme="majorHAnsi" w:cstheme="majorHAnsi"/>
          <w:sz w:val="24"/>
          <w:szCs w:val="24"/>
        </w:rPr>
        <w:t>, para os que optaram por esse bacharelado; BTI com ênfase em análise de dados, para os que cursarão o Bacharelado em Ciência de Dados; e BTI com ênfase em internet das coisas, para o que cursarão Engenharia de Computação.</w:t>
      </w:r>
    </w:p>
    <w:p w14:paraId="1162A9D6" w14:textId="086B117E"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O segundo diploma é obtido após a integralização do Bacharelado em Ciência de Dados ou Engenharia de Computação e, nesses dois cursos, além do trabalho de conclusão, são necessárias 400 ou 600 horas de práticas profissionais (atividades práticas de trabalhos voluntários na área, certificações extracurriculares ou estágio curricular, desde que este último tenha pelo menos 100 ou 200 horas, respectivamente).</w:t>
      </w:r>
    </w:p>
    <w:p w14:paraId="111A29D9" w14:textId="0E8AC82C"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A matrícula garante que a atividade do projeto integrador se desenvolva ao longo de todo o semestre enquanto as outras atividades curriculares são divididas em dois blocos bimestrais que diminuem a quantidade e diversidade de temas que o aluno deve desenvolver semanalmente, inclusive no que diz respeito às avaliações.</w:t>
      </w:r>
    </w:p>
    <w:p w14:paraId="33C418AA" w14:textId="7D2DF8B4" w:rsidR="00EE3346" w:rsidRPr="00FF66FE" w:rsidRDefault="00EE3346" w:rsidP="00FF66FE">
      <w:pPr>
        <w:tabs>
          <w:tab w:val="clear" w:pos="1615"/>
        </w:tabs>
        <w:spacing w:line="360" w:lineRule="auto"/>
        <w:ind w:firstLine="709"/>
        <w:jc w:val="both"/>
        <w:rPr>
          <w:rFonts w:asciiTheme="majorHAnsi" w:hAnsiTheme="majorHAnsi" w:cstheme="majorHAnsi"/>
          <w:sz w:val="24"/>
          <w:szCs w:val="24"/>
        </w:rPr>
      </w:pPr>
      <w:r w:rsidRPr="00FF66FE">
        <w:rPr>
          <w:rFonts w:asciiTheme="majorHAnsi" w:hAnsiTheme="majorHAnsi" w:cstheme="majorHAnsi"/>
          <w:sz w:val="24"/>
          <w:szCs w:val="24"/>
        </w:rPr>
        <w:t>A nota para aprovação é cinco (5,0) e os alunos que não a obtém realizam exame previsto para o final de cada semestre e que, somado à média obtida, deve originar nova nota média igual ou superior a cinco (5,0).</w:t>
      </w:r>
    </w:p>
    <w:p w14:paraId="04F2F965" w14:textId="67AAFE7C" w:rsidR="00EE3346" w:rsidRPr="00FF66FE" w:rsidRDefault="00EE3346" w:rsidP="00FF66FE">
      <w:pPr>
        <w:tabs>
          <w:tab w:val="clear" w:pos="1615"/>
        </w:tabs>
        <w:spacing w:line="360" w:lineRule="auto"/>
        <w:ind w:firstLine="709"/>
        <w:jc w:val="both"/>
        <w:rPr>
          <w:rFonts w:asciiTheme="majorHAnsi" w:hAnsiTheme="majorHAnsi" w:cstheme="majorHAnsi"/>
          <w:iCs/>
          <w:sz w:val="24"/>
          <w:szCs w:val="24"/>
        </w:rPr>
        <w:sectPr w:rsidR="00EE3346" w:rsidRPr="00FF66FE" w:rsidSect="001C0816">
          <w:pgSz w:w="11906" w:h="16838"/>
          <w:pgMar w:top="1134" w:right="1134" w:bottom="1701" w:left="1134" w:header="709" w:footer="680" w:gutter="0"/>
          <w:cols w:space="708"/>
          <w:docGrid w:linePitch="360"/>
        </w:sectPr>
      </w:pPr>
      <w:r w:rsidRPr="00FF66FE">
        <w:rPr>
          <w:rFonts w:asciiTheme="majorHAnsi" w:hAnsiTheme="majorHAnsi" w:cstheme="majorHAnsi"/>
          <w:sz w:val="24"/>
          <w:szCs w:val="24"/>
        </w:rPr>
        <w:t xml:space="preserve">As Figuras 4.7 e 4.8 mostram a estrutura dos três cursos da área de computação oferecidos pela Univesp para uma visão mais concreta de como se desenvolvem. Pode-se perceber que além das disciplinas comuns dos três semestres iniciais, há várias outras ao longo das diferentes formações. </w:t>
      </w:r>
    </w:p>
    <w:p w14:paraId="78563DAD" w14:textId="77777777" w:rsidR="00EE3346" w:rsidRPr="00516038" w:rsidRDefault="00EE3346" w:rsidP="008A364C">
      <w:pPr>
        <w:pStyle w:val="Legenda"/>
      </w:pPr>
      <w:r w:rsidRPr="00516038">
        <w:t xml:space="preserve">Figura </w:t>
      </w:r>
      <w:r w:rsidRPr="00516038">
        <w:rPr>
          <w:noProof/>
        </w:rPr>
        <w:t>4.7</w:t>
      </w:r>
      <w:r w:rsidRPr="00516038">
        <w:t xml:space="preserve"> – Distribuição das disciplinas dos cursos da área da computação ministrados pela Universidade Virtual do Estado de São Paulo (UNIVESP) em 2020, mostrando a relação entre as disciplinas dos cursos.</w:t>
      </w:r>
    </w:p>
    <w:p w14:paraId="1F891993" w14:textId="77777777" w:rsidR="00EE3346" w:rsidRPr="00516038" w:rsidRDefault="00EE3346" w:rsidP="00516038">
      <w:pPr>
        <w:tabs>
          <w:tab w:val="clear" w:pos="1615"/>
        </w:tabs>
        <w:rPr>
          <w:rFonts w:asciiTheme="majorHAnsi" w:hAnsiTheme="majorHAnsi" w:cstheme="majorHAnsi"/>
        </w:rPr>
      </w:pPr>
      <w:r w:rsidRPr="00516038">
        <w:rPr>
          <w:rFonts w:asciiTheme="majorHAnsi" w:hAnsiTheme="majorHAnsi" w:cstheme="majorHAnsi"/>
          <w:noProof/>
          <w:lang w:eastAsia="pt-BR"/>
        </w:rPr>
        <w:drawing>
          <wp:inline distT="0" distB="0" distL="0" distR="0" wp14:anchorId="1F35614D" wp14:editId="5DE27C05">
            <wp:extent cx="8915961" cy="3223641"/>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935208" cy="3230600"/>
                    </a:xfrm>
                    <a:prstGeom prst="rect">
                      <a:avLst/>
                    </a:prstGeom>
                    <a:noFill/>
                    <a:ln>
                      <a:noFill/>
                    </a:ln>
                  </pic:spPr>
                </pic:pic>
              </a:graphicData>
            </a:graphic>
          </wp:inline>
        </w:drawing>
      </w:r>
    </w:p>
    <w:p w14:paraId="69A6DC77" w14:textId="77777777" w:rsidR="00EE3346" w:rsidRPr="00516038" w:rsidRDefault="00EE3346" w:rsidP="00516038">
      <w:pPr>
        <w:tabs>
          <w:tab w:val="clear" w:pos="1615"/>
        </w:tabs>
        <w:spacing w:after="0" w:line="259" w:lineRule="auto"/>
        <w:rPr>
          <w:rFonts w:asciiTheme="majorHAnsi" w:hAnsiTheme="majorHAnsi" w:cstheme="majorHAnsi"/>
          <w:sz w:val="16"/>
        </w:rPr>
      </w:pPr>
      <w:r w:rsidRPr="00516038">
        <w:rPr>
          <w:rFonts w:asciiTheme="majorHAnsi" w:hAnsiTheme="majorHAnsi" w:cstheme="majorHAnsi"/>
          <w:sz w:val="16"/>
        </w:rPr>
        <w:t>O projeto integrador tem objetivos e ementas iguais e definidos no Projeto Pedagógico dos cursos, apesar de que cada projeto deve contemplar diferentes temáticas, desde que com respeito ao que se espera e às ementas. BTI: Bacharelado em Tecnologia de Informação; BCD: Bacharelado em Ciência de Dados; EC: Engenharia de Computação.  Fonte: compilação feita pelo autor a partir dos dados presentes na página dos cursos da IES (https://univesp.br/cursos).</w:t>
      </w:r>
    </w:p>
    <w:p w14:paraId="4164A6AF" w14:textId="77777777" w:rsidR="00EE3346" w:rsidRPr="00516038" w:rsidRDefault="00EE3346" w:rsidP="00516038">
      <w:pPr>
        <w:tabs>
          <w:tab w:val="clear" w:pos="1615"/>
        </w:tabs>
        <w:spacing w:after="0" w:line="259" w:lineRule="auto"/>
        <w:rPr>
          <w:rFonts w:asciiTheme="majorHAnsi" w:hAnsiTheme="majorHAnsi" w:cstheme="majorHAnsi"/>
          <w:sz w:val="16"/>
        </w:rPr>
      </w:pPr>
    </w:p>
    <w:p w14:paraId="4D5B5F2A" w14:textId="77777777" w:rsidR="00EE3346" w:rsidRPr="00FF66FE" w:rsidRDefault="00EE3346" w:rsidP="00FF66FE">
      <w:pPr>
        <w:tabs>
          <w:tab w:val="clear" w:pos="1615"/>
        </w:tabs>
        <w:spacing w:after="0" w:line="360" w:lineRule="auto"/>
        <w:ind w:firstLine="708"/>
        <w:rPr>
          <w:rFonts w:asciiTheme="majorHAnsi" w:hAnsiTheme="majorHAnsi" w:cstheme="majorHAnsi"/>
          <w:sz w:val="24"/>
          <w:szCs w:val="24"/>
        </w:rPr>
      </w:pPr>
      <w:r w:rsidRPr="00FF66FE">
        <w:rPr>
          <w:rFonts w:asciiTheme="majorHAnsi" w:hAnsiTheme="majorHAnsi" w:cstheme="majorHAnsi"/>
          <w:sz w:val="24"/>
          <w:szCs w:val="24"/>
        </w:rPr>
        <w:t>Exemplo de Projeto Integrador extraído do PPC dos cursos da área:</w:t>
      </w:r>
    </w:p>
    <w:p w14:paraId="455EB50F" w14:textId="77777777" w:rsidR="00EE3346" w:rsidRPr="00516038" w:rsidRDefault="00EE3346" w:rsidP="00516038">
      <w:pPr>
        <w:tabs>
          <w:tab w:val="clear" w:pos="1615"/>
        </w:tabs>
        <w:spacing w:after="0" w:line="259" w:lineRule="auto"/>
        <w:ind w:firstLine="708"/>
        <w:rPr>
          <w:rFonts w:asciiTheme="majorHAnsi" w:hAnsiTheme="majorHAnsi" w:cstheme="majorHAnsi"/>
        </w:rPr>
      </w:pPr>
    </w:p>
    <w:p w14:paraId="5D54E261" w14:textId="77777777" w:rsidR="00EE3346" w:rsidRPr="00FF66FE" w:rsidRDefault="00EE3346" w:rsidP="00516038">
      <w:pPr>
        <w:pStyle w:val="PargrafodaLista"/>
        <w:numPr>
          <w:ilvl w:val="0"/>
          <w:numId w:val="14"/>
        </w:numPr>
        <w:tabs>
          <w:tab w:val="clear" w:pos="1615"/>
        </w:tabs>
        <w:spacing w:after="0" w:line="259" w:lineRule="auto"/>
        <w:rPr>
          <w:rFonts w:asciiTheme="majorHAnsi" w:hAnsiTheme="majorHAnsi" w:cstheme="majorHAnsi"/>
          <w:sz w:val="24"/>
          <w:szCs w:val="24"/>
        </w:rPr>
      </w:pPr>
      <w:r w:rsidRPr="00FF66FE">
        <w:rPr>
          <w:rFonts w:asciiTheme="majorHAnsi" w:hAnsiTheme="majorHAnsi" w:cstheme="majorHAnsi"/>
          <w:b/>
          <w:sz w:val="24"/>
          <w:szCs w:val="24"/>
        </w:rPr>
        <w:t>Projeto Integrador em Computação III</w:t>
      </w:r>
      <w:r w:rsidRPr="00FF66FE">
        <w:rPr>
          <w:rFonts w:asciiTheme="majorHAnsi" w:hAnsiTheme="majorHAnsi" w:cstheme="majorHAnsi"/>
          <w:sz w:val="24"/>
          <w:szCs w:val="24"/>
        </w:rPr>
        <w:t xml:space="preserve"> </w:t>
      </w:r>
    </w:p>
    <w:p w14:paraId="1C7D8C97" w14:textId="77777777" w:rsidR="00EE3346" w:rsidRPr="00FF66FE" w:rsidRDefault="00EE3346" w:rsidP="00516038">
      <w:pPr>
        <w:tabs>
          <w:tab w:val="clear" w:pos="1615"/>
        </w:tabs>
        <w:spacing w:after="0" w:line="259" w:lineRule="auto"/>
        <w:ind w:firstLine="708"/>
        <w:rPr>
          <w:rFonts w:asciiTheme="majorHAnsi" w:hAnsiTheme="majorHAnsi" w:cstheme="majorHAnsi"/>
          <w:sz w:val="24"/>
          <w:szCs w:val="24"/>
        </w:rPr>
      </w:pPr>
      <w:r w:rsidRPr="00FF66FE">
        <w:rPr>
          <w:rFonts w:asciiTheme="majorHAnsi" w:hAnsiTheme="majorHAnsi" w:cstheme="majorHAnsi"/>
          <w:sz w:val="24"/>
          <w:szCs w:val="24"/>
        </w:rPr>
        <w:t xml:space="preserve">Este projeto envolve todos os alunos de quaisquer trilhas. Nesse momento, os alunos já terão cursado disciplinas específicas e, por isso, existem itens opcionais que devem ser explorados quando alunos dessas trilhas estiverem nos grupos. </w:t>
      </w:r>
    </w:p>
    <w:p w14:paraId="17873F2B" w14:textId="77777777" w:rsidR="00EE3346" w:rsidRPr="00FF66FE" w:rsidRDefault="00EE3346" w:rsidP="00516038">
      <w:pPr>
        <w:pStyle w:val="PargrafodaLista"/>
        <w:numPr>
          <w:ilvl w:val="0"/>
          <w:numId w:val="14"/>
        </w:numPr>
        <w:tabs>
          <w:tab w:val="clear" w:pos="1615"/>
        </w:tabs>
        <w:spacing w:after="0" w:line="259" w:lineRule="auto"/>
        <w:rPr>
          <w:rFonts w:asciiTheme="majorHAnsi" w:hAnsiTheme="majorHAnsi" w:cstheme="majorHAnsi"/>
          <w:sz w:val="24"/>
          <w:szCs w:val="24"/>
        </w:rPr>
      </w:pPr>
      <w:r w:rsidRPr="00FF66FE">
        <w:rPr>
          <w:rFonts w:asciiTheme="majorHAnsi" w:hAnsiTheme="majorHAnsi" w:cstheme="majorHAnsi"/>
          <w:b/>
          <w:sz w:val="24"/>
          <w:szCs w:val="24"/>
        </w:rPr>
        <w:t>Carga Horária:</w:t>
      </w:r>
      <w:r w:rsidRPr="00FF66FE">
        <w:rPr>
          <w:rFonts w:asciiTheme="majorHAnsi" w:hAnsiTheme="majorHAnsi" w:cstheme="majorHAnsi"/>
          <w:sz w:val="24"/>
          <w:szCs w:val="24"/>
        </w:rPr>
        <w:t xml:space="preserve"> 80 horas. </w:t>
      </w:r>
    </w:p>
    <w:p w14:paraId="3A8F24F2" w14:textId="77777777" w:rsidR="00EE3346" w:rsidRPr="00FF66FE" w:rsidRDefault="00EE3346" w:rsidP="00516038">
      <w:pPr>
        <w:pStyle w:val="PargrafodaLista"/>
        <w:numPr>
          <w:ilvl w:val="0"/>
          <w:numId w:val="14"/>
        </w:numPr>
        <w:tabs>
          <w:tab w:val="clear" w:pos="1615"/>
        </w:tabs>
        <w:spacing w:after="0" w:line="259" w:lineRule="auto"/>
        <w:rPr>
          <w:rFonts w:asciiTheme="majorHAnsi" w:hAnsiTheme="majorHAnsi" w:cstheme="majorHAnsi"/>
          <w:sz w:val="24"/>
          <w:szCs w:val="24"/>
        </w:rPr>
      </w:pPr>
      <w:r w:rsidRPr="00FF66FE">
        <w:rPr>
          <w:rFonts w:asciiTheme="majorHAnsi" w:hAnsiTheme="majorHAnsi" w:cstheme="majorHAnsi"/>
          <w:b/>
          <w:sz w:val="24"/>
          <w:szCs w:val="24"/>
        </w:rPr>
        <w:t>Objetivo:</w:t>
      </w:r>
      <w:r w:rsidRPr="00FF66FE">
        <w:rPr>
          <w:rFonts w:asciiTheme="majorHAnsi" w:hAnsiTheme="majorHAnsi" w:cstheme="majorHAnsi"/>
          <w:sz w:val="24"/>
          <w:szCs w:val="24"/>
        </w:rPr>
        <w:t xml:space="preserve"> desenvolver um </w:t>
      </w:r>
      <w:r w:rsidRPr="00FF66FE">
        <w:rPr>
          <w:rFonts w:asciiTheme="majorHAnsi" w:hAnsiTheme="majorHAnsi" w:cstheme="majorHAnsi"/>
          <w:i/>
          <w:iCs/>
          <w:sz w:val="24"/>
          <w:szCs w:val="24"/>
        </w:rPr>
        <w:t>software</w:t>
      </w:r>
      <w:r w:rsidRPr="00FF66FE">
        <w:rPr>
          <w:rFonts w:asciiTheme="majorHAnsi" w:hAnsiTheme="majorHAnsi" w:cstheme="majorHAnsi"/>
          <w:sz w:val="24"/>
          <w:szCs w:val="24"/>
        </w:rPr>
        <w:t xml:space="preserve"> com </w:t>
      </w:r>
      <w:r w:rsidRPr="00FF66FE">
        <w:rPr>
          <w:rFonts w:asciiTheme="majorHAnsi" w:hAnsiTheme="majorHAnsi" w:cstheme="majorHAnsi"/>
          <w:i/>
          <w:iCs/>
          <w:sz w:val="24"/>
          <w:szCs w:val="24"/>
        </w:rPr>
        <w:t>framework web</w:t>
      </w:r>
      <w:r w:rsidRPr="00FF66FE">
        <w:rPr>
          <w:rFonts w:asciiTheme="majorHAnsi" w:hAnsiTheme="majorHAnsi" w:cstheme="majorHAnsi"/>
          <w:sz w:val="24"/>
          <w:szCs w:val="24"/>
        </w:rPr>
        <w:t xml:space="preserve"> ou aplicativo que utilize banco de dados e que inclua </w:t>
      </w:r>
      <w:r w:rsidRPr="00FF66FE">
        <w:rPr>
          <w:rFonts w:asciiTheme="majorHAnsi" w:hAnsiTheme="majorHAnsi" w:cstheme="majorHAnsi"/>
          <w:i/>
          <w:iCs/>
          <w:sz w:val="24"/>
          <w:szCs w:val="24"/>
        </w:rPr>
        <w:t xml:space="preserve">script web </w:t>
      </w:r>
      <w:r w:rsidRPr="00FF66FE">
        <w:rPr>
          <w:rFonts w:asciiTheme="majorHAnsi" w:hAnsiTheme="majorHAnsi" w:cstheme="majorHAnsi"/>
          <w:sz w:val="24"/>
          <w:szCs w:val="24"/>
        </w:rPr>
        <w:t xml:space="preserve">(Javascript), nuvem, acessibilidade, controle de versão, integração contínua e testes. Incluir um destes: uso e fornecimento de API, análises de dados e IoT. </w:t>
      </w:r>
    </w:p>
    <w:p w14:paraId="208926F7" w14:textId="77777777" w:rsidR="00EE3346" w:rsidRPr="00FF66FE" w:rsidRDefault="00EE3346" w:rsidP="00516038">
      <w:pPr>
        <w:pStyle w:val="PargrafodaLista"/>
        <w:numPr>
          <w:ilvl w:val="0"/>
          <w:numId w:val="14"/>
        </w:numPr>
        <w:tabs>
          <w:tab w:val="clear" w:pos="1615"/>
        </w:tabs>
        <w:spacing w:after="0" w:line="259" w:lineRule="auto"/>
        <w:rPr>
          <w:rFonts w:asciiTheme="majorHAnsi" w:hAnsiTheme="majorHAnsi" w:cstheme="majorHAnsi"/>
          <w:sz w:val="24"/>
          <w:szCs w:val="24"/>
        </w:rPr>
      </w:pPr>
      <w:r w:rsidRPr="00FF66FE">
        <w:rPr>
          <w:rFonts w:asciiTheme="majorHAnsi" w:hAnsiTheme="majorHAnsi" w:cstheme="majorHAnsi"/>
          <w:b/>
          <w:sz w:val="24"/>
          <w:szCs w:val="24"/>
        </w:rPr>
        <w:t>Ementa:</w:t>
      </w:r>
      <w:r w:rsidRPr="00FF66FE">
        <w:rPr>
          <w:rFonts w:asciiTheme="majorHAnsi" w:hAnsiTheme="majorHAnsi" w:cstheme="majorHAnsi"/>
          <w:sz w:val="24"/>
          <w:szCs w:val="24"/>
        </w:rPr>
        <w:t xml:space="preserve"> Resolução de problemas. Levantamento de requisitos. Desenvolvimento </w:t>
      </w:r>
      <w:r w:rsidRPr="00FF66FE">
        <w:rPr>
          <w:rFonts w:asciiTheme="majorHAnsi" w:hAnsiTheme="majorHAnsi" w:cstheme="majorHAnsi"/>
          <w:i/>
          <w:iCs/>
          <w:sz w:val="24"/>
          <w:szCs w:val="24"/>
        </w:rPr>
        <w:t>web</w:t>
      </w:r>
      <w:r w:rsidRPr="00FF66FE">
        <w:rPr>
          <w:rFonts w:asciiTheme="majorHAnsi" w:hAnsiTheme="majorHAnsi" w:cstheme="majorHAnsi"/>
          <w:sz w:val="24"/>
          <w:szCs w:val="24"/>
        </w:rPr>
        <w:t xml:space="preserve"> com </w:t>
      </w:r>
      <w:r w:rsidRPr="00FF66FE">
        <w:rPr>
          <w:rFonts w:asciiTheme="majorHAnsi" w:hAnsiTheme="majorHAnsi" w:cstheme="majorHAnsi"/>
          <w:i/>
          <w:iCs/>
          <w:sz w:val="24"/>
          <w:szCs w:val="24"/>
        </w:rPr>
        <w:t>framework</w:t>
      </w:r>
      <w:r w:rsidRPr="00FF66FE">
        <w:rPr>
          <w:rFonts w:asciiTheme="majorHAnsi" w:hAnsiTheme="majorHAnsi" w:cstheme="majorHAnsi"/>
          <w:sz w:val="24"/>
          <w:szCs w:val="24"/>
        </w:rPr>
        <w:t xml:space="preserve">. Desenvolvimento de aplicativo. HTML. CSS. Linguagem de </w:t>
      </w:r>
      <w:r w:rsidRPr="00FF66FE">
        <w:rPr>
          <w:rFonts w:asciiTheme="majorHAnsi" w:hAnsiTheme="majorHAnsi" w:cstheme="majorHAnsi"/>
          <w:i/>
          <w:iCs/>
          <w:sz w:val="24"/>
          <w:szCs w:val="24"/>
        </w:rPr>
        <w:t>script</w:t>
      </w:r>
      <w:r w:rsidRPr="00FF66FE">
        <w:rPr>
          <w:rFonts w:asciiTheme="majorHAnsi" w:hAnsiTheme="majorHAnsi" w:cstheme="majorHAnsi"/>
          <w:sz w:val="24"/>
          <w:szCs w:val="24"/>
        </w:rPr>
        <w:t>. Banco de Dados. Controle de Versão. Nuvem. API. Acessibilidade. Integração Contínua. Testes. Análise de dados. IoT.</w:t>
      </w:r>
    </w:p>
    <w:p w14:paraId="48A89D68" w14:textId="77777777" w:rsidR="00EE3346" w:rsidRPr="00FF66FE" w:rsidRDefault="00EE3346" w:rsidP="008A364C">
      <w:pPr>
        <w:pStyle w:val="Legenda"/>
      </w:pPr>
      <w:r w:rsidRPr="00FF66FE">
        <w:t xml:space="preserve">Figura </w:t>
      </w:r>
      <w:r w:rsidRPr="00FF66FE">
        <w:rPr>
          <w:noProof/>
        </w:rPr>
        <w:t>4.8</w:t>
      </w:r>
      <w:r w:rsidRPr="00FF66FE">
        <w:t xml:space="preserve"> – Distribuição e relaçdas disciplinas dos cursos de Bacharelado em Ciência de Dados e de Engenharia de Computação, que contêm as duas ênfases do Bacharelado em TI como formação intermediária. </w:t>
      </w:r>
    </w:p>
    <w:p w14:paraId="07AB8A28" w14:textId="77777777" w:rsidR="00EE3346" w:rsidRPr="00516038" w:rsidRDefault="00EE3346" w:rsidP="00516038">
      <w:pPr>
        <w:tabs>
          <w:tab w:val="clear" w:pos="1615"/>
        </w:tabs>
        <w:spacing w:after="0" w:line="259" w:lineRule="auto"/>
        <w:jc w:val="center"/>
        <w:rPr>
          <w:rFonts w:asciiTheme="majorHAnsi" w:hAnsiTheme="majorHAnsi" w:cstheme="majorHAnsi"/>
          <w:sz w:val="24"/>
        </w:rPr>
      </w:pPr>
      <w:r w:rsidRPr="00516038">
        <w:rPr>
          <w:rFonts w:asciiTheme="majorHAnsi" w:hAnsiTheme="majorHAnsi" w:cstheme="majorHAnsi"/>
          <w:noProof/>
          <w:lang w:eastAsia="pt-BR"/>
        </w:rPr>
        <w:drawing>
          <wp:inline distT="0" distB="0" distL="0" distR="0" wp14:anchorId="54BCBCBB" wp14:editId="67A147DE">
            <wp:extent cx="8571432" cy="5406919"/>
            <wp:effectExtent l="0" t="0" r="1270" b="381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583480" cy="5414519"/>
                    </a:xfrm>
                    <a:prstGeom prst="rect">
                      <a:avLst/>
                    </a:prstGeom>
                    <a:noFill/>
                    <a:ln>
                      <a:noFill/>
                    </a:ln>
                  </pic:spPr>
                </pic:pic>
              </a:graphicData>
            </a:graphic>
          </wp:inline>
        </w:drawing>
      </w:r>
    </w:p>
    <w:p w14:paraId="5ADFDF2C" w14:textId="77777777" w:rsidR="00EE3346" w:rsidRPr="00516038" w:rsidRDefault="00EE3346" w:rsidP="00516038">
      <w:pPr>
        <w:tabs>
          <w:tab w:val="clear" w:pos="1615"/>
        </w:tabs>
        <w:spacing w:after="0" w:line="259" w:lineRule="auto"/>
        <w:rPr>
          <w:rFonts w:asciiTheme="majorHAnsi" w:hAnsiTheme="majorHAnsi" w:cstheme="majorHAnsi"/>
          <w:sz w:val="16"/>
        </w:rPr>
      </w:pPr>
      <w:r w:rsidRPr="00516038">
        <w:rPr>
          <w:rFonts w:asciiTheme="majorHAnsi" w:hAnsiTheme="majorHAnsi" w:cstheme="majorHAnsi"/>
          <w:sz w:val="16"/>
        </w:rPr>
        <w:t>Estrutura dos cursos que contêm os Bacharelados em TI, que se apresentam como ênfases distintas do BTI feito como curso terminal. BTI: Bacharelado em Tecnologia de Informação; BCD: Bacharelado em Ciência de Dados; EC: Engenharia de Computação. Fonte: compilação feita pelo autor a partir dos dados presentes na página dos cursos da IES (https://univesp.br/cursos).</w:t>
      </w:r>
    </w:p>
    <w:p w14:paraId="59816F21" w14:textId="77777777" w:rsidR="00EE3346" w:rsidRPr="00516038" w:rsidRDefault="00EE3346" w:rsidP="00516038">
      <w:pPr>
        <w:pStyle w:val="Ttulo3"/>
        <w:numPr>
          <w:ilvl w:val="0"/>
          <w:numId w:val="1"/>
        </w:numPr>
        <w:tabs>
          <w:tab w:val="clear" w:pos="1615"/>
        </w:tabs>
        <w:ind w:left="0" w:firstLine="0"/>
        <w:rPr>
          <w:rFonts w:asciiTheme="majorHAnsi" w:hAnsiTheme="majorHAnsi" w:cstheme="majorHAnsi"/>
        </w:rPr>
        <w:sectPr w:rsidR="00EE3346" w:rsidRPr="00516038" w:rsidSect="00D73E4A">
          <w:pgSz w:w="16838" w:h="11906" w:orient="landscape"/>
          <w:pgMar w:top="1134" w:right="1701" w:bottom="1134" w:left="1134" w:header="709" w:footer="680" w:gutter="0"/>
          <w:cols w:space="708"/>
          <w:docGrid w:linePitch="360"/>
        </w:sectPr>
      </w:pPr>
    </w:p>
    <w:p w14:paraId="55911E27" w14:textId="1FE4DA57" w:rsidR="00EE3346" w:rsidRPr="00516038" w:rsidRDefault="00FF66FE" w:rsidP="00FF66FE">
      <w:pPr>
        <w:pStyle w:val="Ttulo3"/>
        <w:numPr>
          <w:ilvl w:val="2"/>
          <w:numId w:val="1"/>
        </w:numPr>
        <w:ind w:left="709" w:hanging="709"/>
        <w:rPr>
          <w:rFonts w:asciiTheme="majorHAnsi" w:hAnsiTheme="majorHAnsi" w:cstheme="majorHAnsi"/>
        </w:rPr>
      </w:pPr>
      <w:bookmarkStart w:id="86" w:name="_Toc102135011"/>
      <w:r w:rsidRPr="00516038">
        <w:rPr>
          <w:rFonts w:asciiTheme="majorHAnsi" w:hAnsiTheme="majorHAnsi" w:cstheme="majorHAnsi"/>
        </w:rPr>
        <w:t>DESENVOLVIMENTO DOS CURSOS A PARTIR DE PROJETOS TEMÁTICOS</w:t>
      </w:r>
      <w:bookmarkEnd w:id="86"/>
    </w:p>
    <w:p w14:paraId="3B3E9DDA" w14:textId="77777777" w:rsidR="00EE3346" w:rsidRPr="00516038" w:rsidRDefault="00EE3346" w:rsidP="00FF66FE">
      <w:pPr>
        <w:pStyle w:val="Ttulo3"/>
        <w:numPr>
          <w:ilvl w:val="3"/>
          <w:numId w:val="1"/>
        </w:numPr>
        <w:tabs>
          <w:tab w:val="clear" w:pos="1615"/>
          <w:tab w:val="left" w:pos="1276"/>
        </w:tabs>
        <w:ind w:left="993" w:hanging="709"/>
        <w:rPr>
          <w:rFonts w:asciiTheme="majorHAnsi" w:hAnsiTheme="majorHAnsi" w:cstheme="majorHAnsi"/>
        </w:rPr>
      </w:pPr>
      <w:r w:rsidRPr="00516038">
        <w:rPr>
          <w:rFonts w:asciiTheme="majorHAnsi" w:hAnsiTheme="majorHAnsi" w:cstheme="majorHAnsi"/>
        </w:rPr>
        <w:t>Dupla diplomação</w:t>
      </w:r>
    </w:p>
    <w:p w14:paraId="6C3A8C4F" w14:textId="25F1C6DF"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 xml:space="preserve">Um </w:t>
      </w:r>
      <w:r w:rsidRPr="008A364C">
        <w:rPr>
          <w:rFonts w:asciiTheme="majorHAnsi" w:hAnsiTheme="majorHAnsi" w:cstheme="majorHAnsi"/>
          <w:i/>
          <w:sz w:val="24"/>
          <w:szCs w:val="24"/>
        </w:rPr>
        <w:t>benchmarking</w:t>
      </w:r>
      <w:r w:rsidRPr="008A364C">
        <w:rPr>
          <w:rFonts w:asciiTheme="majorHAnsi" w:hAnsiTheme="majorHAnsi" w:cstheme="majorHAnsi"/>
          <w:sz w:val="24"/>
          <w:szCs w:val="24"/>
        </w:rPr>
        <w:t xml:space="preserve"> dos estudos anteriores do Cebraspe envolveu o Centro Universitário das Américas – Descomplica, de Foz do Iguaçu (UniAmérica), que prevê o desenvolvimento dos cursos a partir de desafios colocados aos estudantes, os quais desenvolvem planos e projetos para a sua resolução, segundo consta em seu site institucional (UNIAMERICA, 2021).</w:t>
      </w:r>
    </w:p>
    <w:p w14:paraId="1D25A3EB" w14:textId="47671B19"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A oferta da instituição no último vestibular foi de 1.430 vagas e só contemplou dois cursos noturnos na área da computação: o Curso Superior de Tecnologia (CST) em Análise e Desenvolvimento de Sistemas (ADS), com 40 vagas, e o Curso de Engenharia de Software, com 60 vagas para o Campus Boulevard, na cidade de Foz do Iguaçu (UNIAMÉRICA, 2021). Apesar de ingresso diferenciado em termos de vagas, o CST está contido no Curso de Engenharia, de tal modo que os estudantes realizam os dois anos e meio iniciais desenvolvendo atividades que integralizam e diplomam nesse curso. Em seguida, os matriculados no curso de Engenharia continuam seus estudos por mais um ano e meio para a obtenção do respectivo diploma. Não foram encontradas, na página consultada, informações mais detalhadas sobre o desenvolvimento e duração das atividades, especialmente carga horária. Entretanto, há um esboço dos desafios e dos planos e projetos a serem desenvolvidos (Figura 4.9).</w:t>
      </w:r>
    </w:p>
    <w:p w14:paraId="480E3388" w14:textId="59876FDD"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Em cada semestre são colocados quatro desafios que geram os projetos e planos correspondentes. Pelas informações, as aulas são noturnas, de 2.</w:t>
      </w:r>
      <w:r w:rsidRPr="008A364C">
        <w:rPr>
          <w:rFonts w:asciiTheme="majorHAnsi" w:hAnsiTheme="majorHAnsi" w:cstheme="majorHAnsi"/>
          <w:sz w:val="24"/>
          <w:szCs w:val="24"/>
          <w:vertAlign w:val="superscript"/>
        </w:rPr>
        <w:t>a</w:t>
      </w:r>
      <w:r w:rsidRPr="008A364C">
        <w:rPr>
          <w:rFonts w:asciiTheme="majorHAnsi" w:hAnsiTheme="majorHAnsi" w:cstheme="majorHAnsi"/>
          <w:sz w:val="24"/>
          <w:szCs w:val="24"/>
        </w:rPr>
        <w:t xml:space="preserve"> a 6.</w:t>
      </w:r>
      <w:r w:rsidRPr="008A364C">
        <w:rPr>
          <w:rFonts w:asciiTheme="majorHAnsi" w:hAnsiTheme="majorHAnsi" w:cstheme="majorHAnsi"/>
          <w:sz w:val="24"/>
          <w:szCs w:val="24"/>
          <w:vertAlign w:val="superscript"/>
        </w:rPr>
        <w:t>a</w:t>
      </w:r>
      <w:r w:rsidRPr="008A364C">
        <w:rPr>
          <w:rFonts w:asciiTheme="majorHAnsi" w:hAnsiTheme="majorHAnsi" w:cstheme="majorHAnsi"/>
          <w:sz w:val="24"/>
          <w:szCs w:val="24"/>
        </w:rPr>
        <w:t xml:space="preserve"> feira, sendo esse o último dia da semana reservado para a realização de atividades complementares. Também há informações de que os conteúdos teóricos são ministrados a distância e as atividades presenciais são realizadas a partir de discussão desses conteúdos e para o desenvolvimento dos projetos, sempre respeitados os limites estabelecidos pelo MEC.</w:t>
      </w:r>
    </w:p>
    <w:p w14:paraId="63DBB4FB" w14:textId="3BDB4CB3"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Desse modo, apesar de não estar explícita, a carga horária desenvolvida para o Curso de Engenharia de Software, se seguidas as DCN da área de computação, deverá ser de 3.200 horas. O CST em Análise e Desenvolvimento de Sistemas, pelo Catálogo de Cursos Superiores de Tecnologia de 2016 (MEC, 2016), prevê carga mínima de 2.000 horas. Se consideradas as 400 horas de atividades semestrais normalmente previstas, se chega aos cinco semestres para o CST e oito para o de Engenharia.</w:t>
      </w:r>
    </w:p>
    <w:p w14:paraId="7EBAF372" w14:textId="671A3994"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 xml:space="preserve">Entretanto, mais do que discutir prazo de integralização, a ideia ao apresentar os exemplos neste capítulo é a de verificar possibilidades de organizações pedagógicas para o desenvolvimento dos cursos. Assim, diferentemente dos bacharelados interdisciplinares ou mais genéricos discutidos nos dois exemplos anteriores, apesar de, no caso da Univesp, ser denominado Bacharelado em Tecnologia da Informação, no presente exemplo há a diplomação com dois diferentes graus acadêmicos: o de tecnólogo e o de bacharel, cabendo a ressalva de que o curso de engenharia contém o curso de tecnologia na íntegra, o que, em nosso entendimento, fragiliza a sua concepção, já que não são formações complementares como pode-se prever para bacharelados interdisciplinares e, depois, a área específica correspondente para o mesmo tipo de formação. Pelas DCN, há diferentes densidades formativas na base desses cursos, já que o bacharel abrange normalmente uma área mais genérica e, o tecnólogo, mais específico e, por isso, integralizado em tempo menor, conforme discutido no capítulo 1 deste trabalho. A especificidade lhe permite um conteúdo menor de disciplinas técnicas da área básica (CNE, 2002; CNE, 2019). </w:t>
      </w:r>
    </w:p>
    <w:p w14:paraId="651A5CB0" w14:textId="741FD8B3"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Em nosso entendimento, essa concepção leva ao mesmo equívoco dos antigos cursos de bacharelado e licenciatura no estilo 3 + 1, como se o primeiro estivesse contido no segundo, o que também não procede.</w:t>
      </w:r>
    </w:p>
    <w:p w14:paraId="3F62CAF1" w14:textId="77777777" w:rsidR="00EE3346" w:rsidRPr="00516038" w:rsidRDefault="00EE3346" w:rsidP="00516038">
      <w:pPr>
        <w:tabs>
          <w:tab w:val="clear" w:pos="1615"/>
        </w:tabs>
        <w:spacing w:line="259" w:lineRule="auto"/>
        <w:rPr>
          <w:rFonts w:asciiTheme="majorHAnsi" w:hAnsiTheme="majorHAnsi" w:cstheme="majorHAnsi"/>
        </w:rPr>
      </w:pPr>
      <w:r w:rsidRPr="00516038">
        <w:rPr>
          <w:rFonts w:asciiTheme="majorHAnsi" w:hAnsiTheme="majorHAnsi" w:cstheme="majorHAnsi"/>
        </w:rPr>
        <w:br w:type="page"/>
      </w:r>
    </w:p>
    <w:p w14:paraId="4C1054D2" w14:textId="77777777" w:rsidR="00EE3346" w:rsidRPr="00516038" w:rsidRDefault="00EE3346" w:rsidP="00516038">
      <w:pPr>
        <w:tabs>
          <w:tab w:val="clear" w:pos="1615"/>
        </w:tabs>
        <w:jc w:val="both"/>
        <w:rPr>
          <w:rFonts w:asciiTheme="majorHAnsi" w:hAnsiTheme="majorHAnsi" w:cstheme="majorHAnsi"/>
        </w:rPr>
        <w:sectPr w:rsidR="00EE3346" w:rsidRPr="00516038" w:rsidSect="002F5C2D">
          <w:pgSz w:w="11906" w:h="16838"/>
          <w:pgMar w:top="1134" w:right="1134" w:bottom="1701" w:left="1134" w:header="709" w:footer="680" w:gutter="0"/>
          <w:cols w:space="708"/>
          <w:docGrid w:linePitch="360"/>
        </w:sectPr>
      </w:pPr>
    </w:p>
    <w:p w14:paraId="2992CAE4" w14:textId="77777777" w:rsidR="00EE3346" w:rsidRPr="00516038" w:rsidRDefault="00EE3346" w:rsidP="008A364C">
      <w:pPr>
        <w:pStyle w:val="Legenda"/>
      </w:pPr>
      <w:r w:rsidRPr="00516038">
        <w:t xml:space="preserve">Figura 4.11 – Distribuição das atividades curriculares dos cursos da área da Computação ministrados pelo UniAmérica, mostrando a relação entre os mesmos. </w:t>
      </w:r>
    </w:p>
    <w:p w14:paraId="7F7E550E" w14:textId="77777777" w:rsidR="00EE3346" w:rsidRPr="00516038" w:rsidRDefault="00EE3346" w:rsidP="00516038">
      <w:pPr>
        <w:tabs>
          <w:tab w:val="clear" w:pos="1615"/>
        </w:tabs>
        <w:rPr>
          <w:rFonts w:asciiTheme="majorHAnsi" w:hAnsiTheme="majorHAnsi" w:cstheme="majorHAnsi"/>
        </w:rPr>
      </w:pPr>
      <w:r w:rsidRPr="00516038">
        <w:rPr>
          <w:rFonts w:asciiTheme="majorHAnsi" w:hAnsiTheme="majorHAnsi" w:cstheme="majorHAnsi"/>
          <w:noProof/>
          <w:lang w:eastAsia="pt-BR"/>
        </w:rPr>
        <w:drawing>
          <wp:inline distT="0" distB="0" distL="0" distR="0" wp14:anchorId="314F0C1B" wp14:editId="40903655">
            <wp:extent cx="8891905" cy="5199663"/>
            <wp:effectExtent l="0" t="0" r="4445" b="127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891905" cy="5199663"/>
                    </a:xfrm>
                    <a:prstGeom prst="rect">
                      <a:avLst/>
                    </a:prstGeom>
                    <a:noFill/>
                    <a:ln>
                      <a:noFill/>
                    </a:ln>
                  </pic:spPr>
                </pic:pic>
              </a:graphicData>
            </a:graphic>
          </wp:inline>
        </w:drawing>
      </w:r>
    </w:p>
    <w:p w14:paraId="2C91FE30" w14:textId="77777777" w:rsidR="00EE3346" w:rsidRPr="00516038" w:rsidRDefault="00EE3346" w:rsidP="00516038">
      <w:pPr>
        <w:tabs>
          <w:tab w:val="clear" w:pos="1615"/>
        </w:tabs>
        <w:rPr>
          <w:rFonts w:asciiTheme="majorHAnsi" w:hAnsiTheme="majorHAnsi" w:cstheme="majorHAnsi"/>
          <w:sz w:val="16"/>
        </w:rPr>
        <w:sectPr w:rsidR="00EE3346" w:rsidRPr="00516038" w:rsidSect="00F7458A">
          <w:pgSz w:w="16838" w:h="11906" w:orient="landscape"/>
          <w:pgMar w:top="1134" w:right="1701" w:bottom="1134" w:left="1134" w:header="709" w:footer="680" w:gutter="0"/>
          <w:cols w:space="708"/>
          <w:docGrid w:linePitch="360"/>
        </w:sectPr>
      </w:pPr>
      <w:r w:rsidRPr="00516038">
        <w:rPr>
          <w:rFonts w:asciiTheme="majorHAnsi" w:hAnsiTheme="majorHAnsi" w:cstheme="majorHAnsi"/>
          <w:sz w:val="16"/>
        </w:rPr>
        <w:t>Fonte: Elaborado pelo autor a partir dos dados obtidos no site da instituição (https://uniamerica.br/graduacoes.</w:t>
      </w:r>
    </w:p>
    <w:p w14:paraId="77D133E7" w14:textId="07602A22" w:rsidR="00EE3346" w:rsidRPr="00516038" w:rsidRDefault="00EE3346" w:rsidP="008A364C">
      <w:pPr>
        <w:pStyle w:val="Ttulo3"/>
        <w:numPr>
          <w:ilvl w:val="3"/>
          <w:numId w:val="1"/>
        </w:numPr>
        <w:tabs>
          <w:tab w:val="clear" w:pos="1615"/>
          <w:tab w:val="left" w:pos="1276"/>
        </w:tabs>
        <w:ind w:left="993" w:hanging="709"/>
        <w:rPr>
          <w:rFonts w:asciiTheme="majorHAnsi" w:hAnsiTheme="majorHAnsi" w:cstheme="majorHAnsi"/>
        </w:rPr>
      </w:pPr>
      <w:r w:rsidRPr="00516038">
        <w:rPr>
          <w:rFonts w:asciiTheme="majorHAnsi" w:hAnsiTheme="majorHAnsi" w:cstheme="majorHAnsi"/>
        </w:rPr>
        <w:t>Projetos comuns a todos os cursos com escolha posterior de uma formação</w:t>
      </w:r>
    </w:p>
    <w:p w14:paraId="2FC11529" w14:textId="04C9477D"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Outra instituição que baseia o desenvolvimento de seus cursos a partir de projetos iniciará seu funcionamento com cursos de graduação no próximo ano de 2022. O Instituto de Tecnologia e Liderança (INTELI) vai ofertar 240 vagas distribuídas em cada um dos seguintes cursos na área da computação: Engenharia de Computação, Engenharia de Software, Ciência da Computação e Sistemas de Informação. A proposta do INTELI é inovadora e também já contou com exposições nos simpósios promovidos pela UnDF. Ligado ao BTG Pactual, o instituto funcionará em instalações reformadas do IPT, praticamente ao lado da Escola Politécnica e do Campus USP do Butantã.</w:t>
      </w:r>
    </w:p>
    <w:p w14:paraId="1D55A3A2" w14:textId="38C82EA6"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 xml:space="preserve">Os cursos estão estruturados a partir do ensino por competências e da aprendizagem baseada em projetos, proporcionando, como informa o site da instituição, o ensino por meio da experiência prática, aproximação da academia com o mercado e, com isso, a manutenção sempre atualizada do currículo (INTELI, 2021). </w:t>
      </w:r>
    </w:p>
    <w:p w14:paraId="79733A3E" w14:textId="72B25E88"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As informações sobre o ingresso estão disponibilizadas no edital do primeiro processo seletivo e há reserva de metade das vagas para ingressos por meio do ENEM, IB e vagas SAT/ACP, cujos resultados mínimos estabelecidos devem ser preenchidos e, assim, o candidato fica dispensado da prova escrita de Matemática e Lógica da própria instituição, que selecionará a outra metade dos estudantes. Além dessa prova, há duas outras etapas previstas para todos: uma anterior à prova para análise do perfil do candidato e outra após a prova de conteúdo, denominada “eixo projeto” para verificação do comportamento frente a desafios, trabalho em grupo e outras habilidades consideradas necessárias. Há um sistema de bolsas de estudo estruturado, já que se trata de instituição privada, sem fins lucrativos.</w:t>
      </w:r>
    </w:p>
    <w:p w14:paraId="548E45CC" w14:textId="3FE18B81"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No site consultado (INTELI, 2021), é informado que a escolha pelo curso será feita para o segundo ano, tendo em vista que o primeiro ano é comum a todos eles e funcionará em período integral, com 600 horas de atividades/semestre. O segundo ano, também de período integral e com a mesma carga horária, será dedicado ao curso escolhido. A partir do 3.</w:t>
      </w:r>
      <w:r w:rsidRPr="008A364C">
        <w:rPr>
          <w:rFonts w:asciiTheme="majorHAnsi" w:hAnsiTheme="majorHAnsi" w:cstheme="majorHAnsi"/>
          <w:sz w:val="24"/>
          <w:szCs w:val="24"/>
          <w:vertAlign w:val="superscript"/>
        </w:rPr>
        <w:t>o</w:t>
      </w:r>
      <w:r w:rsidRPr="008A364C">
        <w:rPr>
          <w:rFonts w:asciiTheme="majorHAnsi" w:hAnsiTheme="majorHAnsi" w:cstheme="majorHAnsi"/>
          <w:sz w:val="24"/>
          <w:szCs w:val="24"/>
        </w:rPr>
        <w:t xml:space="preserve"> ano, as atividades curriculares serão realizadas em meio período, com 400 horas/semestre, permitindo o estágio (previsto para o 3.</w:t>
      </w:r>
      <w:r w:rsidRPr="008A364C">
        <w:rPr>
          <w:rFonts w:asciiTheme="majorHAnsi" w:hAnsiTheme="majorHAnsi" w:cstheme="majorHAnsi"/>
          <w:sz w:val="24"/>
          <w:szCs w:val="24"/>
          <w:vertAlign w:val="superscript"/>
        </w:rPr>
        <w:t>o</w:t>
      </w:r>
      <w:r w:rsidRPr="008A364C">
        <w:rPr>
          <w:rFonts w:asciiTheme="majorHAnsi" w:hAnsiTheme="majorHAnsi" w:cstheme="majorHAnsi"/>
          <w:sz w:val="24"/>
          <w:szCs w:val="24"/>
        </w:rPr>
        <w:t xml:space="preserve"> ano) e no 4.</w:t>
      </w:r>
      <w:r w:rsidRPr="008A364C">
        <w:rPr>
          <w:rFonts w:asciiTheme="majorHAnsi" w:hAnsiTheme="majorHAnsi" w:cstheme="majorHAnsi"/>
          <w:sz w:val="24"/>
          <w:szCs w:val="24"/>
          <w:vertAlign w:val="superscript"/>
        </w:rPr>
        <w:t>o</w:t>
      </w:r>
      <w:r w:rsidRPr="008A364C" w:rsidDel="00714C5E">
        <w:rPr>
          <w:rFonts w:asciiTheme="majorHAnsi" w:hAnsiTheme="majorHAnsi" w:cstheme="majorHAnsi"/>
          <w:sz w:val="24"/>
          <w:szCs w:val="24"/>
        </w:rPr>
        <w:t xml:space="preserve"> </w:t>
      </w:r>
      <w:r w:rsidRPr="008A364C">
        <w:rPr>
          <w:rFonts w:asciiTheme="majorHAnsi" w:hAnsiTheme="majorHAnsi" w:cstheme="majorHAnsi"/>
          <w:sz w:val="24"/>
          <w:szCs w:val="24"/>
        </w:rPr>
        <w:t>ano estão previstos apenas 200 horas de atividades para possibilitar a dedicação ainda maior para a aceleração da carreira dos estudantes e a sua inserção social e no mundo do trabalho.</w:t>
      </w:r>
    </w:p>
    <w:p w14:paraId="711884E3" w14:textId="4AB1B6B2"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Desse modo, todos os cursos terão 3.600 horas de atividades (no site, aparentemente faltam 100 horas de atividades para Engenharia de Software) e o estágio supervisionado obrigatório deverá ter a carga horária acrescentada a esse total (na engenharia, um mínimo de 240 horas).</w:t>
      </w:r>
    </w:p>
    <w:p w14:paraId="54AEFA3D" w14:textId="1EBA948C"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Nas Figuras 4.10 e 4.11 são apresentadas as estruturas dos quatro cursos que serão iniciados em 2022, aí incluídas as metas a serem atingidas em cada projeto bem como as competências computacionais esperadas após a sua realização.</w:t>
      </w:r>
    </w:p>
    <w:p w14:paraId="57C2E713" w14:textId="76E17614"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 xml:space="preserve">No site da instituição ainda há informações sobre a estruturação dos quatro anos em 16 projetos reais (quatro por ano), propostos “por uma grande empresa, uma </w:t>
      </w:r>
      <w:r w:rsidRPr="008A364C">
        <w:rPr>
          <w:rFonts w:asciiTheme="majorHAnsi" w:hAnsiTheme="majorHAnsi" w:cstheme="majorHAnsi"/>
          <w:i/>
          <w:sz w:val="24"/>
          <w:szCs w:val="24"/>
        </w:rPr>
        <w:t>startup</w:t>
      </w:r>
      <w:r w:rsidRPr="008A364C">
        <w:rPr>
          <w:rFonts w:asciiTheme="majorHAnsi" w:hAnsiTheme="majorHAnsi" w:cstheme="majorHAnsi"/>
          <w:sz w:val="24"/>
          <w:szCs w:val="24"/>
        </w:rPr>
        <w:t>, uma ONG ou um órgão público para que o estudante, em grupo, aprenda a desenvolver soluções colaborativas que integram conhecimentos de computação, negócios e liderança” (INTELI, 2021). É ainda informada a concepção de mentoria para o trabalho docente e, além da substituição das disciplinas por projetos, um ambiente de aprendizagem com espaços mais funcionais em substituição às tradicionais salas de aula.</w:t>
      </w:r>
    </w:p>
    <w:p w14:paraId="6B27B9D6" w14:textId="77777777" w:rsidR="00EE3346" w:rsidRPr="00516038" w:rsidRDefault="00EE3346" w:rsidP="00516038">
      <w:pPr>
        <w:tabs>
          <w:tab w:val="clear" w:pos="1615"/>
        </w:tabs>
        <w:jc w:val="both"/>
        <w:rPr>
          <w:rFonts w:asciiTheme="majorHAnsi" w:hAnsiTheme="majorHAnsi" w:cstheme="majorHAnsi"/>
        </w:rPr>
      </w:pPr>
    </w:p>
    <w:p w14:paraId="6E114332" w14:textId="77777777" w:rsidR="00EE3346" w:rsidRPr="00516038" w:rsidRDefault="00EE3346" w:rsidP="008A364C">
      <w:pPr>
        <w:pStyle w:val="Legenda"/>
      </w:pPr>
    </w:p>
    <w:p w14:paraId="274BCA21" w14:textId="77777777" w:rsidR="00EE3346" w:rsidRPr="00516038" w:rsidRDefault="00EE3346" w:rsidP="008A364C">
      <w:pPr>
        <w:pStyle w:val="Legenda"/>
      </w:pPr>
    </w:p>
    <w:p w14:paraId="21961C4C" w14:textId="77777777" w:rsidR="00EE3346" w:rsidRPr="00516038" w:rsidRDefault="00EE3346" w:rsidP="008A364C">
      <w:pPr>
        <w:pStyle w:val="Legenda"/>
        <w:sectPr w:rsidR="00EE3346" w:rsidRPr="00516038" w:rsidSect="006013CC">
          <w:pgSz w:w="11906" w:h="16838"/>
          <w:pgMar w:top="1134" w:right="1134" w:bottom="1701" w:left="1134" w:header="709" w:footer="680" w:gutter="0"/>
          <w:cols w:space="708"/>
          <w:docGrid w:linePitch="360"/>
        </w:sectPr>
      </w:pPr>
    </w:p>
    <w:p w14:paraId="16C84DF4" w14:textId="77777777" w:rsidR="00EE3346" w:rsidRPr="00516038" w:rsidRDefault="00EE3346" w:rsidP="008A364C">
      <w:pPr>
        <w:pStyle w:val="Legenda"/>
      </w:pPr>
      <w:r w:rsidRPr="00516038">
        <w:t xml:space="preserve">Figura 4.10 – Distribuição das disciplinas dos cursos da área da Computação ministrados pela Faculdade Inteli em 2022, mostrando a relação entre as disciplinas dos cursos. </w:t>
      </w:r>
    </w:p>
    <w:p w14:paraId="1D6341EA" w14:textId="77777777" w:rsidR="00EE3346" w:rsidRPr="00516038" w:rsidRDefault="00EE3346" w:rsidP="00516038">
      <w:pPr>
        <w:tabs>
          <w:tab w:val="clear" w:pos="1615"/>
        </w:tabs>
        <w:spacing w:after="40"/>
        <w:rPr>
          <w:rFonts w:asciiTheme="majorHAnsi" w:hAnsiTheme="majorHAnsi" w:cstheme="majorHAnsi"/>
          <w:sz w:val="16"/>
        </w:rPr>
      </w:pPr>
      <w:r w:rsidRPr="00516038">
        <w:rPr>
          <w:rFonts w:asciiTheme="majorHAnsi" w:hAnsiTheme="majorHAnsi" w:cstheme="majorHAnsi"/>
          <w:noProof/>
          <w:lang w:eastAsia="pt-BR"/>
        </w:rPr>
        <mc:AlternateContent>
          <mc:Choice Requires="wps">
            <w:drawing>
              <wp:anchor distT="0" distB="0" distL="114300" distR="114300" simplePos="0" relativeHeight="251659264" behindDoc="0" locked="0" layoutInCell="1" allowOverlap="1" wp14:anchorId="77814280" wp14:editId="34E130B8">
                <wp:simplePos x="0" y="0"/>
                <wp:positionH relativeFrom="column">
                  <wp:posOffset>5010150</wp:posOffset>
                </wp:positionH>
                <wp:positionV relativeFrom="paragraph">
                  <wp:posOffset>1974215</wp:posOffset>
                </wp:positionV>
                <wp:extent cx="15240" cy="2780665"/>
                <wp:effectExtent l="19050" t="19050" r="22860" b="19685"/>
                <wp:wrapNone/>
                <wp:docPr id="17" name="Conector reto 17"/>
                <wp:cNvGraphicFramePr/>
                <a:graphic xmlns:a="http://schemas.openxmlformats.org/drawingml/2006/main">
                  <a:graphicData uri="http://schemas.microsoft.com/office/word/2010/wordprocessingShape">
                    <wps:wsp>
                      <wps:cNvCnPr/>
                      <wps:spPr>
                        <a:xfrm>
                          <a:off x="0" y="0"/>
                          <a:ext cx="15240" cy="2780665"/>
                        </a:xfrm>
                        <a:prstGeom prst="line">
                          <a:avLst/>
                        </a:prstGeom>
                        <a:ln w="28575">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1C6B2EC" id="Conector reto 17"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394.5pt,155.45pt" to="395.7pt,37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" strokecolor="#0e194a [3215]" strokeweight="2.25pt">
                <v:stroke joinstyle="miter"/>
              </v:line>
            </w:pict>
          </mc:Fallback>
        </mc:AlternateContent>
      </w:r>
      <w:r w:rsidRPr="00516038">
        <w:rPr>
          <w:rFonts w:asciiTheme="majorHAnsi" w:hAnsiTheme="majorHAnsi" w:cstheme="majorHAnsi"/>
          <w:noProof/>
          <w:lang w:eastAsia="pt-BR"/>
        </w:rPr>
        <w:drawing>
          <wp:inline distT="0" distB="0" distL="0" distR="0" wp14:anchorId="3E16E560" wp14:editId="0F6A683F">
            <wp:extent cx="8891905" cy="4754572"/>
            <wp:effectExtent l="0" t="0" r="4445" b="8255"/>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891905" cy="4754572"/>
                    </a:xfrm>
                    <a:prstGeom prst="rect">
                      <a:avLst/>
                    </a:prstGeom>
                    <a:noFill/>
                    <a:ln>
                      <a:noFill/>
                    </a:ln>
                  </pic:spPr>
                </pic:pic>
              </a:graphicData>
            </a:graphic>
          </wp:inline>
        </w:drawing>
      </w:r>
    </w:p>
    <w:p w14:paraId="03E4714C" w14:textId="77777777" w:rsidR="00EE3346" w:rsidRPr="00516038" w:rsidRDefault="00EE3346" w:rsidP="00516038">
      <w:pPr>
        <w:tabs>
          <w:tab w:val="clear" w:pos="1615"/>
        </w:tabs>
        <w:spacing w:after="40"/>
        <w:rPr>
          <w:rFonts w:asciiTheme="majorHAnsi" w:hAnsiTheme="majorHAnsi" w:cstheme="majorHAnsi"/>
          <w:sz w:val="16"/>
        </w:rPr>
      </w:pPr>
      <w:r w:rsidRPr="00516038">
        <w:rPr>
          <w:rFonts w:asciiTheme="majorHAnsi" w:hAnsiTheme="majorHAnsi" w:cstheme="majorHAnsi"/>
          <w:sz w:val="16"/>
        </w:rPr>
        <w:t>Cursos desenvolvidos por Projetos, com 2 semestres comuns às 4 formações abertas. Desenvolvido por competências, a IES não disponibiliza as abordagens não ligadas à computação. Fonte: compilado pelo autor a partir dos dados presentes na página dos cursos da instituição (https://inteli.edu.br/graduaão/).</w:t>
      </w:r>
    </w:p>
    <w:p w14:paraId="6DDB286E" w14:textId="77777777" w:rsidR="00EE3346" w:rsidRPr="00516038" w:rsidRDefault="00EE3346" w:rsidP="00516038">
      <w:pPr>
        <w:tabs>
          <w:tab w:val="clear" w:pos="1615"/>
        </w:tabs>
        <w:rPr>
          <w:rFonts w:asciiTheme="majorHAnsi" w:hAnsiTheme="majorHAnsi" w:cstheme="majorHAnsi"/>
        </w:rPr>
      </w:pPr>
    </w:p>
    <w:p w14:paraId="0BAAEA2B" w14:textId="77777777" w:rsidR="00EE3346" w:rsidRPr="00516038" w:rsidRDefault="00EE3346" w:rsidP="00516038">
      <w:pPr>
        <w:tabs>
          <w:tab w:val="clear" w:pos="1615"/>
        </w:tabs>
        <w:rPr>
          <w:rFonts w:asciiTheme="majorHAnsi" w:hAnsiTheme="majorHAnsi" w:cstheme="majorHAnsi"/>
        </w:rPr>
      </w:pPr>
    </w:p>
    <w:p w14:paraId="36E61DCE" w14:textId="77777777" w:rsidR="00EE3346" w:rsidRPr="00516038" w:rsidRDefault="00EE3346" w:rsidP="008A364C">
      <w:pPr>
        <w:pStyle w:val="Legenda"/>
      </w:pPr>
      <w:r w:rsidRPr="00516038">
        <w:t>Figura 4.11 – Distribuição das disciplinas dos cursos da área da Computação a serem ministrados pelo INTELI em 2022, mostrando a forma de desenvolvimento dos cursos com 600 horas semestrais nos dois primeiros anos, seguindo-se 400 horas/semestre no 3.</w:t>
      </w:r>
      <w:r w:rsidRPr="00516038">
        <w:rPr>
          <w:vertAlign w:val="superscript"/>
        </w:rPr>
        <w:t>o</w:t>
      </w:r>
      <w:r w:rsidRPr="00516038">
        <w:t xml:space="preserve"> ano e 200 horas no quarto ano. </w:t>
      </w:r>
    </w:p>
    <w:p w14:paraId="35124BCB" w14:textId="77777777" w:rsidR="00EE3346" w:rsidRPr="00516038" w:rsidRDefault="00EE3346" w:rsidP="00516038">
      <w:pPr>
        <w:tabs>
          <w:tab w:val="clear" w:pos="1615"/>
        </w:tabs>
        <w:rPr>
          <w:rFonts w:asciiTheme="majorHAnsi" w:hAnsiTheme="majorHAnsi" w:cstheme="majorHAnsi"/>
        </w:rPr>
      </w:pPr>
      <w:r w:rsidRPr="00516038">
        <w:rPr>
          <w:rFonts w:asciiTheme="majorHAnsi" w:hAnsiTheme="majorHAnsi" w:cstheme="majorHAnsi"/>
          <w:noProof/>
          <w:lang w:eastAsia="pt-BR"/>
        </w:rPr>
        <mc:AlternateContent>
          <mc:Choice Requires="wps">
            <w:drawing>
              <wp:anchor distT="0" distB="0" distL="114300" distR="114300" simplePos="0" relativeHeight="251660288" behindDoc="0" locked="0" layoutInCell="1" allowOverlap="1" wp14:anchorId="002E0099" wp14:editId="7FD99A89">
                <wp:simplePos x="0" y="0"/>
                <wp:positionH relativeFrom="column">
                  <wp:posOffset>5055870</wp:posOffset>
                </wp:positionH>
                <wp:positionV relativeFrom="paragraph">
                  <wp:posOffset>1964690</wp:posOffset>
                </wp:positionV>
                <wp:extent cx="15240" cy="2780665"/>
                <wp:effectExtent l="19050" t="19050" r="22860" b="19685"/>
                <wp:wrapNone/>
                <wp:docPr id="19" name="Conector reto 19"/>
                <wp:cNvGraphicFramePr/>
                <a:graphic xmlns:a="http://schemas.openxmlformats.org/drawingml/2006/main">
                  <a:graphicData uri="http://schemas.microsoft.com/office/word/2010/wordprocessingShape">
                    <wps:wsp>
                      <wps:cNvCnPr/>
                      <wps:spPr>
                        <a:xfrm>
                          <a:off x="0" y="0"/>
                          <a:ext cx="15240" cy="2780665"/>
                        </a:xfrm>
                        <a:prstGeom prst="line">
                          <a:avLst/>
                        </a:prstGeom>
                        <a:ln w="28575">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C497453" id="Conector reto 19"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398.1pt,154.7pt" to="399.3pt,37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" strokecolor="#0e194a [3215]" strokeweight="2.25pt">
                <v:stroke joinstyle="miter"/>
              </v:line>
            </w:pict>
          </mc:Fallback>
        </mc:AlternateContent>
      </w:r>
      <w:r w:rsidRPr="00516038">
        <w:rPr>
          <w:rFonts w:asciiTheme="majorHAnsi" w:hAnsiTheme="majorHAnsi" w:cstheme="majorHAnsi"/>
          <w:noProof/>
          <w:lang w:eastAsia="pt-BR"/>
        </w:rPr>
        <w:drawing>
          <wp:inline distT="0" distB="0" distL="0" distR="0" wp14:anchorId="5A0A795F" wp14:editId="5EDF26A0">
            <wp:extent cx="8891905" cy="4754643"/>
            <wp:effectExtent l="0" t="0" r="4445" b="8255"/>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891905" cy="4754643"/>
                    </a:xfrm>
                    <a:prstGeom prst="rect">
                      <a:avLst/>
                    </a:prstGeom>
                    <a:noFill/>
                    <a:ln>
                      <a:noFill/>
                    </a:ln>
                  </pic:spPr>
                </pic:pic>
              </a:graphicData>
            </a:graphic>
          </wp:inline>
        </w:drawing>
      </w:r>
    </w:p>
    <w:p w14:paraId="19F26A10" w14:textId="77777777" w:rsidR="00EE3346" w:rsidRPr="00516038" w:rsidRDefault="00EE3346" w:rsidP="00516038">
      <w:pPr>
        <w:tabs>
          <w:tab w:val="clear" w:pos="1615"/>
        </w:tabs>
        <w:spacing w:after="40"/>
        <w:rPr>
          <w:rFonts w:asciiTheme="majorHAnsi" w:hAnsiTheme="majorHAnsi" w:cstheme="majorHAnsi"/>
          <w:sz w:val="16"/>
        </w:rPr>
      </w:pPr>
      <w:r w:rsidRPr="00516038">
        <w:rPr>
          <w:rFonts w:asciiTheme="majorHAnsi" w:hAnsiTheme="majorHAnsi" w:cstheme="majorHAnsi"/>
          <w:sz w:val="16"/>
        </w:rPr>
        <w:t>Cursos desenvolvidos por Projetos, com dois semestres comuns às quatro formações abertas. Desenvolvido por competências, a IES não disponibiliza as abordagens não ligadas à computação. Fonte: compilado pelo autor a partir dos dados presentes na página dos cursos da instituição (</w:t>
      </w:r>
      <w:hyperlink r:id="rId32" w:history="1">
        <w:r w:rsidRPr="00516038">
          <w:rPr>
            <w:rStyle w:val="Hyperlink"/>
            <w:rFonts w:asciiTheme="majorHAnsi" w:hAnsiTheme="majorHAnsi" w:cstheme="majorHAnsi"/>
            <w:sz w:val="16"/>
          </w:rPr>
          <w:t>https://inteli.edu.br/graduaão/</w:t>
        </w:r>
      </w:hyperlink>
      <w:r w:rsidRPr="00516038">
        <w:rPr>
          <w:rFonts w:asciiTheme="majorHAnsi" w:hAnsiTheme="majorHAnsi" w:cstheme="majorHAnsi"/>
          <w:sz w:val="16"/>
        </w:rPr>
        <w:t>).</w:t>
      </w:r>
    </w:p>
    <w:p w14:paraId="03DBADF3" w14:textId="77777777" w:rsidR="00EE3346" w:rsidRPr="00516038" w:rsidRDefault="00EE3346" w:rsidP="00516038">
      <w:pPr>
        <w:tabs>
          <w:tab w:val="clear" w:pos="1615"/>
        </w:tabs>
        <w:spacing w:line="259" w:lineRule="auto"/>
        <w:rPr>
          <w:rFonts w:asciiTheme="majorHAnsi" w:hAnsiTheme="majorHAnsi" w:cstheme="majorHAnsi"/>
          <w:sz w:val="16"/>
        </w:rPr>
      </w:pPr>
      <w:r w:rsidRPr="00516038">
        <w:rPr>
          <w:rFonts w:asciiTheme="majorHAnsi" w:hAnsiTheme="majorHAnsi" w:cstheme="majorHAnsi"/>
          <w:sz w:val="16"/>
        </w:rPr>
        <w:br w:type="page"/>
      </w:r>
    </w:p>
    <w:p w14:paraId="1DACF75B" w14:textId="77777777" w:rsidR="00EE3346" w:rsidRPr="00516038" w:rsidRDefault="00EE3346" w:rsidP="00516038">
      <w:pPr>
        <w:tabs>
          <w:tab w:val="clear" w:pos="1615"/>
        </w:tabs>
        <w:spacing w:after="40"/>
        <w:rPr>
          <w:rFonts w:asciiTheme="majorHAnsi" w:hAnsiTheme="majorHAnsi" w:cstheme="majorHAnsi"/>
          <w:sz w:val="16"/>
        </w:rPr>
        <w:sectPr w:rsidR="00EE3346" w:rsidRPr="00516038" w:rsidSect="00A27A01">
          <w:pgSz w:w="16838" w:h="11906" w:orient="landscape"/>
          <w:pgMar w:top="1134" w:right="1701" w:bottom="1134" w:left="1134" w:header="709" w:footer="680" w:gutter="0"/>
          <w:cols w:space="708"/>
          <w:docGrid w:linePitch="360"/>
        </w:sectPr>
      </w:pPr>
    </w:p>
    <w:p w14:paraId="0F9A1AC1" w14:textId="7628EEB2" w:rsidR="00EE3346" w:rsidRPr="00516038" w:rsidRDefault="008A364C" w:rsidP="008A364C">
      <w:pPr>
        <w:pStyle w:val="Ttulo2"/>
        <w:numPr>
          <w:ilvl w:val="1"/>
          <w:numId w:val="1"/>
        </w:numPr>
        <w:tabs>
          <w:tab w:val="clear" w:pos="1615"/>
        </w:tabs>
        <w:spacing w:before="0" w:after="0" w:line="360" w:lineRule="auto"/>
        <w:ind w:left="993"/>
        <w:rPr>
          <w:rFonts w:asciiTheme="majorHAnsi" w:hAnsiTheme="majorHAnsi" w:cstheme="majorHAnsi"/>
        </w:rPr>
      </w:pPr>
      <w:bookmarkStart w:id="87" w:name="_Toc102135012"/>
      <w:r w:rsidRPr="00516038">
        <w:rPr>
          <w:rFonts w:asciiTheme="majorHAnsi" w:hAnsiTheme="majorHAnsi" w:cstheme="majorHAnsi"/>
        </w:rPr>
        <w:t>POSSIBILIDADES PARA A UNDF</w:t>
      </w:r>
      <w:bookmarkEnd w:id="87"/>
    </w:p>
    <w:p w14:paraId="26011689" w14:textId="1F48DB1D" w:rsidR="00EE3346" w:rsidRPr="00516038" w:rsidRDefault="008A364C" w:rsidP="008A364C">
      <w:pPr>
        <w:pStyle w:val="Ttulo3"/>
        <w:numPr>
          <w:ilvl w:val="2"/>
          <w:numId w:val="1"/>
        </w:numPr>
        <w:ind w:left="709" w:hanging="709"/>
        <w:rPr>
          <w:rFonts w:asciiTheme="majorHAnsi" w:hAnsiTheme="majorHAnsi" w:cstheme="majorHAnsi"/>
        </w:rPr>
      </w:pPr>
      <w:bookmarkStart w:id="88" w:name="_Toc102135013"/>
      <w:r w:rsidRPr="00516038">
        <w:rPr>
          <w:rFonts w:asciiTheme="majorHAnsi" w:hAnsiTheme="majorHAnsi" w:cstheme="majorHAnsi"/>
        </w:rPr>
        <w:t>UM EXEMPLO BASEADO NAS ORGANIZAÇÕES PEDAGÓGICAS APRESENTADAS</w:t>
      </w:r>
      <w:bookmarkEnd w:id="88"/>
    </w:p>
    <w:p w14:paraId="12CA56FF" w14:textId="427BD873" w:rsidR="00EE3346" w:rsidRPr="008A364C" w:rsidRDefault="00EE3346" w:rsidP="008A364C">
      <w:pPr>
        <w:pStyle w:val="Legenda"/>
      </w:pPr>
      <w:r w:rsidRPr="008A364C">
        <w:t>Um exemplo de estruturação pedagógica possível, com ingresso único para todos os cursos da instituição, tem a estrutura do 1.</w:t>
      </w:r>
      <w:r w:rsidRPr="008A364C">
        <w:rPr>
          <w:vertAlign w:val="superscript"/>
        </w:rPr>
        <w:t>o</w:t>
      </w:r>
      <w:r w:rsidRPr="008A364C">
        <w:t xml:space="preserve"> semestre letivo detalhada na Figura 4.12, que utiliza como medida de tempo, a aula, para facilitar o entendimento, e mostrar que pode ser desenvolvida também no período da noite, mas com quatro aulas de atividades com 50 minutos cada, conforme já detalhado no capítulo I deste trabalho. </w:t>
      </w:r>
    </w:p>
    <w:p w14:paraId="77782437" w14:textId="77777777" w:rsidR="00EE3346" w:rsidRPr="00516038" w:rsidRDefault="00EE3346" w:rsidP="00516038">
      <w:pPr>
        <w:tabs>
          <w:tab w:val="clear" w:pos="1615"/>
        </w:tabs>
        <w:rPr>
          <w:rFonts w:asciiTheme="majorHAnsi" w:hAnsiTheme="majorHAnsi" w:cstheme="majorHAnsi"/>
        </w:rPr>
      </w:pPr>
    </w:p>
    <w:p w14:paraId="571238EE" w14:textId="77777777" w:rsidR="00EE3346" w:rsidRPr="00516038" w:rsidRDefault="00EE3346" w:rsidP="008A364C">
      <w:pPr>
        <w:pStyle w:val="Legenda"/>
      </w:pPr>
      <w:r w:rsidRPr="00516038">
        <w:t xml:space="preserve">Figura </w:t>
      </w:r>
      <w:r w:rsidRPr="00516038">
        <w:rPr>
          <w:noProof/>
        </w:rPr>
        <w:t>4.12</w:t>
      </w:r>
      <w:r w:rsidRPr="00516038">
        <w:t xml:space="preserve"> – Exemplo de organização semestral com atividades mediadas por projeto. Para detalhes, ver descrição no texto. </w:t>
      </w:r>
    </w:p>
    <w:p w14:paraId="711EF27A" w14:textId="77777777" w:rsidR="00EE3346" w:rsidRPr="00516038" w:rsidRDefault="00EE3346" w:rsidP="00516038">
      <w:pPr>
        <w:tabs>
          <w:tab w:val="clear" w:pos="1615"/>
        </w:tabs>
        <w:spacing w:after="0" w:line="259" w:lineRule="auto"/>
        <w:jc w:val="center"/>
        <w:rPr>
          <w:rFonts w:asciiTheme="majorHAnsi" w:hAnsiTheme="majorHAnsi" w:cstheme="majorHAnsi"/>
        </w:rPr>
      </w:pPr>
      <w:r w:rsidRPr="00516038">
        <w:rPr>
          <w:rFonts w:asciiTheme="majorHAnsi" w:hAnsiTheme="majorHAnsi" w:cstheme="majorHAnsi"/>
          <w:noProof/>
          <w:lang w:eastAsia="pt-BR"/>
        </w:rPr>
        <w:drawing>
          <wp:inline distT="0" distB="0" distL="0" distR="0" wp14:anchorId="31D99E4B" wp14:editId="049A78BE">
            <wp:extent cx="4518660" cy="3666303"/>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31752" cy="3676925"/>
                    </a:xfrm>
                    <a:prstGeom prst="rect">
                      <a:avLst/>
                    </a:prstGeom>
                    <a:noFill/>
                    <a:ln>
                      <a:noFill/>
                    </a:ln>
                  </pic:spPr>
                </pic:pic>
              </a:graphicData>
            </a:graphic>
          </wp:inline>
        </w:drawing>
      </w:r>
    </w:p>
    <w:p w14:paraId="4B49215D" w14:textId="77777777" w:rsidR="00EE3346" w:rsidRPr="00516038" w:rsidRDefault="00EE3346" w:rsidP="00516038">
      <w:pPr>
        <w:pStyle w:val="PargrafodaLista"/>
        <w:tabs>
          <w:tab w:val="clear" w:pos="1615"/>
        </w:tabs>
        <w:spacing w:after="0" w:line="259" w:lineRule="auto"/>
        <w:rPr>
          <w:rFonts w:asciiTheme="majorHAnsi" w:hAnsiTheme="majorHAnsi" w:cstheme="majorHAnsi"/>
          <w:sz w:val="16"/>
        </w:rPr>
      </w:pPr>
      <w:r w:rsidRPr="00516038">
        <w:rPr>
          <w:rFonts w:asciiTheme="majorHAnsi" w:hAnsiTheme="majorHAnsi" w:cstheme="majorHAnsi"/>
          <w:sz w:val="16"/>
        </w:rPr>
        <w:t>1.Supõe que o ingresso se dê na Universidade, para qualquer opção de saída que venha a existir. Neste primeiro momento, a sugestão é a de que esse ingresso seja para a área de ciências exatas e tecnologias e depois, as demais áreas e cursos sejam gradativamente adequadas e incorporadas. Fonte: Elaborado pelo autor</w:t>
      </w:r>
    </w:p>
    <w:p w14:paraId="4F91CE1E" w14:textId="77777777" w:rsidR="00EE3346" w:rsidRPr="00516038" w:rsidRDefault="00EE3346" w:rsidP="00516038">
      <w:pPr>
        <w:pStyle w:val="PargrafodaLista"/>
        <w:tabs>
          <w:tab w:val="clear" w:pos="1615"/>
        </w:tabs>
        <w:spacing w:after="0" w:line="259" w:lineRule="auto"/>
        <w:rPr>
          <w:rFonts w:asciiTheme="majorHAnsi" w:hAnsiTheme="majorHAnsi" w:cstheme="majorHAnsi"/>
          <w:sz w:val="16"/>
        </w:rPr>
      </w:pPr>
    </w:p>
    <w:p w14:paraId="279D2CDE" w14:textId="242B7EEF" w:rsidR="00EE3346" w:rsidRPr="008A364C" w:rsidRDefault="00EE3346" w:rsidP="008A364C">
      <w:pPr>
        <w:pStyle w:val="Legenda"/>
        <w:rPr>
          <w:sz w:val="24"/>
          <w:szCs w:val="22"/>
        </w:rPr>
      </w:pPr>
      <w:r w:rsidRPr="008A364C">
        <w:rPr>
          <w:sz w:val="24"/>
          <w:szCs w:val="22"/>
        </w:rPr>
        <w:t xml:space="preserve">Pode-se notar que há três blocos de abordagem ao longo do período: os dois primeiros congregam 20 horas de atividades semanais estruturadas em aulas com 50 minutos cada (24 aulas). Serão sequenciais, de modo que cada um possa ser desenvolvido em nove semanas. O terceiro, com quatro aulas semanas, se refere ao Projeto e será desenvolvido ao longo de todo o semestre, em 18 semanas. </w:t>
      </w:r>
    </w:p>
    <w:p w14:paraId="53CEFD90" w14:textId="33B1516B"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O primeiro módulo, denominado “Comunicação”, está subdividido em três atividades básicas, todas com oito aulas semanais, das quais seis aulas assistidas por docente e duas aulas com atividades autônomas: a primeira abordará a leitura e produção de textos em língua portuguesa, procurando recordar as habilidades formais no uso da língua e a forma para a realização de todas as atividades faladas ou escritas do curso, que serão realizadas majoritariamente em português. Ao longo da mesma será realizada a proficiência em língua inglesa, visando à classificação de todos os estudantes no Quadro Comum Europeu de Referência (QCER) para idiomas (CANI e SANTIAGO, 2018); a segunda, voltada para uma revisão da matemática básica visando a sua utilização nas etapas seguintes dos cursos; finalmente, a terceira voltada para a comunicação digital, a partir do uso das ferramentas computacionais simples, mas imprescindíveis para a realização das atividades mediadas por computador, uso do ambiente virtual de aprendizagem, realização de textos, vídeos, tabelas, gráficos etc.</w:t>
      </w:r>
    </w:p>
    <w:p w14:paraId="46E27100" w14:textId="348D515C"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A partir da 10.</w:t>
      </w:r>
      <w:r w:rsidRPr="008A364C">
        <w:rPr>
          <w:rFonts w:asciiTheme="majorHAnsi" w:hAnsiTheme="majorHAnsi" w:cstheme="majorHAnsi"/>
          <w:sz w:val="24"/>
          <w:szCs w:val="24"/>
          <w:vertAlign w:val="superscript"/>
        </w:rPr>
        <w:t>a</w:t>
      </w:r>
      <w:r w:rsidRPr="008A364C">
        <w:rPr>
          <w:rFonts w:asciiTheme="majorHAnsi" w:hAnsiTheme="majorHAnsi" w:cstheme="majorHAnsi"/>
          <w:sz w:val="24"/>
          <w:szCs w:val="24"/>
        </w:rPr>
        <w:t xml:space="preserve"> semana se inicia um segundo momento, onde são abordadas a organização do estado brasileiro e as relações sociais, com foco na sustentabilidade e na apropriação de uma cultura da paz, da diversidade e da inclusão. A duração do módulo, também de nove semanas com 24 aulas de atividades, está subdividida em três temáticas que podem ou não configurar atividades mais disciplinares, mas que devem trabalhar conjuntamente para que o tema das relações humanas e sociais seja abordado e possibilite o desenvolvimento dos projetos sobre “Produção do Conhecimento e Sociedade”, proposta genérica do primeiro projeto comum a todos os cursos ofertados pela instituição.</w:t>
      </w:r>
    </w:p>
    <w:p w14:paraId="7815F838" w14:textId="77777777"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O projeto proposto deverá ser desenvolvido ao longo de todo o semestre e computa 18 semanas de atividades com quatro aulas em cada uma, num total de 72 aulas de 50 minutos cada, ou 60 horas. Se inicia com a apresentação do método científico e procedimentos para a realização de trabalhos e elaboração de citações, uso das normas da ABNT e que deverá permitir que os grupos formados escolham seus temas, aderentes ao tema geral “Produção do Conhecimento e Sociedade”. Podem ser feitas análises de campo para a escolha de temas que possam se inserir à temática, como, por exemplo, orientação para coleta seletiva de lixo, estrutura do SUS no DF, mobilidade urbana e reflexos ambientais, normas locais para a organização da educação etc. Os temas deverão ser escolhidos no primeiro mês de atividades, aí computados os contatos com setores da sociedade que possam se associar ao seu desenvolvimento ou apresentar problemas que possam ser equacionados pelos graduandos. No segundo mês de atividades deve ser realizado o esboço do projeto para apresentação na 9.</w:t>
      </w:r>
      <w:r w:rsidRPr="008A364C">
        <w:rPr>
          <w:rFonts w:asciiTheme="majorHAnsi" w:hAnsiTheme="majorHAnsi" w:cstheme="majorHAnsi"/>
          <w:sz w:val="24"/>
          <w:szCs w:val="24"/>
          <w:vertAlign w:val="superscript"/>
        </w:rPr>
        <w:t>a</w:t>
      </w:r>
      <w:r w:rsidRPr="008A364C">
        <w:rPr>
          <w:rFonts w:asciiTheme="majorHAnsi" w:hAnsiTheme="majorHAnsi" w:cstheme="majorHAnsi"/>
          <w:sz w:val="24"/>
          <w:szCs w:val="24"/>
        </w:rPr>
        <w:t xml:space="preserve"> semana de aulas, seguindo-se seu desenvolvimento na segunda parte do semestre, com a incorporação das sugestões decorrentes das discussões. Como se tratam de cursos da área da computação, espera-se, ainda, que os projetos guardem alguma relação tecnológica que justifique essa inserção.</w:t>
      </w:r>
    </w:p>
    <w:p w14:paraId="7DE079C5" w14:textId="77777777"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Esse procedimento será repetido semestralmente, sempre com o acompanhamento de mediadores (professores e/ou tutores) para as tarefas e com respeito à possibilidade de acompanhamento efetivo dos projetos no que diz respeito à forma com que deve ser desenvolvido.</w:t>
      </w:r>
    </w:p>
    <w:p w14:paraId="27AC7D78" w14:textId="77777777"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A abordagem da comunicação oral e escrita em língua portuguesa, a comunicação matemática e a digital vão concentrar conhecimentos que poderiam ter sido incorporados anteriormente, ao longo da educação básica e que servirão para a comunicação formal utilizando essas linguagens ao longo do curso. Com isso, algumas diferenças da formação recebida poderão ser detectadas e trabalhadas de forma diferenciada, permitindo que haja a inclusão pedagógica de todos os ingressantes, já que estão previstos mecanismos que beneficiarão a inclusão de estudantes oriundos das classes menos favorecidas socioeconomicamente e que tendem a apresentar um déficit maior de conhecimentos que deveriam ter sido apropriados na educação básica.</w:t>
      </w:r>
    </w:p>
    <w:p w14:paraId="1F5624A9" w14:textId="2C7707F2"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Num primeiro momento de funcionamento da UnDF, com a abertura de cursos na área da engenharia e tecnologia de informação e comunicação, não haverá a necessidade de escolha para a realização do 2.</w:t>
      </w:r>
      <w:r w:rsidRPr="008A364C">
        <w:rPr>
          <w:rFonts w:asciiTheme="majorHAnsi" w:hAnsiTheme="majorHAnsi" w:cstheme="majorHAnsi"/>
          <w:sz w:val="24"/>
          <w:szCs w:val="24"/>
          <w:vertAlign w:val="superscript"/>
        </w:rPr>
        <w:t>o</w:t>
      </w:r>
      <w:r w:rsidRPr="008A364C">
        <w:rPr>
          <w:rFonts w:asciiTheme="majorHAnsi" w:hAnsiTheme="majorHAnsi" w:cstheme="majorHAnsi"/>
          <w:sz w:val="24"/>
          <w:szCs w:val="24"/>
        </w:rPr>
        <w:t xml:space="preserve"> semestre, pois haverá uma única opção de sequência. Entretanto, à medida que forem sendo incorporadas novas áreas (humanidades, saúde, formação de professores, por exemplo), a autorização para matrícula nas atividades curriculares obedecerá à capacidade de oferta por parte da instituição, com garantia de que todos os estudantes terão um conjunto de disciplinas e vagas suficiente para preenchimento de todo o seu horário. Entretanto, para viabilizar a instituição e garantir seu funcionamento e gestão, não será garantida nenhuma disciplina em especial e serão estabelecidos critérios que levarão em conta o desempenho e a integralização de uma determinada formação para o preenchimento das vagas ofertadas.</w:t>
      </w:r>
    </w:p>
    <w:p w14:paraId="46C9267C" w14:textId="6D789A5D"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O modelo proposto como sugestão utilizou exemplos concretos, mas de forma alguma pretendeu se sobrepor aos estudos curriculares em andamento e, portanto, trata-se apenas de exemplo que mostra a exequibilidade dessa organização. Entretanto, cumpre ressaltar a importância de um primeiro momento para uma revisão da comunicação escrita e matemática, em virtude do que já foi argumentado, além de uma abordagem da importância social da formação universitária e da organização do estado brasileiro. Essa abordagem, em nosso entendimento, deveria ser completada no segundo semestre e permitir que houvesse, com o tempo, uma variedade de opções de aprofundamento da área de humanidades, gestão, cultura e meio ambiente para permitir uma formação diferenciada e mais aderente ao que se espera de um cidadão educado e adequado ao convívio do mundo moderno.</w:t>
      </w:r>
    </w:p>
    <w:p w14:paraId="2DD63AA4" w14:textId="1848E80C" w:rsidR="00EE3346" w:rsidRPr="00516038" w:rsidRDefault="00EE3346" w:rsidP="008A364C">
      <w:pPr>
        <w:pStyle w:val="Ttulo3"/>
        <w:numPr>
          <w:ilvl w:val="2"/>
          <w:numId w:val="1"/>
        </w:numPr>
        <w:ind w:left="709" w:hanging="709"/>
        <w:rPr>
          <w:rFonts w:asciiTheme="majorHAnsi" w:hAnsiTheme="majorHAnsi" w:cstheme="majorHAnsi"/>
        </w:rPr>
      </w:pPr>
      <w:bookmarkStart w:id="89" w:name="_Toc102135014"/>
      <w:r w:rsidRPr="00516038">
        <w:rPr>
          <w:rFonts w:asciiTheme="majorHAnsi" w:hAnsiTheme="majorHAnsi" w:cstheme="majorHAnsi"/>
        </w:rPr>
        <w:t>“Balanço numérico” do desenvolvimento</w:t>
      </w:r>
      <w:bookmarkEnd w:id="89"/>
    </w:p>
    <w:p w14:paraId="0E946605" w14:textId="46C6DE9E" w:rsidR="00EE3346" w:rsidRPr="008A364C" w:rsidRDefault="00EE3346" w:rsidP="008A364C">
      <w:pPr>
        <w:tabs>
          <w:tab w:val="clear" w:pos="1615"/>
        </w:tabs>
        <w:spacing w:line="360" w:lineRule="auto"/>
        <w:jc w:val="both"/>
        <w:rPr>
          <w:rFonts w:asciiTheme="majorHAnsi" w:hAnsiTheme="majorHAnsi" w:cstheme="majorHAnsi"/>
          <w:sz w:val="24"/>
          <w:szCs w:val="24"/>
        </w:rPr>
      </w:pPr>
      <w:r w:rsidRPr="008A364C">
        <w:rPr>
          <w:rFonts w:asciiTheme="majorHAnsi" w:hAnsiTheme="majorHAnsi" w:cstheme="majorHAnsi"/>
          <w:sz w:val="24"/>
          <w:szCs w:val="24"/>
        </w:rPr>
        <w:t>A proposta apresentada prevê 20 aulas presenciais por semana, ou seja, momentos em que os alunos estarão na instituição, assistidos por atividades de orientação direta ou indireta, por professores e/ou tutores (melhor o uso do termo mediadores da aprendizagem). Além dessas atividades, outras 8 aulas complementam as atividades, agora com desenvolvimento autônomo por parte do aluno, ou seja, ele tem o domínio sobre o horário em que fará essas atividades, em um único dia — talvez no sábado —, ou distribuídas de forma a não causar prejuízo às atividades profissionais no caso de cursos desenvolvidos no período da noite.</w:t>
      </w:r>
    </w:p>
    <w:p w14:paraId="6E1A8962" w14:textId="56571E8D" w:rsidR="00EE3346" w:rsidRPr="008A364C" w:rsidRDefault="00EE3346" w:rsidP="008A364C">
      <w:pPr>
        <w:tabs>
          <w:tab w:val="clear" w:pos="1615"/>
        </w:tabs>
        <w:spacing w:line="360" w:lineRule="auto"/>
        <w:jc w:val="both"/>
        <w:rPr>
          <w:rFonts w:asciiTheme="majorHAnsi" w:hAnsiTheme="majorHAnsi" w:cstheme="majorHAnsi"/>
          <w:sz w:val="24"/>
          <w:szCs w:val="24"/>
        </w:rPr>
      </w:pPr>
      <w:r w:rsidRPr="008A364C">
        <w:rPr>
          <w:rFonts w:asciiTheme="majorHAnsi" w:hAnsiTheme="majorHAnsi" w:cstheme="majorHAnsi"/>
          <w:sz w:val="24"/>
          <w:szCs w:val="24"/>
        </w:rPr>
        <w:t>Além disso, o exemplo citado não necessita ser subdivido no estudo simultâneo das atividades de comunicação escrita, matemática e computacional, podendo haver uma forma que as integre de maneira a serem fornecidas como uma única atividade.</w:t>
      </w:r>
    </w:p>
    <w:p w14:paraId="0B155DF4" w14:textId="673BE82E" w:rsidR="00EE3346" w:rsidRPr="008A364C" w:rsidRDefault="00EE3346" w:rsidP="008A364C">
      <w:pPr>
        <w:tabs>
          <w:tab w:val="clear" w:pos="1615"/>
        </w:tabs>
        <w:spacing w:line="360" w:lineRule="auto"/>
        <w:jc w:val="both"/>
        <w:rPr>
          <w:rFonts w:asciiTheme="majorHAnsi" w:hAnsiTheme="majorHAnsi" w:cstheme="majorHAnsi"/>
          <w:sz w:val="24"/>
          <w:szCs w:val="24"/>
        </w:rPr>
      </w:pPr>
      <w:r w:rsidRPr="008A364C">
        <w:rPr>
          <w:rFonts w:asciiTheme="majorHAnsi" w:hAnsiTheme="majorHAnsi" w:cstheme="majorHAnsi"/>
          <w:sz w:val="24"/>
          <w:szCs w:val="24"/>
        </w:rPr>
        <w:t>O percentual dessas atividades (oito aulas em 28), que podem ser classificadas como EaD (oito aulas em 28) origina 28,6% e, portanto, abaixo do percentual estabelecido para que o curso continue sendo classificado como presencial, não requerendo, portanto, nenhuma ação da instituição para credenciamento futuro junto ao Ministério da Educação. Essa quantidade, mantendo-se as 20 aulas presenciais, pode ser aumentada para até 33 aulas totais sem alterar essa situação.</w:t>
      </w:r>
    </w:p>
    <w:p w14:paraId="4DC21C1A" w14:textId="00470834" w:rsidR="00EE3346" w:rsidRPr="008A364C" w:rsidRDefault="00EE3346" w:rsidP="008A364C">
      <w:pPr>
        <w:tabs>
          <w:tab w:val="clear" w:pos="1615"/>
        </w:tabs>
        <w:spacing w:line="360" w:lineRule="auto"/>
        <w:jc w:val="both"/>
        <w:rPr>
          <w:rFonts w:asciiTheme="majorHAnsi" w:hAnsiTheme="majorHAnsi" w:cstheme="majorHAnsi"/>
          <w:sz w:val="24"/>
          <w:szCs w:val="24"/>
        </w:rPr>
      </w:pPr>
      <w:r w:rsidRPr="008A364C">
        <w:rPr>
          <w:rFonts w:asciiTheme="majorHAnsi" w:hAnsiTheme="majorHAnsi" w:cstheme="majorHAnsi"/>
          <w:sz w:val="24"/>
          <w:szCs w:val="24"/>
        </w:rPr>
        <w:t xml:space="preserve">Como a previsão para contemplar 100 dias letivos é a do uso de 18 semanas de atividades, cada semestre nas condições propostas terá 504 aulas de atividades, ou 420 horas, originando 840 horas/ano. </w:t>
      </w:r>
    </w:p>
    <w:p w14:paraId="2ABCEFB5" w14:textId="40125E0D" w:rsidR="00EE3346" w:rsidRPr="008A364C" w:rsidRDefault="00EE3346" w:rsidP="008A364C">
      <w:pPr>
        <w:tabs>
          <w:tab w:val="clear" w:pos="1615"/>
        </w:tabs>
        <w:spacing w:line="360" w:lineRule="auto"/>
        <w:jc w:val="both"/>
        <w:rPr>
          <w:rFonts w:asciiTheme="majorHAnsi" w:hAnsiTheme="majorHAnsi" w:cstheme="majorHAnsi"/>
          <w:sz w:val="24"/>
          <w:szCs w:val="24"/>
        </w:rPr>
      </w:pPr>
      <w:r w:rsidRPr="008A364C">
        <w:rPr>
          <w:rFonts w:asciiTheme="majorHAnsi" w:hAnsiTheme="majorHAnsi" w:cstheme="majorHAnsi"/>
          <w:sz w:val="24"/>
          <w:szCs w:val="24"/>
        </w:rPr>
        <w:t>Nas condições propostas, os cursos de Engenharia de Computação ou de Software, para atendimento das DCN tanto das engenharias (mínimo de 3.600 horas, CNE, 2019), quanto da Computação (mínimo de 3.200 horas, CNE, 2016), deveriam ter a duração de 3.600 horas e o recomendado para este caso pelo Parecer CNE n. 2/2007 (CNE, 2007) é de cinco anos, o que seria facilmente realizado, inclusive considerando tempo extra para estágio supervisionado. Para Ciência da Computação (3.200 horas, CNE, 2016) e, por analogia, também para o Bacharelado em Sistemas de Informação, o tempo mínimo poderia ser de quatro anos, o que viabiliza todos os cursos, sejam eles ofertados nos períodos diurno e noturno, ou apenas em um deles.</w:t>
      </w:r>
    </w:p>
    <w:p w14:paraId="2D44B990" w14:textId="1BAEE42E" w:rsidR="00EE3346" w:rsidRPr="008A364C" w:rsidRDefault="00EE3346" w:rsidP="008A364C">
      <w:pPr>
        <w:tabs>
          <w:tab w:val="clear" w:pos="1615"/>
        </w:tabs>
        <w:spacing w:line="360" w:lineRule="auto"/>
        <w:jc w:val="both"/>
        <w:rPr>
          <w:rFonts w:asciiTheme="majorHAnsi" w:hAnsiTheme="majorHAnsi" w:cstheme="majorHAnsi"/>
          <w:sz w:val="24"/>
          <w:szCs w:val="24"/>
        </w:rPr>
      </w:pPr>
      <w:r w:rsidRPr="008A364C">
        <w:rPr>
          <w:rFonts w:asciiTheme="majorHAnsi" w:hAnsiTheme="majorHAnsi" w:cstheme="majorHAnsi"/>
          <w:sz w:val="24"/>
          <w:szCs w:val="24"/>
        </w:rPr>
        <w:t>Essa “contabilidade” foi feita para mostrar a exequibilidade dos tempos previstos, mas não inclui o tempo que será utilizado para a realização de estudos individuais ou em grupo, como é praxe nas organizações curriculares do país. Entretanto, essas atividades poderiam ser computadas, já que elas acabam efetivamente ocorrendo e fazem parte integrante do processo de aprendizagem dos estudantes.</w:t>
      </w:r>
    </w:p>
    <w:p w14:paraId="408F95BD" w14:textId="77777777" w:rsidR="00EE3346" w:rsidRPr="00516038" w:rsidRDefault="00EE3346" w:rsidP="008A364C">
      <w:pPr>
        <w:pStyle w:val="Ttulo3"/>
        <w:numPr>
          <w:ilvl w:val="2"/>
          <w:numId w:val="1"/>
        </w:numPr>
        <w:ind w:left="709" w:hanging="709"/>
        <w:rPr>
          <w:rFonts w:asciiTheme="majorHAnsi" w:hAnsiTheme="majorHAnsi" w:cstheme="majorHAnsi"/>
        </w:rPr>
      </w:pPr>
      <w:bookmarkStart w:id="90" w:name="_Toc102135015"/>
      <w:r w:rsidRPr="00516038">
        <w:rPr>
          <w:rFonts w:asciiTheme="majorHAnsi" w:hAnsiTheme="majorHAnsi" w:cstheme="majorHAnsi"/>
        </w:rPr>
        <w:t>Externalização da Universidade</w:t>
      </w:r>
      <w:bookmarkEnd w:id="90"/>
    </w:p>
    <w:p w14:paraId="5F7057FD" w14:textId="1F747734"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No momento, há dois temas que têm tido presença obrigatória na pauta das discussões referentes à qualidade das Universidades: extensão e internacionalização. Essas duas temáticas têm sido parte integrante dos planos de desenvolvimento institucional das universidades (ou Planejamentos estratégicos como ocorre, por exemplo, com a Unicamp e a UEMA) para os próximos anos.</w:t>
      </w:r>
    </w:p>
    <w:p w14:paraId="73EC6710" w14:textId="520DCC19"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Com relação à extensão, conforme já vem sendo abordado nos outros documentos preparados pelo Cebraspe para a UnDF, ela é um princípio constitucional para a caracterização de universidades (Art. 207, BRASIL, 1988) e deve, portanto, integrar as ações consideradas como “finalidade” e não como “meio” das ações institucionais. Com isso, o extensionismo assistencialista, apesar de poder existir, não deve ser a forma com que a universidade se relaciona com a sociedade, já que as ações de pesquisa e de extensão devem fazer parte integrante das atividades de ensino, de modo a cumprir o papel social que tem a universidade e expresso no citado preceito constitucional. O uso da ABP facilita esse maior envolvimento do ensino com a pesquisa e com a extensão, como abordado no capítulo anterior. Em outras palavras, a produção de conhecimento, aí incluído aquele que reflete e que tem significado social, deve estar presente no projeto pedagógico institucional e de cada curso de graduação ofertado e a universidade tem que diminuir sua organização voltada para si mesma, o que configura uma internalização absolutamente fora de qualquer contexto.</w:t>
      </w:r>
    </w:p>
    <w:p w14:paraId="4F3ACF11" w14:textId="765BBC7C"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 xml:space="preserve">No caso da internacionalização, não basta apenas garantir convênios interinstitucionais com universidades de fora do país mantendo um currículo engessado que acaba impedindo o aproveitamento dos estudos realizados. Isso também ocorre em grande parte das IES brasileiras, com relação a estudos realizados em outras instituições, ainda que credenciadas e com cursos reconhecidos na forma da Lei, reforçando o que foi chamado acima de “internalização da universidade”. Assim, para a graduação garantir uma efetiva participação na pesquisa e na extensão, além de se voltar para a internacionalização, deve primeiramente garantir um movimento de externalização dessas atividades. </w:t>
      </w:r>
    </w:p>
    <w:p w14:paraId="1E269B91" w14:textId="385AE658"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Um sistema de créditos que leve em conta as características apresentadas deve, dentre outras situações de desenvolvimento curricular garantir: a) o aproveitamento de atividades profissionais comprovadas, ainda que por meio de checagem realizada por exames elaborados. Por exemplo, um profissional com curso técnico na área de informática, ou da construção civil, ser obrigado a cursar uma atividade introdutória ao letramento digital ou ao desenho técnico, respectivamente. b) a proficiência de atividades de estudo que possam originar conhecimento adquirido fora das disciplinas de ensino superior. Por exemplo, uma pessoa que tem proficiência em inglês ou que foi alfabetizada em país de língua inglesa ser obrigada a cursar uma atividade que aborde esses conhecimentos; c) a equivalência de estudos em cursos superiores de outras instituições, desde que com carga horária e conteúdos compatíveis.</w:t>
      </w:r>
    </w:p>
    <w:p w14:paraId="4A2ABBBA" w14:textId="12439D35"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Essas três ações permitiriam que houvesse maior flexibilidade para que o estudante pudesse realizar atividades curriculares de seu interesse em outras instituições, nacionais inclusive, tendo como computar esses estudos para a integralização de seu curso. Outro ponto importante é garantir que o currículo preveja um percentual significativo de atividades livres para que os estudantes possam ter uma formação diferenciada e voltada para seus interesses. Em casos de intercâmbio ou de permanência total em outra instituição, um programa de atividades previamente discutido poderia também contribuir para que houvesse essa possibilidade de aproveitamento futuro.</w:t>
      </w:r>
    </w:p>
    <w:p w14:paraId="6470B54C" w14:textId="46F2A88F"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 xml:space="preserve">Assim, as relações interinstitucionais que levem a uma externalização da universidade, seja em nível nacional, seja em nível internacional, devem ser parte integrante do Projeto Pedagógico Institucional (PPI) e, também, de forma mais detalhada e específica de cada Projeto Pedagógico de Curso (PPC), orientando as ações que trabalhem a apropriação de conhecimento significativo e que preparem o egresso para o mundo externo à Universidade, seja ele na sociedade de seu entorno, do país ou do exterior. Essa formação cosmopolita obviamente vai ao encontro da proposta apresentada de uma estruturação por projetos, já que ela inclui, de forma indistinta, a aprendizagem e a mobilização de conhecimentos acadêmicos, científicos e sociais, a partir do desenvolvimento de projetos escolhidos dentro de uma temática cuidadosamente selecionada (produção de conhecimento novo), a partir da pesquisa, com aplicabilidade imediata ou não (extensão), com aplicações no empreendedorismo ou na composição da reserva cultural da humanidade, que possibilitam a mobilização para novos conhecimentos e aplicações e que criam um círculo sociocultural virtuoso. </w:t>
      </w:r>
    </w:p>
    <w:p w14:paraId="52E7FF92" w14:textId="66395987"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Finalmente, a despeito de ser cada vez mais comum e frequente a defesa da internacionalização “em casa”, realizada a partir do cumprimento de atividades à distância em créditos de instituições de fora do país, no caso brasileiro, há a limitação idiomática, que restringe a procura de instituições que têm como idioma oficial a língua portuguesa. Desse modo, mais do que apenas ações que possibilitem a internacionalização, é necessário um programa que amplie as perspectivas de comunicação dos estudantes, o que é agravado nas IES que apresentam mecanismos de inclusão baseada em critérios socioeconômicos, já que a proficiência em idiomas estrangeiros tem relação diretamente proporcional à classe social a que pertence o indivíduo e, normalmente, não passa pela escolarização básica formal.</w:t>
      </w:r>
    </w:p>
    <w:p w14:paraId="29447183" w14:textId="77777777" w:rsidR="00EE3346" w:rsidRPr="00516038" w:rsidRDefault="00EE3346" w:rsidP="008A364C">
      <w:pPr>
        <w:pStyle w:val="Ttulo3"/>
        <w:numPr>
          <w:ilvl w:val="2"/>
          <w:numId w:val="1"/>
        </w:numPr>
        <w:ind w:left="709" w:hanging="709"/>
        <w:rPr>
          <w:rFonts w:asciiTheme="majorHAnsi" w:hAnsiTheme="majorHAnsi" w:cstheme="majorHAnsi"/>
        </w:rPr>
      </w:pPr>
      <w:bookmarkStart w:id="91" w:name="_Toc102135016"/>
      <w:r w:rsidRPr="00516038">
        <w:rPr>
          <w:rFonts w:asciiTheme="majorHAnsi" w:hAnsiTheme="majorHAnsi" w:cstheme="majorHAnsi"/>
        </w:rPr>
        <w:t>Incentivo ao conhecimento de outros idiomas</w:t>
      </w:r>
      <w:bookmarkEnd w:id="91"/>
    </w:p>
    <w:p w14:paraId="41C37087" w14:textId="412C793E"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 xml:space="preserve">Não se pode esquecer que as possibilidades de sucesso em programas de internacionalização ou mesmo as possibilidades de obtenção de posições mais qualificadas no mundo do trabalho estão cada vez mais associadas ao domínio de pelo menos um segundo idioma e, no caso da área de TI, essa necessidade se expressa com maior veemência, dado que a maior parte dos </w:t>
      </w:r>
      <w:r w:rsidRPr="008A364C">
        <w:rPr>
          <w:rFonts w:asciiTheme="majorHAnsi" w:hAnsiTheme="majorHAnsi" w:cstheme="majorHAnsi"/>
          <w:i/>
          <w:iCs/>
          <w:sz w:val="24"/>
          <w:szCs w:val="24"/>
        </w:rPr>
        <w:t>softwares</w:t>
      </w:r>
      <w:r w:rsidRPr="008A364C">
        <w:rPr>
          <w:rFonts w:asciiTheme="majorHAnsi" w:hAnsiTheme="majorHAnsi" w:cstheme="majorHAnsi"/>
          <w:sz w:val="24"/>
          <w:szCs w:val="24"/>
        </w:rPr>
        <w:t>, dos manuais e até das certificações utilizam o inglês, considerado hoje um “idioma universal” para a área, o que também ocorre com outras, como comércio internacional, turismo e trabalhos científicos em geral.</w:t>
      </w:r>
    </w:p>
    <w:p w14:paraId="01C0BEE4" w14:textId="62341A43"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Assim, mais do que apenas uma preocupação para alargar os limites da internacionalização, o uso do inglês para os cursos de TI é essencial para a inserção no mercado de trabalho, na interação com outros pesquisadores da área, e até mesmo para empreendimentos individuais e para a criação de empresas do setor (ESTEVES, 2015).</w:t>
      </w:r>
    </w:p>
    <w:p w14:paraId="5A67EE1E" w14:textId="03E054E9"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Desse modo, mais do que exigir o inglês fluente para ingresso na instituição, o que teria um efeito inversamente proporcional à inclusão de estudantes com situação socioeconômica mais baixa, deve-se estabelecer um padrão mínimo de conhecimento para a conclusão dos cursos.</w:t>
      </w:r>
    </w:p>
    <w:p w14:paraId="6026E511" w14:textId="2DAC1A83" w:rsidR="00EE3346"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A proposta aqui é a de utilizar o Quadro Comum Europeu de Referência (ALVES, 2001) e propor que haja um nível mínimo que deverá ser atingido por todos os alunos para poderem fazer jus à diplomação. O quadro, está colocado na tabela 4.2.</w:t>
      </w:r>
    </w:p>
    <w:p w14:paraId="3E81E15E" w14:textId="77777777" w:rsidR="008A364C" w:rsidRPr="008A364C" w:rsidRDefault="008A364C" w:rsidP="008A364C">
      <w:pPr>
        <w:tabs>
          <w:tab w:val="clear" w:pos="1615"/>
        </w:tabs>
        <w:spacing w:line="360" w:lineRule="auto"/>
        <w:ind w:firstLine="709"/>
        <w:jc w:val="both"/>
        <w:rPr>
          <w:rFonts w:asciiTheme="majorHAnsi" w:hAnsiTheme="majorHAnsi" w:cstheme="majorHAnsi"/>
          <w:sz w:val="24"/>
          <w:szCs w:val="24"/>
        </w:rPr>
      </w:pPr>
    </w:p>
    <w:p w14:paraId="4F2EAACC" w14:textId="77777777" w:rsidR="00EE3346" w:rsidRPr="00516038" w:rsidRDefault="00EE3346" w:rsidP="00516038">
      <w:pPr>
        <w:tabs>
          <w:tab w:val="clear" w:pos="1615"/>
        </w:tabs>
        <w:jc w:val="both"/>
        <w:rPr>
          <w:rFonts w:asciiTheme="majorHAnsi" w:hAnsiTheme="majorHAnsi" w:cstheme="majorHAnsi"/>
          <w:sz w:val="20"/>
        </w:rPr>
      </w:pPr>
      <w:r w:rsidRPr="00516038">
        <w:rPr>
          <w:rFonts w:asciiTheme="majorHAnsi" w:hAnsiTheme="majorHAnsi" w:cstheme="majorHAnsi"/>
          <w:sz w:val="20"/>
        </w:rPr>
        <w:t>Tabela 4.2. Níveis de proficiência em idiomas do Quadro Comum Europeu de Referência (QCER)</w:t>
      </w:r>
    </w:p>
    <w:tbl>
      <w:tblPr>
        <w:tblStyle w:val="TabeladeGrade41"/>
        <w:tblW w:w="98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6"/>
        <w:gridCol w:w="1050"/>
        <w:gridCol w:w="1383"/>
        <w:gridCol w:w="6696"/>
      </w:tblGrid>
      <w:tr w:rsidR="00EE3346" w:rsidRPr="008A364C" w14:paraId="3491B302" w14:textId="77777777" w:rsidTr="008A36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6" w:type="dxa"/>
            <w:tcBorders>
              <w:top w:val="none" w:sz="0" w:space="0" w:color="auto"/>
              <w:left w:val="none" w:sz="0" w:space="0" w:color="auto"/>
              <w:bottom w:val="none" w:sz="0" w:space="0" w:color="auto"/>
              <w:right w:val="none" w:sz="0" w:space="0" w:color="auto"/>
            </w:tcBorders>
          </w:tcPr>
          <w:p w14:paraId="4C5B23FC" w14:textId="77777777" w:rsidR="00EE3346" w:rsidRPr="008A364C" w:rsidRDefault="00EE3346" w:rsidP="008A364C">
            <w:pPr>
              <w:tabs>
                <w:tab w:val="clear" w:pos="1615"/>
              </w:tabs>
              <w:spacing w:line="276" w:lineRule="auto"/>
              <w:jc w:val="both"/>
              <w:rPr>
                <w:rFonts w:asciiTheme="majorHAnsi" w:hAnsiTheme="majorHAnsi" w:cstheme="majorHAnsi"/>
                <w:b w:val="0"/>
                <w:sz w:val="20"/>
                <w:szCs w:val="20"/>
              </w:rPr>
            </w:pPr>
            <w:r w:rsidRPr="008A364C">
              <w:rPr>
                <w:rFonts w:asciiTheme="majorHAnsi" w:hAnsiTheme="majorHAnsi" w:cstheme="majorHAnsi"/>
                <w:sz w:val="20"/>
                <w:szCs w:val="20"/>
              </w:rPr>
              <w:t>Sigla</w:t>
            </w:r>
          </w:p>
        </w:tc>
        <w:tc>
          <w:tcPr>
            <w:tcW w:w="1050" w:type="dxa"/>
            <w:tcBorders>
              <w:top w:val="none" w:sz="0" w:space="0" w:color="auto"/>
              <w:left w:val="none" w:sz="0" w:space="0" w:color="auto"/>
              <w:bottom w:val="none" w:sz="0" w:space="0" w:color="auto"/>
              <w:right w:val="none" w:sz="0" w:space="0" w:color="auto"/>
            </w:tcBorders>
          </w:tcPr>
          <w:p w14:paraId="5F804626" w14:textId="77777777" w:rsidR="00EE3346" w:rsidRPr="008A364C" w:rsidRDefault="00EE3346" w:rsidP="008A364C">
            <w:pPr>
              <w:tabs>
                <w:tab w:val="clear" w:pos="1615"/>
              </w:tabs>
              <w:spacing w:line="276" w:lineRule="auto"/>
              <w:ind w:left="-103" w:right="-108"/>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sz w:val="20"/>
                <w:szCs w:val="20"/>
              </w:rPr>
            </w:pPr>
            <w:r w:rsidRPr="008A364C">
              <w:rPr>
                <w:rFonts w:asciiTheme="majorHAnsi" w:hAnsiTheme="majorHAnsi" w:cstheme="majorHAnsi"/>
                <w:sz w:val="20"/>
                <w:szCs w:val="20"/>
              </w:rPr>
              <w:t>Nome QCER</w:t>
            </w:r>
          </w:p>
        </w:tc>
        <w:tc>
          <w:tcPr>
            <w:tcW w:w="1383" w:type="dxa"/>
            <w:tcBorders>
              <w:top w:val="none" w:sz="0" w:space="0" w:color="auto"/>
              <w:left w:val="none" w:sz="0" w:space="0" w:color="auto"/>
              <w:bottom w:val="none" w:sz="0" w:space="0" w:color="auto"/>
              <w:right w:val="none" w:sz="0" w:space="0" w:color="auto"/>
            </w:tcBorders>
          </w:tcPr>
          <w:p w14:paraId="57100435" w14:textId="77777777" w:rsidR="00EE3346" w:rsidRPr="008A364C" w:rsidRDefault="00EE3346" w:rsidP="008A364C">
            <w:pPr>
              <w:tabs>
                <w:tab w:val="clear" w:pos="1615"/>
              </w:tabs>
              <w:spacing w:line="276" w:lineRule="auto"/>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sz w:val="20"/>
                <w:szCs w:val="20"/>
              </w:rPr>
            </w:pPr>
            <w:r w:rsidRPr="008A364C">
              <w:rPr>
                <w:rFonts w:asciiTheme="majorHAnsi" w:hAnsiTheme="majorHAnsi" w:cstheme="majorHAnsi"/>
                <w:sz w:val="20"/>
                <w:szCs w:val="20"/>
              </w:rPr>
              <w:t>Popular</w:t>
            </w:r>
          </w:p>
        </w:tc>
        <w:tc>
          <w:tcPr>
            <w:tcW w:w="6696" w:type="dxa"/>
            <w:tcBorders>
              <w:top w:val="none" w:sz="0" w:space="0" w:color="auto"/>
              <w:left w:val="none" w:sz="0" w:space="0" w:color="auto"/>
              <w:bottom w:val="none" w:sz="0" w:space="0" w:color="auto"/>
              <w:right w:val="none" w:sz="0" w:space="0" w:color="auto"/>
            </w:tcBorders>
          </w:tcPr>
          <w:p w14:paraId="1C7E4E61" w14:textId="77777777" w:rsidR="00EE3346" w:rsidRPr="008A364C" w:rsidRDefault="00EE3346" w:rsidP="008A364C">
            <w:pPr>
              <w:tabs>
                <w:tab w:val="clear" w:pos="1615"/>
              </w:tabs>
              <w:spacing w:line="276" w:lineRule="auto"/>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sz w:val="20"/>
                <w:szCs w:val="20"/>
              </w:rPr>
            </w:pPr>
            <w:r w:rsidRPr="008A364C">
              <w:rPr>
                <w:rFonts w:asciiTheme="majorHAnsi" w:hAnsiTheme="majorHAnsi" w:cstheme="majorHAnsi"/>
                <w:sz w:val="20"/>
                <w:szCs w:val="20"/>
              </w:rPr>
              <w:t>Descrição</w:t>
            </w:r>
          </w:p>
        </w:tc>
      </w:tr>
      <w:tr w:rsidR="00EE3346" w:rsidRPr="008A364C" w14:paraId="036BD11A" w14:textId="77777777" w:rsidTr="008A3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6" w:type="dxa"/>
          </w:tcPr>
          <w:p w14:paraId="548D3069" w14:textId="77777777" w:rsidR="00EE3346" w:rsidRPr="008A364C" w:rsidRDefault="00EE3346" w:rsidP="008A364C">
            <w:pPr>
              <w:tabs>
                <w:tab w:val="clear" w:pos="1615"/>
              </w:tabs>
              <w:spacing w:line="276" w:lineRule="auto"/>
              <w:rPr>
                <w:rFonts w:asciiTheme="majorHAnsi" w:hAnsiTheme="majorHAnsi" w:cstheme="majorHAnsi"/>
                <w:b w:val="0"/>
                <w:sz w:val="20"/>
                <w:szCs w:val="20"/>
              </w:rPr>
            </w:pPr>
            <w:r w:rsidRPr="008A364C">
              <w:rPr>
                <w:rFonts w:asciiTheme="majorHAnsi" w:hAnsiTheme="majorHAnsi" w:cstheme="majorHAnsi"/>
                <w:sz w:val="20"/>
                <w:szCs w:val="20"/>
              </w:rPr>
              <w:t>A1</w:t>
            </w:r>
          </w:p>
        </w:tc>
        <w:tc>
          <w:tcPr>
            <w:tcW w:w="1050" w:type="dxa"/>
          </w:tcPr>
          <w:p w14:paraId="4787206F" w14:textId="77777777" w:rsidR="00EE3346" w:rsidRPr="008A364C" w:rsidRDefault="00EE3346" w:rsidP="008A364C">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0"/>
                <w:szCs w:val="20"/>
              </w:rPr>
            </w:pPr>
            <w:r w:rsidRPr="008A364C">
              <w:rPr>
                <w:rFonts w:asciiTheme="majorHAnsi" w:hAnsiTheme="majorHAnsi" w:cstheme="majorHAnsi"/>
                <w:b/>
                <w:sz w:val="20"/>
                <w:szCs w:val="20"/>
              </w:rPr>
              <w:t>Iniciação</w:t>
            </w:r>
          </w:p>
        </w:tc>
        <w:tc>
          <w:tcPr>
            <w:tcW w:w="1383" w:type="dxa"/>
            <w:vMerge w:val="restart"/>
          </w:tcPr>
          <w:p w14:paraId="25F41892" w14:textId="77777777" w:rsidR="00EE3346" w:rsidRPr="008A364C" w:rsidRDefault="00EE3346" w:rsidP="008A364C">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0"/>
                <w:szCs w:val="20"/>
              </w:rPr>
            </w:pPr>
            <w:r w:rsidRPr="008A364C">
              <w:rPr>
                <w:rFonts w:asciiTheme="majorHAnsi" w:hAnsiTheme="majorHAnsi" w:cstheme="majorHAnsi"/>
                <w:b/>
                <w:sz w:val="20"/>
                <w:szCs w:val="20"/>
              </w:rPr>
              <w:t>Básico</w:t>
            </w:r>
          </w:p>
        </w:tc>
        <w:tc>
          <w:tcPr>
            <w:tcW w:w="6696" w:type="dxa"/>
          </w:tcPr>
          <w:p w14:paraId="205F4F24" w14:textId="77777777" w:rsidR="00EE3346" w:rsidRPr="008A364C" w:rsidRDefault="00EE3346" w:rsidP="008A364C">
            <w:pPr>
              <w:tabs>
                <w:tab w:val="clear" w:pos="1615"/>
              </w:tabs>
              <w:spacing w:line="276" w:lineRule="auto"/>
              <w:ind w:left="-108"/>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0"/>
                <w:szCs w:val="20"/>
              </w:rPr>
            </w:pPr>
            <w:r w:rsidRPr="008A364C">
              <w:rPr>
                <w:rFonts w:asciiTheme="majorHAnsi" w:hAnsiTheme="majorHAnsi" w:cstheme="majorHAnsi"/>
                <w:sz w:val="20"/>
                <w:szCs w:val="20"/>
              </w:rPr>
              <w:t>capaz de interagir de modo simples, fazer perguntas e dar respostas sobre ele próprio e sobre os seus interlocutores, sobre o local onde vive(m), pessoas que conhece(m), coisas que possui(em), intervir ou responder a solicitações utilizando enunciados simples em assuntos que lhe são muito familiares</w:t>
            </w:r>
          </w:p>
        </w:tc>
      </w:tr>
      <w:tr w:rsidR="00EE3346" w:rsidRPr="008A364C" w14:paraId="07B7068C" w14:textId="77777777" w:rsidTr="008A364C">
        <w:tc>
          <w:tcPr>
            <w:cnfStyle w:val="001000000000" w:firstRow="0" w:lastRow="0" w:firstColumn="1" w:lastColumn="0" w:oddVBand="0" w:evenVBand="0" w:oddHBand="0" w:evenHBand="0" w:firstRowFirstColumn="0" w:firstRowLastColumn="0" w:lastRowFirstColumn="0" w:lastRowLastColumn="0"/>
            <w:tcW w:w="686" w:type="dxa"/>
          </w:tcPr>
          <w:p w14:paraId="5A418EB0" w14:textId="77777777" w:rsidR="00EE3346" w:rsidRPr="008A364C" w:rsidRDefault="00EE3346" w:rsidP="008A364C">
            <w:pPr>
              <w:tabs>
                <w:tab w:val="clear" w:pos="1615"/>
              </w:tabs>
              <w:spacing w:line="276" w:lineRule="auto"/>
              <w:rPr>
                <w:rFonts w:asciiTheme="majorHAnsi" w:hAnsiTheme="majorHAnsi" w:cstheme="majorHAnsi"/>
                <w:b w:val="0"/>
                <w:sz w:val="20"/>
                <w:szCs w:val="20"/>
              </w:rPr>
            </w:pPr>
            <w:r w:rsidRPr="008A364C">
              <w:rPr>
                <w:rFonts w:asciiTheme="majorHAnsi" w:hAnsiTheme="majorHAnsi" w:cstheme="majorHAnsi"/>
                <w:sz w:val="20"/>
                <w:szCs w:val="20"/>
              </w:rPr>
              <w:t>A2</w:t>
            </w:r>
          </w:p>
        </w:tc>
        <w:tc>
          <w:tcPr>
            <w:tcW w:w="1050" w:type="dxa"/>
          </w:tcPr>
          <w:p w14:paraId="200BD147" w14:textId="77777777" w:rsidR="00EE3346" w:rsidRPr="008A364C" w:rsidRDefault="00EE3346" w:rsidP="008A364C">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0"/>
                <w:szCs w:val="20"/>
              </w:rPr>
            </w:pPr>
            <w:r w:rsidRPr="008A364C">
              <w:rPr>
                <w:rFonts w:asciiTheme="majorHAnsi" w:hAnsiTheme="majorHAnsi" w:cstheme="majorHAnsi"/>
                <w:b/>
                <w:sz w:val="20"/>
                <w:szCs w:val="20"/>
              </w:rPr>
              <w:t>Elementar</w:t>
            </w:r>
          </w:p>
        </w:tc>
        <w:tc>
          <w:tcPr>
            <w:tcW w:w="1383" w:type="dxa"/>
            <w:vMerge/>
          </w:tcPr>
          <w:p w14:paraId="00685462" w14:textId="77777777" w:rsidR="00EE3346" w:rsidRPr="008A364C" w:rsidRDefault="00EE3346" w:rsidP="008A364C">
            <w:pPr>
              <w:tabs>
                <w:tab w:val="clear" w:pos="1615"/>
              </w:tab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0"/>
                <w:szCs w:val="20"/>
              </w:rPr>
            </w:pPr>
          </w:p>
        </w:tc>
        <w:tc>
          <w:tcPr>
            <w:tcW w:w="6696" w:type="dxa"/>
          </w:tcPr>
          <w:p w14:paraId="3D79E0EF" w14:textId="77777777" w:rsidR="00EE3346" w:rsidRPr="008A364C" w:rsidRDefault="00EE3346" w:rsidP="008A364C">
            <w:pPr>
              <w:tabs>
                <w:tab w:val="clear" w:pos="1615"/>
              </w:tabs>
              <w:spacing w:line="276" w:lineRule="auto"/>
              <w:ind w:left="-108"/>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0"/>
                <w:szCs w:val="20"/>
              </w:rPr>
            </w:pPr>
            <w:r w:rsidRPr="008A364C">
              <w:rPr>
                <w:rFonts w:asciiTheme="majorHAnsi" w:hAnsiTheme="majorHAnsi" w:cstheme="majorHAnsi"/>
                <w:sz w:val="20"/>
                <w:szCs w:val="20"/>
              </w:rPr>
              <w:t>utiliza fórmulas de delicadeza e formas de tratamento do quotidiano; sabe cumprimentar pessoas, perguntar como estão e reagir às respostas; participa em conversas sociais muito breves; faz perguntas e dá respostas a questões acerca do trabalho e outros assuntos simples e mais comuns a si mesmo</w:t>
            </w:r>
          </w:p>
        </w:tc>
      </w:tr>
      <w:tr w:rsidR="00EE3346" w:rsidRPr="008A364C" w14:paraId="41DAD361" w14:textId="77777777" w:rsidTr="008A3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6" w:type="dxa"/>
          </w:tcPr>
          <w:p w14:paraId="1382E2EF" w14:textId="77777777" w:rsidR="00EE3346" w:rsidRPr="008A364C" w:rsidRDefault="00EE3346" w:rsidP="008A364C">
            <w:pPr>
              <w:tabs>
                <w:tab w:val="clear" w:pos="1615"/>
              </w:tabs>
              <w:spacing w:line="276" w:lineRule="auto"/>
              <w:rPr>
                <w:rFonts w:asciiTheme="majorHAnsi" w:hAnsiTheme="majorHAnsi" w:cstheme="majorHAnsi"/>
                <w:b w:val="0"/>
                <w:sz w:val="20"/>
                <w:szCs w:val="20"/>
              </w:rPr>
            </w:pPr>
            <w:r w:rsidRPr="008A364C">
              <w:rPr>
                <w:rFonts w:asciiTheme="majorHAnsi" w:hAnsiTheme="majorHAnsi" w:cstheme="majorHAnsi"/>
                <w:sz w:val="20"/>
                <w:szCs w:val="20"/>
              </w:rPr>
              <w:t>B1</w:t>
            </w:r>
          </w:p>
        </w:tc>
        <w:tc>
          <w:tcPr>
            <w:tcW w:w="1050" w:type="dxa"/>
          </w:tcPr>
          <w:p w14:paraId="1F489589" w14:textId="77777777" w:rsidR="00EE3346" w:rsidRPr="008A364C" w:rsidRDefault="00EE3346" w:rsidP="008A364C">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0"/>
                <w:szCs w:val="20"/>
              </w:rPr>
            </w:pPr>
            <w:r w:rsidRPr="008A364C">
              <w:rPr>
                <w:rFonts w:asciiTheme="majorHAnsi" w:hAnsiTheme="majorHAnsi" w:cstheme="majorHAnsi"/>
                <w:b/>
                <w:sz w:val="20"/>
                <w:szCs w:val="20"/>
              </w:rPr>
              <w:t>Limiar</w:t>
            </w:r>
          </w:p>
        </w:tc>
        <w:tc>
          <w:tcPr>
            <w:tcW w:w="1383" w:type="dxa"/>
            <w:vMerge w:val="restart"/>
          </w:tcPr>
          <w:p w14:paraId="3E9D70C7" w14:textId="77777777" w:rsidR="00EE3346" w:rsidRPr="008A364C" w:rsidRDefault="00EE3346" w:rsidP="008A364C">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0"/>
                <w:szCs w:val="20"/>
              </w:rPr>
            </w:pPr>
            <w:r w:rsidRPr="008A364C">
              <w:rPr>
                <w:rFonts w:asciiTheme="majorHAnsi" w:hAnsiTheme="majorHAnsi" w:cstheme="majorHAnsi"/>
                <w:b/>
                <w:sz w:val="20"/>
                <w:szCs w:val="20"/>
              </w:rPr>
              <w:t>Intermediário</w:t>
            </w:r>
          </w:p>
        </w:tc>
        <w:tc>
          <w:tcPr>
            <w:tcW w:w="6696" w:type="dxa"/>
          </w:tcPr>
          <w:p w14:paraId="38FC4B20" w14:textId="77777777" w:rsidR="00EE3346" w:rsidRPr="008A364C" w:rsidRDefault="00EE3346" w:rsidP="008A364C">
            <w:pPr>
              <w:tabs>
                <w:tab w:val="clear" w:pos="1615"/>
              </w:tabs>
              <w:spacing w:line="276" w:lineRule="auto"/>
              <w:ind w:left="-108"/>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0"/>
                <w:szCs w:val="20"/>
              </w:rPr>
            </w:pPr>
            <w:r w:rsidRPr="008A364C">
              <w:rPr>
                <w:rFonts w:asciiTheme="majorHAnsi" w:hAnsiTheme="majorHAnsi" w:cstheme="majorHAnsi"/>
                <w:sz w:val="20"/>
                <w:szCs w:val="20"/>
              </w:rPr>
              <w:t>lida com a maior parte das situações que podem acontecer quando prepara ou realiza viagem. Participa em conversas sobre assuntos que lhe são familiares; faz reclamações; toma algumas iniciativas, mas a interação depende muito do entrevistador; pede ao interlocutor que clarifique o que acabou de dizer.</w:t>
            </w:r>
          </w:p>
        </w:tc>
      </w:tr>
      <w:tr w:rsidR="00EE3346" w:rsidRPr="008A364C" w14:paraId="1D09BCCE" w14:textId="77777777" w:rsidTr="008A364C">
        <w:tc>
          <w:tcPr>
            <w:cnfStyle w:val="001000000000" w:firstRow="0" w:lastRow="0" w:firstColumn="1" w:lastColumn="0" w:oddVBand="0" w:evenVBand="0" w:oddHBand="0" w:evenHBand="0" w:firstRowFirstColumn="0" w:firstRowLastColumn="0" w:lastRowFirstColumn="0" w:lastRowLastColumn="0"/>
            <w:tcW w:w="686" w:type="dxa"/>
          </w:tcPr>
          <w:p w14:paraId="02EC1865" w14:textId="77777777" w:rsidR="00EE3346" w:rsidRPr="008A364C" w:rsidRDefault="00EE3346" w:rsidP="008A364C">
            <w:pPr>
              <w:tabs>
                <w:tab w:val="clear" w:pos="1615"/>
              </w:tabs>
              <w:spacing w:line="276" w:lineRule="auto"/>
              <w:rPr>
                <w:rFonts w:asciiTheme="majorHAnsi" w:hAnsiTheme="majorHAnsi" w:cstheme="majorHAnsi"/>
                <w:b w:val="0"/>
                <w:sz w:val="20"/>
                <w:szCs w:val="20"/>
              </w:rPr>
            </w:pPr>
            <w:r w:rsidRPr="008A364C">
              <w:rPr>
                <w:rFonts w:asciiTheme="majorHAnsi" w:hAnsiTheme="majorHAnsi" w:cstheme="majorHAnsi"/>
                <w:sz w:val="20"/>
                <w:szCs w:val="20"/>
              </w:rPr>
              <w:t>B2</w:t>
            </w:r>
          </w:p>
        </w:tc>
        <w:tc>
          <w:tcPr>
            <w:tcW w:w="1050" w:type="dxa"/>
          </w:tcPr>
          <w:p w14:paraId="36707A3D" w14:textId="77777777" w:rsidR="00EE3346" w:rsidRPr="008A364C" w:rsidRDefault="00EE3346" w:rsidP="008A364C">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0"/>
                <w:szCs w:val="20"/>
              </w:rPr>
            </w:pPr>
            <w:r w:rsidRPr="008A364C">
              <w:rPr>
                <w:rFonts w:asciiTheme="majorHAnsi" w:hAnsiTheme="majorHAnsi" w:cstheme="majorHAnsi"/>
                <w:b/>
                <w:sz w:val="20"/>
                <w:szCs w:val="20"/>
              </w:rPr>
              <w:t>Vantagem</w:t>
            </w:r>
          </w:p>
        </w:tc>
        <w:tc>
          <w:tcPr>
            <w:tcW w:w="1383" w:type="dxa"/>
            <w:vMerge/>
          </w:tcPr>
          <w:p w14:paraId="140E3BB3" w14:textId="77777777" w:rsidR="00EE3346" w:rsidRPr="008A364C" w:rsidRDefault="00EE3346" w:rsidP="008A364C">
            <w:pPr>
              <w:tabs>
                <w:tab w:val="clear" w:pos="1615"/>
              </w:tab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0"/>
                <w:szCs w:val="20"/>
              </w:rPr>
            </w:pPr>
          </w:p>
        </w:tc>
        <w:tc>
          <w:tcPr>
            <w:tcW w:w="6696" w:type="dxa"/>
          </w:tcPr>
          <w:p w14:paraId="0114FBBA" w14:textId="77777777" w:rsidR="00EE3346" w:rsidRPr="008A364C" w:rsidRDefault="00EE3346" w:rsidP="008A364C">
            <w:pPr>
              <w:tabs>
                <w:tab w:val="clear" w:pos="1615"/>
              </w:tabs>
              <w:spacing w:line="276" w:lineRule="auto"/>
              <w:ind w:left="-108"/>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0"/>
                <w:szCs w:val="20"/>
              </w:rPr>
            </w:pPr>
            <w:r w:rsidRPr="008A364C">
              <w:rPr>
                <w:rFonts w:asciiTheme="majorHAnsi" w:hAnsiTheme="majorHAnsi" w:cstheme="majorHAnsi"/>
                <w:b/>
                <w:sz w:val="20"/>
                <w:szCs w:val="20"/>
              </w:rPr>
              <w:t xml:space="preserve">conversa naturalmente, fluentemente e com eficácia em língua-padrão; inicia o discurso, toma a sua vez quando necessário e termina a conversa quando precisa, embora possa não o fazer de modo elegante; utiliza frases feitas para ganhar tempo enquanto formula o que quer dizer, sem que haja constrangimento </w:t>
            </w:r>
          </w:p>
        </w:tc>
      </w:tr>
      <w:tr w:rsidR="00EE3346" w:rsidRPr="008A364C" w14:paraId="485935CA" w14:textId="77777777" w:rsidTr="008A3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6" w:type="dxa"/>
          </w:tcPr>
          <w:p w14:paraId="199CE116" w14:textId="77777777" w:rsidR="00EE3346" w:rsidRPr="008A364C" w:rsidRDefault="00EE3346" w:rsidP="008A364C">
            <w:pPr>
              <w:tabs>
                <w:tab w:val="clear" w:pos="1615"/>
              </w:tabs>
              <w:spacing w:line="276" w:lineRule="auto"/>
              <w:rPr>
                <w:rFonts w:asciiTheme="majorHAnsi" w:hAnsiTheme="majorHAnsi" w:cstheme="majorHAnsi"/>
                <w:b w:val="0"/>
                <w:sz w:val="20"/>
                <w:szCs w:val="20"/>
              </w:rPr>
            </w:pPr>
            <w:r w:rsidRPr="008A364C">
              <w:rPr>
                <w:rFonts w:asciiTheme="majorHAnsi" w:hAnsiTheme="majorHAnsi" w:cstheme="majorHAnsi"/>
                <w:sz w:val="20"/>
                <w:szCs w:val="20"/>
              </w:rPr>
              <w:t>C1</w:t>
            </w:r>
          </w:p>
        </w:tc>
        <w:tc>
          <w:tcPr>
            <w:tcW w:w="1050" w:type="dxa"/>
          </w:tcPr>
          <w:p w14:paraId="3273DB74" w14:textId="77777777" w:rsidR="00EE3346" w:rsidRPr="008A364C" w:rsidRDefault="00EE3346" w:rsidP="008A364C">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0"/>
                <w:szCs w:val="20"/>
              </w:rPr>
            </w:pPr>
            <w:r w:rsidRPr="008A364C">
              <w:rPr>
                <w:rFonts w:asciiTheme="majorHAnsi" w:hAnsiTheme="majorHAnsi" w:cstheme="majorHAnsi"/>
                <w:b/>
                <w:sz w:val="20"/>
                <w:szCs w:val="20"/>
              </w:rPr>
              <w:t>Autonomia</w:t>
            </w:r>
          </w:p>
        </w:tc>
        <w:tc>
          <w:tcPr>
            <w:tcW w:w="1383" w:type="dxa"/>
            <w:vMerge w:val="restart"/>
          </w:tcPr>
          <w:p w14:paraId="21B6B3CB" w14:textId="77777777" w:rsidR="00EE3346" w:rsidRPr="008A364C" w:rsidRDefault="00EE3346" w:rsidP="008A364C">
            <w:pPr>
              <w:tabs>
                <w:tab w:val="clear" w:pos="1615"/>
              </w:tabs>
              <w:spacing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0"/>
                <w:szCs w:val="20"/>
              </w:rPr>
            </w:pPr>
            <w:r w:rsidRPr="008A364C">
              <w:rPr>
                <w:rFonts w:asciiTheme="majorHAnsi" w:hAnsiTheme="majorHAnsi" w:cstheme="majorHAnsi"/>
                <w:b/>
                <w:sz w:val="20"/>
                <w:szCs w:val="20"/>
              </w:rPr>
              <w:t>Avançado</w:t>
            </w:r>
          </w:p>
        </w:tc>
        <w:tc>
          <w:tcPr>
            <w:tcW w:w="6696" w:type="dxa"/>
          </w:tcPr>
          <w:p w14:paraId="791C28E1" w14:textId="77777777" w:rsidR="00EE3346" w:rsidRPr="008A364C" w:rsidRDefault="00EE3346" w:rsidP="008A364C">
            <w:pPr>
              <w:tabs>
                <w:tab w:val="clear" w:pos="1615"/>
              </w:tabs>
              <w:spacing w:line="276" w:lineRule="auto"/>
              <w:ind w:left="-108"/>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0"/>
                <w:szCs w:val="20"/>
              </w:rPr>
            </w:pPr>
            <w:r w:rsidRPr="008A364C">
              <w:rPr>
                <w:rFonts w:asciiTheme="majorHAnsi" w:hAnsiTheme="majorHAnsi" w:cstheme="majorHAnsi"/>
                <w:sz w:val="20"/>
                <w:szCs w:val="20"/>
              </w:rPr>
              <w:t>capaz de se exprimir fluente e espontaneamente, quase sem esforço. Tem bom domínio de um repertório lexical amplo que permite que as lacunas sejam preenchidas rapidamente com circunlocuções. Só um assunto conceitualmente difícil pode impedir o fluxo normal e corrente do discurso.</w:t>
            </w:r>
          </w:p>
        </w:tc>
      </w:tr>
      <w:tr w:rsidR="00EE3346" w:rsidRPr="008A364C" w14:paraId="3AEF24FB" w14:textId="77777777" w:rsidTr="008A364C">
        <w:tc>
          <w:tcPr>
            <w:cnfStyle w:val="001000000000" w:firstRow="0" w:lastRow="0" w:firstColumn="1" w:lastColumn="0" w:oddVBand="0" w:evenVBand="0" w:oddHBand="0" w:evenHBand="0" w:firstRowFirstColumn="0" w:firstRowLastColumn="0" w:lastRowFirstColumn="0" w:lastRowLastColumn="0"/>
            <w:tcW w:w="686" w:type="dxa"/>
          </w:tcPr>
          <w:p w14:paraId="217153C9" w14:textId="77777777" w:rsidR="00EE3346" w:rsidRPr="008A364C" w:rsidRDefault="00EE3346" w:rsidP="008A364C">
            <w:pPr>
              <w:tabs>
                <w:tab w:val="clear" w:pos="1615"/>
              </w:tabs>
              <w:spacing w:line="276" w:lineRule="auto"/>
              <w:rPr>
                <w:rFonts w:asciiTheme="majorHAnsi" w:hAnsiTheme="majorHAnsi" w:cstheme="majorHAnsi"/>
                <w:b w:val="0"/>
                <w:sz w:val="20"/>
                <w:szCs w:val="20"/>
              </w:rPr>
            </w:pPr>
            <w:r w:rsidRPr="008A364C">
              <w:rPr>
                <w:rFonts w:asciiTheme="majorHAnsi" w:hAnsiTheme="majorHAnsi" w:cstheme="majorHAnsi"/>
                <w:sz w:val="20"/>
                <w:szCs w:val="20"/>
              </w:rPr>
              <w:t>C2</w:t>
            </w:r>
          </w:p>
        </w:tc>
        <w:tc>
          <w:tcPr>
            <w:tcW w:w="1050" w:type="dxa"/>
          </w:tcPr>
          <w:p w14:paraId="13A811DA" w14:textId="77777777" w:rsidR="00EE3346" w:rsidRPr="008A364C" w:rsidRDefault="00EE3346" w:rsidP="008A364C">
            <w:pPr>
              <w:tabs>
                <w:tab w:val="clear" w:pos="1615"/>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0"/>
                <w:szCs w:val="20"/>
              </w:rPr>
            </w:pPr>
            <w:r w:rsidRPr="008A364C">
              <w:rPr>
                <w:rFonts w:asciiTheme="majorHAnsi" w:hAnsiTheme="majorHAnsi" w:cstheme="majorHAnsi"/>
                <w:b/>
                <w:sz w:val="20"/>
                <w:szCs w:val="20"/>
              </w:rPr>
              <w:t>Maestria</w:t>
            </w:r>
          </w:p>
        </w:tc>
        <w:tc>
          <w:tcPr>
            <w:tcW w:w="1383" w:type="dxa"/>
            <w:vMerge/>
          </w:tcPr>
          <w:p w14:paraId="31C184C7" w14:textId="77777777" w:rsidR="00EE3346" w:rsidRPr="008A364C" w:rsidRDefault="00EE3346" w:rsidP="008A364C">
            <w:pPr>
              <w:tabs>
                <w:tab w:val="clear" w:pos="1615"/>
              </w:tab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0"/>
                <w:szCs w:val="20"/>
              </w:rPr>
            </w:pPr>
          </w:p>
        </w:tc>
        <w:tc>
          <w:tcPr>
            <w:tcW w:w="6696" w:type="dxa"/>
          </w:tcPr>
          <w:p w14:paraId="680FA30D" w14:textId="77777777" w:rsidR="00EE3346" w:rsidRPr="008A364C" w:rsidRDefault="00EE3346" w:rsidP="008A364C">
            <w:pPr>
              <w:tabs>
                <w:tab w:val="clear" w:pos="1615"/>
              </w:tabs>
              <w:spacing w:line="276" w:lineRule="auto"/>
              <w:ind w:left="-108"/>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0"/>
                <w:szCs w:val="20"/>
              </w:rPr>
            </w:pPr>
            <w:r w:rsidRPr="008A364C">
              <w:rPr>
                <w:rFonts w:asciiTheme="majorHAnsi" w:hAnsiTheme="majorHAnsi" w:cstheme="majorHAnsi"/>
                <w:sz w:val="20"/>
                <w:szCs w:val="20"/>
              </w:rPr>
              <w:t>transmite com precisão sutilezas de significado, utilizando um amplo leque de mecanismos modalizadores; tem bom domínio de expressões idiomáticas e de coloquialismos e a consciência dos significados conotativos; volta atrás e reestrutura uma dificuldade com tanta facilidade que o interlocutor mal se apercebe disso</w:t>
            </w:r>
          </w:p>
        </w:tc>
      </w:tr>
    </w:tbl>
    <w:p w14:paraId="036A834F" w14:textId="77777777" w:rsidR="00EE3346" w:rsidRPr="00516038" w:rsidRDefault="00EE3346" w:rsidP="00516038">
      <w:pPr>
        <w:tabs>
          <w:tab w:val="clear" w:pos="1615"/>
        </w:tabs>
        <w:jc w:val="both"/>
        <w:rPr>
          <w:rFonts w:asciiTheme="majorHAnsi" w:hAnsiTheme="majorHAnsi" w:cstheme="majorHAnsi"/>
          <w:sz w:val="16"/>
        </w:rPr>
      </w:pPr>
      <w:r w:rsidRPr="00516038">
        <w:rPr>
          <w:rFonts w:asciiTheme="majorHAnsi" w:hAnsiTheme="majorHAnsi" w:cstheme="majorHAnsi"/>
          <w:sz w:val="16"/>
        </w:rPr>
        <w:t>Adaptado pelo Autor, do Quadro Comum Europeu de Referência (ALVES, 2001, p. 61-65)</w:t>
      </w:r>
    </w:p>
    <w:p w14:paraId="515D9548" w14:textId="77777777" w:rsidR="008A364C" w:rsidRDefault="008A364C" w:rsidP="008A364C">
      <w:pPr>
        <w:tabs>
          <w:tab w:val="clear" w:pos="1615"/>
        </w:tabs>
        <w:spacing w:line="360" w:lineRule="auto"/>
        <w:ind w:firstLine="709"/>
        <w:jc w:val="both"/>
        <w:rPr>
          <w:rFonts w:asciiTheme="majorHAnsi" w:hAnsiTheme="majorHAnsi" w:cstheme="majorHAnsi"/>
          <w:sz w:val="24"/>
          <w:szCs w:val="24"/>
        </w:rPr>
      </w:pPr>
    </w:p>
    <w:p w14:paraId="283C242D" w14:textId="44FDA2DB"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 xml:space="preserve">Foi destacada, na tabela, a descrição do nível B2, que é considerado o mínimo necessário para proficiência das quatro competências: falar, ouvir, ler e escrever. Assim, o que se espera é que o egresso de um curso UnDF tenha esse nível de conhecimento. Para atingi-lo, haverá a necessidade de duas providências: a) a primeira, um exame de proficiência inicial para verificação do nível em que se enquadra o estudante. Essa prova pode ser feita on-line utilizando testes para ingresso em escolas de inglês por exemplo, a proficiência de alguma instituição que realize esse tipo de exame, ou mesmo uma avaliação diagnóstica feita pela própria UnDF; b) a segunda, um novo exame que pode ser feito até o final do curso, com auxílio para os estudantes que não puderem financiar o próprio exame. </w:t>
      </w:r>
    </w:p>
    <w:p w14:paraId="264487D9" w14:textId="24BB870E"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O trabalho de Cani e Santiago (2018) apresenta um quadro referente aos exames de diferentes idiomas e, no caso do inglês, lista para o QCER B2, 543-626 pontos no TOEFL-ITP, 87-109 no TOEFL-IBT e 5-6.5 no IELTS. Quando estiver estruturado o setor de línguas modernas, convém estender essa possibilidade também para o espanhol, em função de toda a América Latina e dos quase 500 milhões de habitantes do mundo que falam espanhol.</w:t>
      </w:r>
    </w:p>
    <w:p w14:paraId="2E1C5DD5" w14:textId="4938DEFB"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A instituição, além de facilitar o acesso a sites para o aprendizado de diferentes idiomas, também deveria oferecer turmas de diferentes níveis de proficiência para o inglês, a partir dos resultados obtidos na prova diagnóstica feita quando do ingresso. Só dessa maneira se garantirá que estudantes oriundos de classes menos favorecidas tenham a oportunidade de realizar esse aprendizado. Para isso, também será necessária a previsão do tempo semanal para que isso ocorra ao longo de todo o curso.</w:t>
      </w:r>
    </w:p>
    <w:p w14:paraId="11489198" w14:textId="25CF142F" w:rsidR="00B76F2B"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Infelizmente, o Curso do MEC disponibilizado para o programa Ciência sem Fronteiras, gratuito e on-line, foi desativado. Entretanto, há outras iniciativas que podem merecer a atenção da instituição para aumentar a qualidade da formação de seus estudantes.</w:t>
      </w:r>
    </w:p>
    <w:p w14:paraId="7977E4BF" w14:textId="77777777" w:rsidR="00B76F2B" w:rsidRPr="00516038" w:rsidRDefault="00B76F2B" w:rsidP="00516038">
      <w:pPr>
        <w:tabs>
          <w:tab w:val="clear" w:pos="1615"/>
        </w:tabs>
        <w:spacing w:line="259" w:lineRule="auto"/>
        <w:rPr>
          <w:rFonts w:asciiTheme="majorHAnsi" w:hAnsiTheme="majorHAnsi" w:cstheme="majorHAnsi"/>
        </w:rPr>
      </w:pPr>
      <w:r w:rsidRPr="00516038">
        <w:rPr>
          <w:rFonts w:asciiTheme="majorHAnsi" w:hAnsiTheme="majorHAnsi" w:cstheme="majorHAnsi"/>
        </w:rPr>
        <w:br w:type="page"/>
      </w:r>
    </w:p>
    <w:p w14:paraId="28062633" w14:textId="77777777" w:rsidR="00EE3346" w:rsidRPr="008A364C" w:rsidRDefault="00EE3346" w:rsidP="008A364C">
      <w:pPr>
        <w:pStyle w:val="Ttulo1"/>
        <w:numPr>
          <w:ilvl w:val="0"/>
          <w:numId w:val="1"/>
        </w:numPr>
        <w:tabs>
          <w:tab w:val="clear" w:pos="1615"/>
        </w:tabs>
        <w:spacing w:before="0" w:after="0" w:line="360" w:lineRule="auto"/>
        <w:ind w:left="432"/>
        <w:jc w:val="both"/>
        <w:rPr>
          <w:rFonts w:asciiTheme="majorHAnsi" w:hAnsiTheme="majorHAnsi" w:cstheme="majorHAnsi"/>
          <w:color w:val="4875BD"/>
        </w:rPr>
      </w:pPr>
      <w:bookmarkStart w:id="92" w:name="_Toc102135017"/>
      <w:r w:rsidRPr="008A364C">
        <w:rPr>
          <w:rFonts w:asciiTheme="majorHAnsi" w:hAnsiTheme="majorHAnsi" w:cstheme="majorHAnsi"/>
          <w:color w:val="4875BD"/>
        </w:rPr>
        <w:t>REFERÊNCIAS BIBLIOGRÁFICAS E LEGISLAÇÃO</w:t>
      </w:r>
      <w:bookmarkEnd w:id="92"/>
    </w:p>
    <w:p w14:paraId="1B2848C8" w14:textId="77777777" w:rsidR="008A364C" w:rsidRDefault="008A364C" w:rsidP="00516038">
      <w:pPr>
        <w:tabs>
          <w:tab w:val="clear" w:pos="1615"/>
        </w:tabs>
        <w:rPr>
          <w:rFonts w:asciiTheme="majorHAnsi" w:hAnsiTheme="majorHAnsi" w:cstheme="majorHAnsi"/>
        </w:rPr>
      </w:pPr>
    </w:p>
    <w:p w14:paraId="0EF42BED" w14:textId="0E34D050" w:rsidR="00EE3346" w:rsidRPr="008A364C" w:rsidRDefault="00EE3346" w:rsidP="00516038">
      <w:pPr>
        <w:tabs>
          <w:tab w:val="clear" w:pos="1615"/>
        </w:tabs>
        <w:rPr>
          <w:rFonts w:asciiTheme="majorHAnsi" w:hAnsiTheme="majorHAnsi" w:cstheme="majorHAnsi"/>
          <w:sz w:val="24"/>
          <w:szCs w:val="24"/>
        </w:rPr>
      </w:pPr>
      <w:r w:rsidRPr="008A364C">
        <w:rPr>
          <w:rFonts w:asciiTheme="majorHAnsi" w:hAnsiTheme="majorHAnsi" w:cstheme="majorHAnsi"/>
          <w:sz w:val="24"/>
          <w:szCs w:val="24"/>
        </w:rPr>
        <w:t xml:space="preserve">ALVES, J.M. (coord.) </w:t>
      </w:r>
      <w:r w:rsidRPr="008A364C">
        <w:rPr>
          <w:rFonts w:asciiTheme="majorHAnsi" w:hAnsiTheme="majorHAnsi" w:cstheme="majorHAnsi"/>
          <w:b/>
          <w:sz w:val="24"/>
          <w:szCs w:val="24"/>
        </w:rPr>
        <w:t>Quadro Europeu Comum de Referência para as línguas – Aprendizagem, ensino, avaliação.</w:t>
      </w:r>
      <w:r w:rsidRPr="008A364C">
        <w:rPr>
          <w:rFonts w:asciiTheme="majorHAnsi" w:hAnsiTheme="majorHAnsi" w:cstheme="majorHAnsi"/>
          <w:sz w:val="24"/>
          <w:szCs w:val="24"/>
        </w:rPr>
        <w:t xml:space="preserve"> Lisboa, PT: Asa, 2001. </w:t>
      </w:r>
    </w:p>
    <w:p w14:paraId="4845DBD1" w14:textId="77777777" w:rsidR="00EE3346" w:rsidRPr="008A364C" w:rsidRDefault="00EE3346" w:rsidP="00516038">
      <w:pPr>
        <w:tabs>
          <w:tab w:val="clear" w:pos="1615"/>
        </w:tabs>
        <w:rPr>
          <w:rFonts w:asciiTheme="majorHAnsi" w:hAnsiTheme="majorHAnsi" w:cstheme="majorHAnsi"/>
          <w:sz w:val="24"/>
          <w:szCs w:val="24"/>
        </w:rPr>
      </w:pPr>
      <w:r w:rsidRPr="008A364C">
        <w:rPr>
          <w:rFonts w:asciiTheme="majorHAnsi" w:hAnsiTheme="majorHAnsi" w:cstheme="majorHAnsi"/>
          <w:sz w:val="24"/>
          <w:szCs w:val="24"/>
        </w:rPr>
        <w:t xml:space="preserve">BRASIL. </w:t>
      </w:r>
      <w:r w:rsidRPr="008A364C">
        <w:rPr>
          <w:rFonts w:asciiTheme="majorHAnsi" w:hAnsiTheme="majorHAnsi" w:cstheme="majorHAnsi"/>
          <w:b/>
          <w:sz w:val="24"/>
          <w:szCs w:val="24"/>
        </w:rPr>
        <w:t xml:space="preserve">Lei n. 5.540, de 28 de novembro de 1968. </w:t>
      </w:r>
      <w:r w:rsidRPr="008A364C">
        <w:rPr>
          <w:rFonts w:asciiTheme="majorHAnsi" w:hAnsiTheme="majorHAnsi" w:cstheme="majorHAnsi"/>
          <w:sz w:val="24"/>
          <w:szCs w:val="24"/>
        </w:rPr>
        <w:t>Fixa normas de organização e funcionamento do ensino superior e sua articulação com a escola média, e dá outras providências. Disponível em: http://www.planalto.gov.br/ccivil_03/leis/l5540.htm. Acesso em: 9 dez. 2021.</w:t>
      </w:r>
    </w:p>
    <w:p w14:paraId="3B0ECE06" w14:textId="77777777" w:rsidR="00EE3346" w:rsidRPr="008A364C" w:rsidRDefault="00EE3346" w:rsidP="00516038">
      <w:pPr>
        <w:tabs>
          <w:tab w:val="clear" w:pos="1615"/>
        </w:tabs>
        <w:rPr>
          <w:rFonts w:asciiTheme="majorHAnsi" w:hAnsiTheme="majorHAnsi" w:cstheme="majorHAnsi"/>
          <w:sz w:val="24"/>
          <w:szCs w:val="24"/>
        </w:rPr>
      </w:pPr>
      <w:r w:rsidRPr="008A364C">
        <w:rPr>
          <w:rFonts w:asciiTheme="majorHAnsi" w:hAnsiTheme="majorHAnsi" w:cstheme="majorHAnsi"/>
          <w:sz w:val="24"/>
          <w:szCs w:val="24"/>
        </w:rPr>
        <w:t xml:space="preserve">BRASIL, 1988. </w:t>
      </w:r>
      <w:r w:rsidRPr="008A364C">
        <w:rPr>
          <w:rFonts w:asciiTheme="majorHAnsi" w:hAnsiTheme="majorHAnsi" w:cstheme="majorHAnsi"/>
          <w:b/>
          <w:sz w:val="24"/>
          <w:szCs w:val="24"/>
        </w:rPr>
        <w:t>Constituição da República Federativa do Brasil de 1988.</w:t>
      </w:r>
      <w:r w:rsidRPr="008A364C">
        <w:rPr>
          <w:rFonts w:asciiTheme="majorHAnsi" w:hAnsiTheme="majorHAnsi" w:cstheme="majorHAnsi"/>
          <w:sz w:val="24"/>
          <w:szCs w:val="24"/>
        </w:rPr>
        <w:t xml:space="preserve"> Disponível em: http://www.planalto. gov.br/ccivil_03/constituicao/constituicao.htm. Acesso em: 25 nov. 2021.</w:t>
      </w:r>
    </w:p>
    <w:p w14:paraId="420281A3" w14:textId="77777777" w:rsidR="00EE3346" w:rsidRPr="008A364C" w:rsidRDefault="00EE3346" w:rsidP="00516038">
      <w:pPr>
        <w:tabs>
          <w:tab w:val="clear" w:pos="1615"/>
        </w:tabs>
        <w:rPr>
          <w:rFonts w:asciiTheme="majorHAnsi" w:hAnsiTheme="majorHAnsi" w:cstheme="majorHAnsi"/>
          <w:sz w:val="24"/>
          <w:szCs w:val="24"/>
        </w:rPr>
      </w:pPr>
      <w:r w:rsidRPr="008A364C">
        <w:rPr>
          <w:rFonts w:asciiTheme="majorHAnsi" w:hAnsiTheme="majorHAnsi" w:cstheme="majorHAnsi"/>
          <w:sz w:val="24"/>
          <w:szCs w:val="24"/>
        </w:rPr>
        <w:t xml:space="preserve">BRASIL. </w:t>
      </w:r>
      <w:r w:rsidRPr="008A364C">
        <w:rPr>
          <w:rFonts w:asciiTheme="majorHAnsi" w:hAnsiTheme="majorHAnsi" w:cstheme="majorHAnsi"/>
          <w:b/>
          <w:sz w:val="24"/>
          <w:szCs w:val="24"/>
        </w:rPr>
        <w:t>Lei n. 9.394, de 20 de dezembro de 1996.</w:t>
      </w:r>
      <w:r w:rsidRPr="008A364C">
        <w:rPr>
          <w:rFonts w:asciiTheme="majorHAnsi" w:hAnsiTheme="majorHAnsi" w:cstheme="majorHAnsi"/>
          <w:sz w:val="24"/>
          <w:szCs w:val="24"/>
        </w:rPr>
        <w:t xml:space="preserve"> Estabelece as diretrizes e bases da educação nacional. Disponível em: http://www.planalto.gov.br/ccivil_03/leis/l9394.htm. Acesso em: 6 nov. 2021.</w:t>
      </w:r>
    </w:p>
    <w:p w14:paraId="753432A9" w14:textId="77777777" w:rsidR="00EE3346" w:rsidRPr="008A364C" w:rsidRDefault="00EE3346" w:rsidP="00516038">
      <w:pPr>
        <w:tabs>
          <w:tab w:val="clear" w:pos="1615"/>
        </w:tabs>
        <w:rPr>
          <w:rFonts w:asciiTheme="majorHAnsi" w:hAnsiTheme="majorHAnsi" w:cstheme="majorHAnsi"/>
          <w:sz w:val="24"/>
          <w:szCs w:val="24"/>
        </w:rPr>
      </w:pPr>
      <w:r w:rsidRPr="008A364C">
        <w:rPr>
          <w:rFonts w:asciiTheme="majorHAnsi" w:hAnsiTheme="majorHAnsi" w:cstheme="majorHAnsi"/>
          <w:sz w:val="24"/>
          <w:szCs w:val="24"/>
        </w:rPr>
        <w:t xml:space="preserve">CANI, J.B.; SANTIAGO, M.E.V. O papel do Quadro Comum Europeu de Referência para Idiomas: Aprendizagem, Ensino e Avaliação (QCER) na Internacionalização das IES: uma Análise sob a perspectiva do letramento crítico e dos multiletramentos. </w:t>
      </w:r>
      <w:r w:rsidRPr="008A364C">
        <w:rPr>
          <w:rFonts w:asciiTheme="majorHAnsi" w:hAnsiTheme="majorHAnsi" w:cstheme="majorHAnsi"/>
          <w:b/>
          <w:sz w:val="24"/>
          <w:szCs w:val="24"/>
        </w:rPr>
        <w:t>Trabalhos em Linguística Aplicada, v.57, n.2:</w:t>
      </w:r>
      <w:r w:rsidRPr="008A364C">
        <w:rPr>
          <w:rFonts w:asciiTheme="majorHAnsi" w:hAnsiTheme="majorHAnsi" w:cstheme="majorHAnsi"/>
          <w:sz w:val="24"/>
          <w:szCs w:val="24"/>
        </w:rPr>
        <w:t xml:space="preserve"> maio – agosto 2018. </w:t>
      </w:r>
      <w:r w:rsidRPr="008A364C">
        <w:rPr>
          <w:rStyle w:val="group-doi"/>
          <w:rFonts w:asciiTheme="majorHAnsi" w:hAnsiTheme="majorHAnsi" w:cstheme="majorHAnsi"/>
          <w:sz w:val="24"/>
          <w:szCs w:val="24"/>
        </w:rPr>
        <w:t>https://doi.org/10.1590/010318138650002297941</w:t>
      </w:r>
      <w:r w:rsidRPr="008A364C">
        <w:rPr>
          <w:rStyle w:val="group-doi"/>
          <w:rFonts w:asciiTheme="majorHAnsi" w:hAnsiTheme="majorHAnsi" w:cstheme="majorHAnsi"/>
          <w:sz w:val="24"/>
          <w:szCs w:val="24"/>
          <w:shd w:val="clear" w:color="auto" w:fill="FFFFFF"/>
        </w:rPr>
        <w:t> </w:t>
      </w:r>
    </w:p>
    <w:p w14:paraId="6E888589" w14:textId="77777777" w:rsidR="00EE3346" w:rsidRPr="008A364C" w:rsidRDefault="00EE3346" w:rsidP="00516038">
      <w:pPr>
        <w:tabs>
          <w:tab w:val="clear" w:pos="1615"/>
        </w:tabs>
        <w:rPr>
          <w:rFonts w:asciiTheme="majorHAnsi" w:hAnsiTheme="majorHAnsi" w:cstheme="majorHAnsi"/>
          <w:sz w:val="24"/>
          <w:szCs w:val="24"/>
        </w:rPr>
      </w:pPr>
      <w:r w:rsidRPr="008A364C">
        <w:rPr>
          <w:rFonts w:asciiTheme="majorHAnsi" w:hAnsiTheme="majorHAnsi" w:cstheme="majorHAnsi"/>
          <w:color w:val="000000"/>
          <w:sz w:val="24"/>
          <w:szCs w:val="24"/>
          <w:lang w:eastAsia="pt-BR"/>
        </w:rPr>
        <w:t xml:space="preserve">CNE – Conselho Nacional de Educação, 1997. </w:t>
      </w:r>
      <w:r w:rsidRPr="008A364C">
        <w:rPr>
          <w:rFonts w:asciiTheme="majorHAnsi" w:hAnsiTheme="majorHAnsi" w:cstheme="majorHAnsi"/>
          <w:b/>
          <w:sz w:val="24"/>
          <w:szCs w:val="24"/>
        </w:rPr>
        <w:t xml:space="preserve">Orientação para as diretrizes curriculares dos cursos de graduação - </w:t>
      </w:r>
      <w:r w:rsidRPr="008A364C">
        <w:rPr>
          <w:rFonts w:asciiTheme="majorHAnsi" w:hAnsiTheme="majorHAnsi" w:cstheme="majorHAnsi"/>
          <w:b/>
          <w:color w:val="000000"/>
          <w:sz w:val="24"/>
          <w:szCs w:val="24"/>
          <w:lang w:eastAsia="pt-BR"/>
        </w:rPr>
        <w:t>Parecer CNE/CES 776/97</w:t>
      </w:r>
      <w:r w:rsidRPr="008A364C">
        <w:rPr>
          <w:rFonts w:asciiTheme="majorHAnsi" w:hAnsiTheme="majorHAnsi" w:cstheme="majorHAnsi"/>
          <w:color w:val="000000"/>
          <w:sz w:val="24"/>
          <w:szCs w:val="24"/>
          <w:lang w:eastAsia="pt-BR"/>
        </w:rPr>
        <w:t xml:space="preserve">. Disponível em: </w:t>
      </w:r>
      <w:r w:rsidRPr="008A364C">
        <w:rPr>
          <w:rFonts w:asciiTheme="majorHAnsi" w:hAnsiTheme="majorHAnsi" w:cstheme="majorHAnsi"/>
          <w:sz w:val="24"/>
          <w:szCs w:val="24"/>
        </w:rPr>
        <w:t>http://portal.mec.gov.br/index.php?option=com_ docman&amp;view=download&amp;alias=154121-pces776-97&amp;category_slug=agosto-2020-pdf&amp;Itemid=30192. Acesso em: 27 nov. 2021.</w:t>
      </w:r>
    </w:p>
    <w:p w14:paraId="0677DAA0" w14:textId="77777777" w:rsidR="00EE3346" w:rsidRPr="008A364C" w:rsidRDefault="00EE3346" w:rsidP="00516038">
      <w:pPr>
        <w:tabs>
          <w:tab w:val="clear" w:pos="1615"/>
        </w:tabs>
        <w:rPr>
          <w:rFonts w:asciiTheme="majorHAnsi" w:hAnsiTheme="majorHAnsi" w:cstheme="majorHAnsi"/>
          <w:sz w:val="24"/>
          <w:szCs w:val="24"/>
        </w:rPr>
      </w:pPr>
      <w:r w:rsidRPr="008A364C">
        <w:rPr>
          <w:rFonts w:asciiTheme="majorHAnsi" w:hAnsiTheme="majorHAnsi" w:cstheme="majorHAnsi"/>
          <w:sz w:val="24"/>
          <w:szCs w:val="24"/>
        </w:rPr>
        <w:t xml:space="preserve">CNE – Conselho Nacional de Educação, 2002. </w:t>
      </w:r>
      <w:r w:rsidRPr="008A364C">
        <w:rPr>
          <w:rFonts w:asciiTheme="majorHAnsi" w:hAnsiTheme="majorHAnsi" w:cstheme="majorHAnsi"/>
          <w:b/>
          <w:sz w:val="24"/>
          <w:szCs w:val="24"/>
        </w:rPr>
        <w:t>Parecer CNE/CP n. 29, de 3 de dezembro de 2002.</w:t>
      </w:r>
      <w:r w:rsidRPr="008A364C">
        <w:rPr>
          <w:rFonts w:asciiTheme="majorHAnsi" w:hAnsiTheme="majorHAnsi" w:cstheme="majorHAnsi"/>
          <w:sz w:val="24"/>
          <w:szCs w:val="24"/>
        </w:rPr>
        <w:t xml:space="preserve"> Diretrizes Curriculares Nacionais Gerais para a organização e o funcionamento dos cursos superiores de tecnologia. Disponível em: http://portal.mec.gov.br/cne/arquivos/pdf/cp29.pdf. Acesso em: 14 nov. 2021.</w:t>
      </w:r>
    </w:p>
    <w:p w14:paraId="3F0AD75C" w14:textId="77777777" w:rsidR="00EE3346" w:rsidRPr="008A364C" w:rsidRDefault="00EE3346" w:rsidP="00516038">
      <w:pPr>
        <w:tabs>
          <w:tab w:val="clear" w:pos="1615"/>
        </w:tabs>
        <w:rPr>
          <w:rFonts w:asciiTheme="majorHAnsi" w:hAnsiTheme="majorHAnsi" w:cstheme="majorHAnsi"/>
          <w:sz w:val="24"/>
          <w:szCs w:val="24"/>
        </w:rPr>
      </w:pPr>
      <w:r w:rsidRPr="008A364C">
        <w:rPr>
          <w:rFonts w:asciiTheme="majorHAnsi" w:hAnsiTheme="majorHAnsi" w:cstheme="majorHAnsi"/>
          <w:sz w:val="24"/>
          <w:szCs w:val="24"/>
        </w:rPr>
        <w:t xml:space="preserve">CNE – Conselho Nacional de Educação, 2007. </w:t>
      </w:r>
      <w:r w:rsidRPr="008A364C">
        <w:rPr>
          <w:rFonts w:asciiTheme="majorHAnsi" w:hAnsiTheme="majorHAnsi" w:cstheme="majorHAnsi"/>
          <w:b/>
          <w:sz w:val="24"/>
          <w:szCs w:val="24"/>
        </w:rPr>
        <w:t>Resolução n.</w:t>
      </w:r>
      <w:r w:rsidRPr="008A364C">
        <w:rPr>
          <w:rFonts w:asciiTheme="majorHAnsi" w:hAnsiTheme="majorHAnsi" w:cstheme="majorHAnsi"/>
          <w:b/>
          <w:sz w:val="24"/>
          <w:szCs w:val="24"/>
          <w:vertAlign w:val="superscript"/>
        </w:rPr>
        <w:t>o</w:t>
      </w:r>
      <w:r w:rsidRPr="008A364C">
        <w:rPr>
          <w:rFonts w:asciiTheme="majorHAnsi" w:hAnsiTheme="majorHAnsi" w:cstheme="majorHAnsi"/>
          <w:b/>
          <w:sz w:val="24"/>
          <w:szCs w:val="24"/>
        </w:rPr>
        <w:t xml:space="preserve"> 2, de 18 de junho de 2007.</w:t>
      </w:r>
      <w:r w:rsidRPr="008A364C">
        <w:rPr>
          <w:rFonts w:asciiTheme="majorHAnsi" w:hAnsiTheme="majorHAnsi" w:cstheme="majorHAnsi"/>
          <w:sz w:val="24"/>
          <w:szCs w:val="24"/>
        </w:rPr>
        <w:t xml:space="preserve"> Dispõe sobre carga horária mínima e procedimentos relativos à integralização e duração dos cursos de graduação, bacharelados, na modalidade presencial. Disponível em http://portal.mec.gov.br/ dmdocuments/rces002_07.pdf. Acesso em: 9 nov. 2021.</w:t>
      </w:r>
    </w:p>
    <w:p w14:paraId="1DF4B6D8" w14:textId="77777777" w:rsidR="00EE3346" w:rsidRPr="008A364C" w:rsidRDefault="00EE3346" w:rsidP="00516038">
      <w:pPr>
        <w:tabs>
          <w:tab w:val="clear" w:pos="1615"/>
        </w:tabs>
        <w:rPr>
          <w:rFonts w:asciiTheme="majorHAnsi" w:hAnsiTheme="majorHAnsi" w:cstheme="majorHAnsi"/>
          <w:sz w:val="24"/>
          <w:szCs w:val="24"/>
        </w:rPr>
      </w:pPr>
      <w:r w:rsidRPr="008A364C">
        <w:rPr>
          <w:rFonts w:asciiTheme="majorHAnsi" w:hAnsiTheme="majorHAnsi" w:cstheme="majorHAnsi"/>
          <w:sz w:val="24"/>
          <w:szCs w:val="24"/>
        </w:rPr>
        <w:t xml:space="preserve">CNE – Conselho Nacional de Educação, 2009. </w:t>
      </w:r>
      <w:r w:rsidRPr="008A364C">
        <w:rPr>
          <w:rFonts w:asciiTheme="majorHAnsi" w:hAnsiTheme="majorHAnsi" w:cstheme="majorHAnsi"/>
          <w:b/>
          <w:sz w:val="24"/>
          <w:szCs w:val="24"/>
        </w:rPr>
        <w:t>Resolução n. 4, de 6 de abril de 2009.</w:t>
      </w:r>
      <w:r w:rsidRPr="008A364C">
        <w:rPr>
          <w:rFonts w:asciiTheme="majorHAnsi" w:hAnsiTheme="majorHAnsi" w:cstheme="majorHAnsi"/>
          <w:sz w:val="24"/>
          <w:szCs w:val="24"/>
        </w:rPr>
        <w:t xml:space="preserve"> Dispõe sobre carga horária mínima e procedimentos relativos à integralização e duração dos cursos de graduação em BioMedicina, Ciências Biológicas, Educação Física, Enfermagem, Farmácia, Fisioterapia, Fonoaudiologia, Nutrição e Terapia Ocupacional, bacharelados, na modalidade presencial. Disponível em: http://portal.mec.gov.br/dmdocuments/rces004_09.pdf. Acesso em: 9 nov. 2021.</w:t>
      </w:r>
    </w:p>
    <w:p w14:paraId="50174ED0" w14:textId="77777777" w:rsidR="00EE3346" w:rsidRPr="008A364C" w:rsidRDefault="00EE3346" w:rsidP="00516038">
      <w:pPr>
        <w:tabs>
          <w:tab w:val="clear" w:pos="1615"/>
        </w:tabs>
        <w:rPr>
          <w:rFonts w:asciiTheme="majorHAnsi" w:hAnsiTheme="majorHAnsi" w:cstheme="majorHAnsi"/>
          <w:sz w:val="24"/>
          <w:szCs w:val="24"/>
        </w:rPr>
      </w:pPr>
      <w:r w:rsidRPr="008A364C">
        <w:rPr>
          <w:rFonts w:asciiTheme="majorHAnsi" w:hAnsiTheme="majorHAnsi" w:cstheme="majorHAnsi"/>
          <w:sz w:val="24"/>
          <w:szCs w:val="24"/>
        </w:rPr>
        <w:t xml:space="preserve">CNE – Conselho Nacional de Educação, 2011. </w:t>
      </w:r>
      <w:r w:rsidRPr="008A364C">
        <w:rPr>
          <w:rFonts w:asciiTheme="majorHAnsi" w:hAnsiTheme="majorHAnsi" w:cstheme="majorHAnsi"/>
          <w:b/>
          <w:sz w:val="24"/>
          <w:szCs w:val="24"/>
        </w:rPr>
        <w:t xml:space="preserve">Parecer CNE/CES n. 266/2011, de 6 de julho de 2011. </w:t>
      </w:r>
      <w:r w:rsidRPr="008A364C">
        <w:rPr>
          <w:rFonts w:asciiTheme="majorHAnsi" w:hAnsiTheme="majorHAnsi" w:cstheme="majorHAnsi"/>
          <w:sz w:val="24"/>
          <w:szCs w:val="24"/>
        </w:rPr>
        <w:t>Referenciais orientadores para os Bacharelados Interdisciplinares e Similares das Universidades Federais</w:t>
      </w:r>
      <w:r w:rsidRPr="008A364C">
        <w:rPr>
          <w:rFonts w:asciiTheme="majorHAnsi" w:hAnsiTheme="majorHAnsi" w:cstheme="majorHAnsi"/>
          <w:b/>
          <w:sz w:val="24"/>
          <w:szCs w:val="24"/>
        </w:rPr>
        <w:t xml:space="preserve">. </w:t>
      </w:r>
      <w:r w:rsidRPr="008A364C">
        <w:rPr>
          <w:rFonts w:asciiTheme="majorHAnsi" w:hAnsiTheme="majorHAnsi" w:cstheme="majorHAnsi"/>
          <w:sz w:val="24"/>
          <w:szCs w:val="24"/>
        </w:rPr>
        <w:t>Disponível em: http://portal.mec.gov.br/index.php?option=com_docman&amp;view=download&amp;alias=8907-pces266-11&amp;category_slug=setembro-2011-pdf&amp;Itemid=30192. Acesso em: 18 nov. 2021.</w:t>
      </w:r>
    </w:p>
    <w:p w14:paraId="2937734E" w14:textId="77777777" w:rsidR="00EE3346" w:rsidRPr="008A364C" w:rsidRDefault="00EE3346" w:rsidP="00516038">
      <w:pPr>
        <w:tabs>
          <w:tab w:val="clear" w:pos="1615"/>
        </w:tabs>
        <w:rPr>
          <w:rFonts w:asciiTheme="majorHAnsi" w:hAnsiTheme="majorHAnsi" w:cstheme="majorHAnsi"/>
          <w:sz w:val="24"/>
          <w:szCs w:val="24"/>
        </w:rPr>
      </w:pPr>
      <w:r w:rsidRPr="008A364C">
        <w:rPr>
          <w:rFonts w:asciiTheme="majorHAnsi" w:hAnsiTheme="majorHAnsi" w:cstheme="majorHAnsi"/>
          <w:sz w:val="24"/>
          <w:szCs w:val="24"/>
        </w:rPr>
        <w:t xml:space="preserve">CNE – Conselho Nacional de Educação, 2016. </w:t>
      </w:r>
      <w:r w:rsidRPr="008A364C">
        <w:rPr>
          <w:rFonts w:asciiTheme="majorHAnsi" w:hAnsiTheme="majorHAnsi" w:cstheme="majorHAnsi"/>
          <w:b/>
          <w:sz w:val="24"/>
          <w:szCs w:val="24"/>
        </w:rPr>
        <w:t xml:space="preserve">Resolução n. 5, de 16 de novembro de 2016. </w:t>
      </w:r>
      <w:r w:rsidRPr="008A364C">
        <w:rPr>
          <w:rFonts w:asciiTheme="majorHAnsi" w:hAnsiTheme="majorHAnsi" w:cstheme="majorHAnsi"/>
          <w:sz w:val="24"/>
          <w:szCs w:val="24"/>
        </w:rPr>
        <w:t>Institui as Diretrizes Curriculares Nacionais para os cursos de graduação na área da Computação, abrangendo os cursos de bacharelado em Ciência da Computação, em Sistemas de Informação, em Engenharia de Computação, em Engenharia de Software e de licenciatura em Computação, e dá outras providências. Disponível em: http://portal.mec.gov.br/index.php?option=com_docman&amp;view=download&amp;alias=52101-rces005-16-pdf&amp;category_slug=novembro-2016-pdf&amp;Itemid=30192. Acesso em: 11 nov., 2021.</w:t>
      </w:r>
    </w:p>
    <w:p w14:paraId="4F4F46D6" w14:textId="77777777" w:rsidR="00EE3346" w:rsidRPr="008A364C" w:rsidRDefault="00EE3346" w:rsidP="00516038">
      <w:pPr>
        <w:tabs>
          <w:tab w:val="clear" w:pos="1615"/>
        </w:tabs>
        <w:rPr>
          <w:rFonts w:asciiTheme="majorHAnsi" w:hAnsiTheme="majorHAnsi" w:cstheme="majorHAnsi"/>
          <w:sz w:val="24"/>
          <w:szCs w:val="24"/>
        </w:rPr>
      </w:pPr>
      <w:r w:rsidRPr="008A364C">
        <w:rPr>
          <w:rFonts w:asciiTheme="majorHAnsi" w:hAnsiTheme="majorHAnsi" w:cstheme="majorHAnsi"/>
          <w:sz w:val="24"/>
          <w:szCs w:val="24"/>
        </w:rPr>
        <w:t xml:space="preserve">CNE – Conselho Nacional de Educação, 2019. </w:t>
      </w:r>
      <w:r w:rsidRPr="008A364C">
        <w:rPr>
          <w:rFonts w:asciiTheme="majorHAnsi" w:hAnsiTheme="majorHAnsi" w:cstheme="majorHAnsi"/>
          <w:b/>
          <w:sz w:val="24"/>
          <w:szCs w:val="24"/>
        </w:rPr>
        <w:t xml:space="preserve">Resolução n. 2, de 24 de abril de 2019. </w:t>
      </w:r>
      <w:r w:rsidRPr="008A364C">
        <w:rPr>
          <w:rFonts w:asciiTheme="majorHAnsi" w:hAnsiTheme="majorHAnsi" w:cstheme="majorHAnsi"/>
          <w:sz w:val="24"/>
          <w:szCs w:val="24"/>
        </w:rPr>
        <w:t xml:space="preserve">Institui as Diretrizes Curriculares Nacionais do Curso de Graduação em Engenharia. </w:t>
      </w:r>
      <w:r w:rsidRPr="008A364C">
        <w:rPr>
          <w:rFonts w:asciiTheme="majorHAnsi" w:hAnsiTheme="majorHAnsi" w:cstheme="majorHAnsi"/>
          <w:sz w:val="24"/>
          <w:szCs w:val="24"/>
          <w:lang w:val="en-GB"/>
        </w:rPr>
        <w:t xml:space="preserve">Disponível em: http://portal.mec.gov.br/ index.php?option=com_docman&amp;view=download&amp;alias=112681-rces002-19&amp;category_slug=abril-2019-pdf&amp;Itemid=30192. </w:t>
      </w:r>
      <w:r w:rsidRPr="008A364C">
        <w:rPr>
          <w:rFonts w:asciiTheme="majorHAnsi" w:hAnsiTheme="majorHAnsi" w:cstheme="majorHAnsi"/>
          <w:sz w:val="24"/>
          <w:szCs w:val="24"/>
        </w:rPr>
        <w:t>Acesso em: 9 nov. 2021.</w:t>
      </w:r>
    </w:p>
    <w:p w14:paraId="2F5D4EDE" w14:textId="77777777" w:rsidR="00EE3346" w:rsidRPr="008A364C" w:rsidRDefault="00EE3346" w:rsidP="00516038">
      <w:pPr>
        <w:tabs>
          <w:tab w:val="clear" w:pos="1615"/>
        </w:tabs>
        <w:rPr>
          <w:rFonts w:asciiTheme="majorHAnsi" w:hAnsiTheme="majorHAnsi" w:cstheme="majorHAnsi"/>
          <w:sz w:val="24"/>
          <w:szCs w:val="24"/>
        </w:rPr>
      </w:pPr>
      <w:r w:rsidRPr="008A364C">
        <w:rPr>
          <w:rFonts w:asciiTheme="majorHAnsi" w:hAnsiTheme="majorHAnsi" w:cstheme="majorHAnsi"/>
          <w:sz w:val="24"/>
          <w:szCs w:val="24"/>
        </w:rPr>
        <w:t xml:space="preserve">DISTRITO FEDERAL, 2021. </w:t>
      </w:r>
      <w:r w:rsidRPr="008A364C">
        <w:rPr>
          <w:rFonts w:asciiTheme="majorHAnsi" w:hAnsiTheme="majorHAnsi" w:cstheme="majorHAnsi"/>
          <w:b/>
          <w:sz w:val="24"/>
          <w:szCs w:val="24"/>
        </w:rPr>
        <w:t>Lei Complementar n. 987, de 26 de julho de 2021</w:t>
      </w:r>
      <w:r w:rsidRPr="008A364C">
        <w:rPr>
          <w:rFonts w:asciiTheme="majorHAnsi" w:hAnsiTheme="majorHAnsi" w:cstheme="majorHAnsi"/>
          <w:sz w:val="24"/>
          <w:szCs w:val="24"/>
        </w:rPr>
        <w:t>. Autoriza a criação e define as áreas de atuação da Universidade do Distrito Federal – UnDF e dá outras providências. Disponível em: http://www.tc.df.gov.br/ sinj/Norma/d63441567ac346e3bb12c2ac68f43b7b/LC_987_2021.html. Acesso em: 6 dez. 2021.</w:t>
      </w:r>
    </w:p>
    <w:p w14:paraId="29A76D4C" w14:textId="77777777" w:rsidR="00EE3346" w:rsidRPr="008A364C" w:rsidRDefault="00EE3346" w:rsidP="00516038">
      <w:pPr>
        <w:tabs>
          <w:tab w:val="clear" w:pos="1615"/>
        </w:tabs>
        <w:rPr>
          <w:rFonts w:asciiTheme="majorHAnsi" w:hAnsiTheme="majorHAnsi" w:cstheme="majorHAnsi"/>
          <w:sz w:val="24"/>
          <w:szCs w:val="24"/>
        </w:rPr>
      </w:pPr>
      <w:r w:rsidRPr="008A364C">
        <w:rPr>
          <w:rFonts w:asciiTheme="majorHAnsi" w:hAnsiTheme="majorHAnsi" w:cstheme="majorHAnsi"/>
          <w:sz w:val="24"/>
          <w:szCs w:val="24"/>
        </w:rPr>
        <w:t xml:space="preserve">ESTEVES, J.C., 2015. </w:t>
      </w:r>
      <w:r w:rsidRPr="008A364C">
        <w:rPr>
          <w:rFonts w:asciiTheme="majorHAnsi" w:hAnsiTheme="majorHAnsi" w:cstheme="majorHAnsi"/>
          <w:b/>
          <w:sz w:val="24"/>
          <w:szCs w:val="24"/>
        </w:rPr>
        <w:t>A importância do Inglês na Tecnologia da Informação.</w:t>
      </w:r>
      <w:r w:rsidRPr="008A364C">
        <w:rPr>
          <w:rFonts w:asciiTheme="majorHAnsi" w:hAnsiTheme="majorHAnsi" w:cstheme="majorHAnsi"/>
          <w:sz w:val="24"/>
          <w:szCs w:val="24"/>
        </w:rPr>
        <w:t xml:space="preserve"> Disponível em: https://www.profissionaisti. com.br/a-importancia-do-ingles-na-tecnologia-da-informacao/. Acesso em 15 dez. 2021.</w:t>
      </w:r>
    </w:p>
    <w:p w14:paraId="1718BD80" w14:textId="77777777" w:rsidR="00EE3346" w:rsidRPr="008A364C" w:rsidRDefault="00EE3346" w:rsidP="00516038">
      <w:pPr>
        <w:tabs>
          <w:tab w:val="clear" w:pos="1615"/>
        </w:tabs>
        <w:rPr>
          <w:rFonts w:asciiTheme="majorHAnsi" w:hAnsiTheme="majorHAnsi" w:cstheme="majorHAnsi"/>
          <w:sz w:val="24"/>
          <w:szCs w:val="24"/>
        </w:rPr>
      </w:pPr>
      <w:r w:rsidRPr="008A364C">
        <w:rPr>
          <w:rFonts w:asciiTheme="majorHAnsi" w:hAnsiTheme="majorHAnsi" w:cstheme="majorHAnsi"/>
          <w:sz w:val="24"/>
          <w:szCs w:val="24"/>
        </w:rPr>
        <w:t xml:space="preserve">INTELI – Instituto de Tecnologia e Liderança, 2021. </w:t>
      </w:r>
      <w:r w:rsidRPr="008A364C">
        <w:rPr>
          <w:rFonts w:asciiTheme="majorHAnsi" w:hAnsiTheme="majorHAnsi" w:cstheme="majorHAnsi"/>
          <w:b/>
          <w:sz w:val="24"/>
          <w:szCs w:val="24"/>
        </w:rPr>
        <w:t>Edital Graduação Inteli – 2022</w:t>
      </w:r>
      <w:r w:rsidRPr="008A364C">
        <w:rPr>
          <w:rFonts w:asciiTheme="majorHAnsi" w:hAnsiTheme="majorHAnsi" w:cstheme="majorHAnsi"/>
          <w:sz w:val="24"/>
          <w:szCs w:val="24"/>
        </w:rPr>
        <w:t>. Disponível em: https://www.inteli.edu.br/wp-content/uploads/2021/11/20172006/Inteli-Edital-do-Processo-Seletivo-2022-1-v1.0.6.pdf. Acesso em: 10 dez. 2021.</w:t>
      </w:r>
    </w:p>
    <w:p w14:paraId="2B2A9684" w14:textId="77777777" w:rsidR="00EE3346" w:rsidRPr="008A364C" w:rsidRDefault="00EE3346" w:rsidP="00516038">
      <w:pPr>
        <w:tabs>
          <w:tab w:val="clear" w:pos="1615"/>
        </w:tabs>
        <w:rPr>
          <w:rFonts w:asciiTheme="majorHAnsi" w:hAnsiTheme="majorHAnsi" w:cstheme="majorHAnsi"/>
          <w:sz w:val="24"/>
          <w:szCs w:val="24"/>
        </w:rPr>
      </w:pPr>
      <w:r w:rsidRPr="008A364C">
        <w:rPr>
          <w:rFonts w:asciiTheme="majorHAnsi" w:hAnsiTheme="majorHAnsi" w:cstheme="majorHAnsi"/>
          <w:sz w:val="24"/>
          <w:szCs w:val="24"/>
        </w:rPr>
        <w:t xml:space="preserve">MEC – Ministério da Educação, 2016. </w:t>
      </w:r>
      <w:r w:rsidRPr="008A364C">
        <w:rPr>
          <w:rFonts w:asciiTheme="majorHAnsi" w:hAnsiTheme="majorHAnsi" w:cstheme="majorHAnsi"/>
          <w:b/>
          <w:sz w:val="24"/>
          <w:szCs w:val="24"/>
        </w:rPr>
        <w:t>Catálogo Nacional de Cursos Superiores de Tecnologia.</w:t>
      </w:r>
      <w:r w:rsidRPr="008A364C">
        <w:rPr>
          <w:rFonts w:asciiTheme="majorHAnsi" w:hAnsiTheme="majorHAnsi" w:cstheme="majorHAnsi"/>
          <w:sz w:val="24"/>
          <w:szCs w:val="24"/>
        </w:rPr>
        <w:t xml:space="preserve"> Disponível em: http://portal.mec.gov.br/index.php?option=com_docman&amp;view=download&amp;alias=98211-cncst-2016-a&amp;category_slug=outubro-2018-pdf-1&amp;Itemid=30192. Acesso em: 9 dez. 2021.</w:t>
      </w:r>
    </w:p>
    <w:p w14:paraId="1BDD1694" w14:textId="77777777" w:rsidR="00EE3346" w:rsidRPr="008A364C" w:rsidRDefault="00EE3346" w:rsidP="00516038">
      <w:pPr>
        <w:tabs>
          <w:tab w:val="clear" w:pos="1615"/>
        </w:tabs>
        <w:rPr>
          <w:rFonts w:asciiTheme="majorHAnsi" w:hAnsiTheme="majorHAnsi" w:cstheme="majorHAnsi"/>
          <w:sz w:val="24"/>
          <w:szCs w:val="24"/>
        </w:rPr>
      </w:pPr>
      <w:r w:rsidRPr="008A364C">
        <w:rPr>
          <w:rFonts w:asciiTheme="majorHAnsi" w:hAnsiTheme="majorHAnsi" w:cstheme="majorHAnsi"/>
          <w:sz w:val="24"/>
          <w:szCs w:val="24"/>
        </w:rPr>
        <w:t xml:space="preserve">PIVA JR. D.; CORTELAZZO, A.L. Redução das taxas de evasão no ensino superior pela mudança do paradigma educacional. </w:t>
      </w:r>
      <w:r w:rsidRPr="008A364C">
        <w:rPr>
          <w:rFonts w:asciiTheme="majorHAnsi" w:hAnsiTheme="majorHAnsi" w:cstheme="majorHAnsi"/>
          <w:b/>
          <w:sz w:val="24"/>
          <w:szCs w:val="24"/>
        </w:rPr>
        <w:t>In:</w:t>
      </w:r>
      <w:r w:rsidRPr="008A364C">
        <w:rPr>
          <w:rFonts w:asciiTheme="majorHAnsi" w:hAnsiTheme="majorHAnsi" w:cstheme="majorHAnsi"/>
          <w:sz w:val="24"/>
          <w:szCs w:val="24"/>
        </w:rPr>
        <w:t xml:space="preserve"> </w:t>
      </w:r>
      <w:r w:rsidRPr="008A364C">
        <w:rPr>
          <w:rFonts w:asciiTheme="majorHAnsi" w:hAnsiTheme="majorHAnsi" w:cstheme="majorHAnsi"/>
          <w:b/>
          <w:sz w:val="24"/>
          <w:szCs w:val="24"/>
        </w:rPr>
        <w:t>E.R. Martins (org.) Informática na educação e suas tecnologias.</w:t>
      </w:r>
      <w:r w:rsidRPr="008A364C">
        <w:rPr>
          <w:rFonts w:asciiTheme="majorHAnsi" w:hAnsiTheme="majorHAnsi" w:cstheme="majorHAnsi"/>
          <w:sz w:val="24"/>
          <w:szCs w:val="24"/>
        </w:rPr>
        <w:t xml:space="preserve"> Cap. 4. Ponta Grossa, PR: Atena, 2019. DOI 10.22533/at/ed/5021920124.</w:t>
      </w:r>
    </w:p>
    <w:p w14:paraId="0BB7F054" w14:textId="77777777" w:rsidR="00EE3346" w:rsidRPr="008A364C" w:rsidRDefault="00EE3346" w:rsidP="00516038">
      <w:pPr>
        <w:tabs>
          <w:tab w:val="clear" w:pos="1615"/>
        </w:tabs>
        <w:rPr>
          <w:rFonts w:asciiTheme="majorHAnsi" w:hAnsiTheme="majorHAnsi" w:cstheme="majorHAnsi"/>
          <w:sz w:val="24"/>
          <w:szCs w:val="24"/>
        </w:rPr>
      </w:pPr>
      <w:r w:rsidRPr="008A364C">
        <w:rPr>
          <w:rFonts w:asciiTheme="majorHAnsi" w:hAnsiTheme="majorHAnsi" w:cstheme="majorHAnsi"/>
          <w:sz w:val="24"/>
          <w:szCs w:val="24"/>
        </w:rPr>
        <w:t xml:space="preserve">UFABC – Universidade Federal do ABC, 2017. </w:t>
      </w:r>
      <w:r w:rsidRPr="008A364C">
        <w:rPr>
          <w:rFonts w:asciiTheme="majorHAnsi" w:hAnsiTheme="majorHAnsi" w:cstheme="majorHAnsi"/>
          <w:b/>
          <w:sz w:val="24"/>
          <w:szCs w:val="24"/>
        </w:rPr>
        <w:t>Pró-Reitoria de Graduação. Cursos de Graduação.</w:t>
      </w:r>
      <w:r w:rsidRPr="008A364C">
        <w:rPr>
          <w:rFonts w:asciiTheme="majorHAnsi" w:hAnsiTheme="majorHAnsi" w:cstheme="majorHAnsi"/>
          <w:sz w:val="24"/>
          <w:szCs w:val="24"/>
        </w:rPr>
        <w:t xml:space="preserve"> Disponível em: https://prograd.ufabc.edu.br/cursos/ ?source=Portal. Acesso em: 10 dez. 2021.</w:t>
      </w:r>
    </w:p>
    <w:p w14:paraId="2A8B81B6" w14:textId="77777777" w:rsidR="00EE3346" w:rsidRPr="008A364C" w:rsidRDefault="00EE3346" w:rsidP="00516038">
      <w:pPr>
        <w:tabs>
          <w:tab w:val="clear" w:pos="1615"/>
        </w:tabs>
        <w:rPr>
          <w:rFonts w:asciiTheme="majorHAnsi" w:hAnsiTheme="majorHAnsi" w:cstheme="majorHAnsi"/>
          <w:sz w:val="24"/>
          <w:szCs w:val="24"/>
        </w:rPr>
      </w:pPr>
      <w:r w:rsidRPr="008A364C">
        <w:rPr>
          <w:rFonts w:asciiTheme="majorHAnsi" w:hAnsiTheme="majorHAnsi" w:cstheme="majorHAnsi"/>
          <w:sz w:val="24"/>
          <w:szCs w:val="24"/>
        </w:rPr>
        <w:t xml:space="preserve">UFABC – Universidade Federal do ABC, 2021. </w:t>
      </w:r>
      <w:r w:rsidRPr="008A364C">
        <w:rPr>
          <w:rFonts w:asciiTheme="majorHAnsi" w:hAnsiTheme="majorHAnsi" w:cstheme="majorHAnsi"/>
          <w:b/>
          <w:sz w:val="24"/>
          <w:szCs w:val="24"/>
        </w:rPr>
        <w:t>Inscrições para Ingresso.</w:t>
      </w:r>
      <w:r w:rsidRPr="008A364C">
        <w:rPr>
          <w:rFonts w:asciiTheme="majorHAnsi" w:hAnsiTheme="majorHAnsi" w:cstheme="majorHAnsi"/>
          <w:sz w:val="24"/>
          <w:szCs w:val="24"/>
        </w:rPr>
        <w:t xml:space="preserve"> Disponível em: https://www.ufabc. edu.br/noticias/inscricoes-para-ingresso-na-ufabc-via-sisu-comecam-terca-feira-06-de-abril. Acesso em: 10 dez. 2021.</w:t>
      </w:r>
    </w:p>
    <w:p w14:paraId="44FBE9A0" w14:textId="77777777" w:rsidR="00EE3346" w:rsidRPr="008A364C" w:rsidRDefault="00EE3346" w:rsidP="00516038">
      <w:pPr>
        <w:tabs>
          <w:tab w:val="clear" w:pos="1615"/>
        </w:tabs>
        <w:rPr>
          <w:rFonts w:asciiTheme="majorHAnsi" w:hAnsiTheme="majorHAnsi" w:cstheme="majorHAnsi"/>
          <w:sz w:val="24"/>
          <w:szCs w:val="24"/>
        </w:rPr>
      </w:pPr>
      <w:r w:rsidRPr="008A364C">
        <w:rPr>
          <w:rFonts w:asciiTheme="majorHAnsi" w:hAnsiTheme="majorHAnsi" w:cstheme="majorHAnsi"/>
          <w:sz w:val="24"/>
          <w:szCs w:val="24"/>
        </w:rPr>
        <w:t xml:space="preserve">UNIAMÉRICA – Centro Universitário das Américas, 2021. </w:t>
      </w:r>
      <w:r w:rsidRPr="008A364C">
        <w:rPr>
          <w:rFonts w:asciiTheme="majorHAnsi" w:hAnsiTheme="majorHAnsi" w:cstheme="majorHAnsi"/>
          <w:b/>
          <w:sz w:val="24"/>
          <w:szCs w:val="24"/>
        </w:rPr>
        <w:t>Portaria para o Processo Seletivo 2022/1</w:t>
      </w:r>
      <w:r w:rsidRPr="008A364C">
        <w:rPr>
          <w:rFonts w:asciiTheme="majorHAnsi" w:hAnsiTheme="majorHAnsi" w:cstheme="majorHAnsi"/>
          <w:sz w:val="24"/>
          <w:szCs w:val="24"/>
        </w:rPr>
        <w:t>. Disponível em https://www.uniamerica.br/docs/processo-seletivo/edital-012-2021-processo-seletivo-2022-1-campus-boulevard.pdf. Acesso em: 10 dez. 2021.</w:t>
      </w:r>
    </w:p>
    <w:p w14:paraId="0F3E760C" w14:textId="77777777" w:rsidR="00EE3346" w:rsidRPr="008A364C" w:rsidRDefault="00EE3346" w:rsidP="00516038">
      <w:pPr>
        <w:tabs>
          <w:tab w:val="clear" w:pos="1615"/>
        </w:tabs>
        <w:rPr>
          <w:rFonts w:asciiTheme="majorHAnsi" w:hAnsiTheme="majorHAnsi" w:cstheme="majorHAnsi"/>
          <w:sz w:val="24"/>
          <w:szCs w:val="24"/>
        </w:rPr>
      </w:pPr>
      <w:r w:rsidRPr="008A364C">
        <w:rPr>
          <w:rFonts w:asciiTheme="majorHAnsi" w:hAnsiTheme="majorHAnsi" w:cstheme="majorHAnsi"/>
          <w:sz w:val="24"/>
          <w:szCs w:val="24"/>
        </w:rPr>
        <w:t xml:space="preserve">UNIVESP – Universidade Virtual do Estado de São Paulo, 2021. </w:t>
      </w:r>
      <w:r w:rsidRPr="008A364C">
        <w:rPr>
          <w:rFonts w:asciiTheme="majorHAnsi" w:hAnsiTheme="majorHAnsi" w:cstheme="majorHAnsi"/>
          <w:b/>
          <w:sz w:val="24"/>
          <w:szCs w:val="24"/>
        </w:rPr>
        <w:t>Vestibular 2021</w:t>
      </w:r>
      <w:r w:rsidRPr="008A364C">
        <w:rPr>
          <w:rFonts w:asciiTheme="majorHAnsi" w:hAnsiTheme="majorHAnsi" w:cstheme="majorHAnsi"/>
          <w:sz w:val="24"/>
          <w:szCs w:val="24"/>
        </w:rPr>
        <w:t>. Disponível em: https://univesp.br/vestibular. Acesso em: 10 dez. 2021.</w:t>
      </w:r>
    </w:p>
    <w:p w14:paraId="6A435272" w14:textId="77777777" w:rsidR="00EE3346" w:rsidRPr="00516038" w:rsidRDefault="00EE3346" w:rsidP="00516038">
      <w:pPr>
        <w:tabs>
          <w:tab w:val="clear" w:pos="1615"/>
        </w:tabs>
        <w:spacing w:line="259" w:lineRule="auto"/>
        <w:rPr>
          <w:rFonts w:asciiTheme="majorHAnsi" w:hAnsiTheme="majorHAnsi" w:cstheme="majorHAnsi"/>
        </w:rPr>
      </w:pPr>
      <w:r w:rsidRPr="00516038">
        <w:rPr>
          <w:rFonts w:asciiTheme="majorHAnsi" w:hAnsiTheme="majorHAnsi" w:cstheme="majorHAnsi"/>
        </w:rPr>
        <w:br w:type="page"/>
      </w:r>
    </w:p>
    <w:p w14:paraId="33BEC013" w14:textId="77777777" w:rsidR="00EE3346" w:rsidRPr="00516038" w:rsidRDefault="00EE3346" w:rsidP="00516038">
      <w:pPr>
        <w:tabs>
          <w:tab w:val="clear" w:pos="1615"/>
        </w:tabs>
        <w:rPr>
          <w:rFonts w:asciiTheme="majorHAnsi" w:hAnsiTheme="majorHAnsi" w:cstheme="majorHAnsi"/>
        </w:rPr>
      </w:pPr>
    </w:p>
    <w:p w14:paraId="37DB5884" w14:textId="77777777" w:rsidR="00EE3346" w:rsidRPr="008A364C" w:rsidRDefault="00EE3346" w:rsidP="008A364C">
      <w:pPr>
        <w:pStyle w:val="Ttulo1"/>
        <w:numPr>
          <w:ilvl w:val="0"/>
          <w:numId w:val="1"/>
        </w:numPr>
        <w:tabs>
          <w:tab w:val="clear" w:pos="1615"/>
        </w:tabs>
        <w:spacing w:before="0" w:after="0" w:line="360" w:lineRule="auto"/>
        <w:ind w:left="432"/>
        <w:jc w:val="both"/>
        <w:rPr>
          <w:rFonts w:asciiTheme="majorHAnsi" w:hAnsiTheme="majorHAnsi" w:cstheme="majorHAnsi"/>
          <w:color w:val="4875BD"/>
        </w:rPr>
      </w:pPr>
      <w:bookmarkStart w:id="93" w:name="_Toc102135018"/>
      <w:r w:rsidRPr="008A364C">
        <w:rPr>
          <w:rFonts w:asciiTheme="majorHAnsi" w:hAnsiTheme="majorHAnsi" w:cstheme="majorHAnsi"/>
          <w:color w:val="4875BD"/>
        </w:rPr>
        <w:t>CONSIDERAÇÕES FINAIS</w:t>
      </w:r>
      <w:bookmarkEnd w:id="93"/>
    </w:p>
    <w:p w14:paraId="74DFA1F5" w14:textId="1446101D"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Essas considerações são quase que um sumário executivo do que foi exposto nos quatro capítulos que formam o presente relatório.</w:t>
      </w:r>
    </w:p>
    <w:p w14:paraId="42552452" w14:textId="5EE4F57C"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A criação da UnDF trouxe importante alternativa para a melhoria da oferta de vagas públicas no Distrito Federal do país, com influência direta em toda a RIDE. A instituição herda uma série de iniciativas que já eram desenvolvidas com recursos distritais, em especial os cursos de graduação em medicina, enfermagem e gestão pública, mestrados na área de saúde e outras ofertas de cursos e convênios realizados pela Funab, estrutura extinta para a criação da Universidade.</w:t>
      </w:r>
    </w:p>
    <w:p w14:paraId="575F426B" w14:textId="10AA84CB"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A ideia do presente relatório é possibilitar que a estruturação e que o funcionamento da UnDF possam ocorrer a partir da criação de cursos da área de computação, com possibilidades de ampliação da área de engenharia e tecnologias e com a expansão para as outras áreas, cujos embriões já existem e devem ser gradativamente incorporados à nova forma de gestão e organização curricular da instituição, agora com autonomia constitucional garantida em função de sua organização como Universidade.</w:t>
      </w:r>
    </w:p>
    <w:p w14:paraId="7C83DA89" w14:textId="78B5250D"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São sugeridos, dessa forma, que os ingressos continuem sendo feitos por meio do SiSU, com adequação dos pesos das diferentes provas do ENEM para essa área, já que isso já é realizado para os cursos da área da saúde. Também é sugerida a revisão do sistema de cotas para possibilitar maior inclusão de estudantes de classes menos favorecidas e de etnias e raças (no sentido sociológico) normalmente excluídos do ensino superior. Finalmente, é chamada a atenção para o fato de que poderia ser estabelecido um percentual de acréscimo para cidadãos do Distrito Federal e também um acréscimo para cidadãos da RIDE, um pouco menor já que a UnDF é uma IES pública criada e mantida pelo DF. Isso já ocorre em diversas instituições que participam ou não do SiSU, a fim de garantir maior acesso ao ensino superior para a população local, com contribuição mais efetiva com o seu desenvolvimento e fixação.</w:t>
      </w:r>
    </w:p>
    <w:p w14:paraId="6963A78A" w14:textId="585B6499"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O trabalho vem sendo realizado para permitir o primeiro ingresso no segundo semestre de 2022 e é clara a existência de demanda qualificada para ocupar as vagas ofertadas na área da computação, aí incluídas quatro formações: Engenharia de Computação e Ciência Da Computação, já existentes na UnB, mas com alta relação candidato/vaga; Engenharia de Software e Sistemas de Informação, presentes em IES privadas e também com alta demanda. Além dessa baixa oferta pública, as instituições privadas acabam não preenchendo todas as vagas oferecidas, apesar da procura, em virtude possivelmente das dificuldades socioeconômicas dos aprovados que não encontram formas de financiamento ou de apoio financeiro, o que aumenta a importância da UnDF. Isso também reforça a sugestão de que seja feita uma oferta inicial de pelo menos 672 vagas para os quatro cursos, com metade delas em cada turno (diurno e noturno) e entrada comum às quatro formações. Essa quantidade exigiria uma estrutura de oito salas para recebimento de 42 alunos cada, distribuídos em grupos de seis ou sete estudantes (seis ou sete grupos). Com ingresso comum, o curso deveria continuar com uma formação mais geral para a área de tecnologia e levar a certificações intermediárias (de cursos sequenciais) e, após 2.400 horas de atividades, ao diploma de bacharelado interdisciplinar correspondente.</w:t>
      </w:r>
    </w:p>
    <w:p w14:paraId="2F1F3705" w14:textId="452F2B9B"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O projeto pedagógico do bacharelado interdisciplinar levaria à base de uma formação específica, a exemplo do que já ocorre em muitas instituições públicas e, à medida que novos cursos fossem sendo projetados, acabariam reforçando esse ingresso único e com uma separação posterior para formações por área em um mínimo de bacharelados interdisciplinares diferentes, todos eles servindo como base para a formação específica para engenharias e outros bacharelados. Aí também seriam formadas as licenciaturas interdisciplinares e, por que não, cursos superiores de tecnologia em diferentes eixos e, posteriormente, diferentes cursos. Para qualquer situação, a ideia é a de que haja pelo menos um período de convivência comum para todos os estudantes, ainda que tenham expectativas formativas totalmente diversas e aparentemente pouco relacionadas, já que se parte do princípio que a formação superior deve contemplar competências, conhecimentos e habilidades que levem a uma maior preocupação com a sustentabilidade, a justiça social e a uma maior compreensão do nosso país e do mundo em que todos estamos inseridos, desenvolvendo a cultura, a cidadania e a paz.</w:t>
      </w:r>
    </w:p>
    <w:p w14:paraId="5B8E8525" w14:textId="3DA8B3F9"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O texto detalha, em seu capítulo 2, os conceitos de disciplinaridade, de multidisciplinaridade, de interdisciplinaridade e de transdisciplinaridade que justificam uma abordagem mais voltada à formação geral e de compreensão do mundo, para a partir dela desenvolver os conhecimentos e as competências voltadas à apropriação do ferramental ético e metodológico da área e carreira escolhidas.</w:t>
      </w:r>
    </w:p>
    <w:p w14:paraId="0596BD7A" w14:textId="0C0D290F"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Para garantir essa formação, são propostas algumas alternativas no capítulo 3, amparadas pela divisão das metodologias em que o estudante passa a protagonizar o próprio desenvolvimento e no fato de que algumas delas podem formar o fio condutor do desenvolvimento das atividades curriculares.</w:t>
      </w:r>
    </w:p>
    <w:p w14:paraId="02EFAD6B" w14:textId="6FECD081"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São apresentadas a Aprendizagem Baseada em Problemas, a Pedagogia Problematizadora e a Aprendizagem Baseada em Projetos, mostrando as vantagens da escolha dessa última forma de desenvolvimento, pois ela leva à escolha de temas gerais que guardam relação com o momento do curso, aumentando sua complexidade à medida que o mesmo se desenvolve; permite um tratamento que leva em conta problemas reais e que podem ser escolhidos pelos estudantes para serem solucionados ou equacionados, contribuindo desde o início da formação. Isso possibilita o desenvolvimento de atividades interativas para a produção e para aplicação de conhecimento, gerando competências e habilidades para que haja mobilização desse conhecimento e não apenas a sua compreensão e eventual utilização para questões específicas trazidas pelo professor. Além disso, a escolha de tema genérico induz, mas não determina ou limita, a escolha dos projetos, garantindo a necessária diversidade entre os temas dos grupos, voltadas para suas próprias características e contribuindo para a expressão de habilidades mais ligadas a abordagens acadêmico-científicas, acadêmico-sociais e de inovação. Isso garante o princípio constitucional da indissociabilidade entre ensino, pesquisa e extensão, sem a necessidade de serem disciplinarizadas ou mantidas ações específicas para cada um desses pilares de sustentação do ensino universitário. A metodologia também permite que não haja distinção entre a forma com que as atividades se desenvolverão, já que elas, obrigatoriamente, exigirão atividades presenciais na escola e atividades realizadas fora do ambiente escolar aí incluídas aquelas tipicamente realizadas por cursos EaD, a partir de um ambiente virtual de aprendizagem e tecnologias de informação e comunicação.</w:t>
      </w:r>
    </w:p>
    <w:p w14:paraId="3FDC88E9" w14:textId="6B07DD92"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São ainda apresentadas, de forma sucinta, outras metodologias ativas que auxiliam no desenvolvimento das atividades curriculares em geral e que poderão ser utilizadas pelos docentes e fazerem parte dos planejamentos dos seus planejamentos, em contraposição ao ABP que fará parte do Projeto Pedagógico Institucional e que servirá como elemento integrador de todas as atividades escolares.</w:t>
      </w:r>
    </w:p>
    <w:p w14:paraId="0A7D1E7A" w14:textId="27CC1BDB"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Finalmente, no capítulo 4 são abordadas algumas formas de organização pedagógica que possibilitam a implantação dos cursos com a Aprendizagem Baseada em Projetos sendo o fio condutor, mostrando alguns exemplos de formações básicas, interdisciplinares e comuns que já ocorrem em outras instituições brasileiras.</w:t>
      </w:r>
    </w:p>
    <w:p w14:paraId="7D06F1E7" w14:textId="5C557719"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A sugestão é a de que a UnDF, neste primeiro momento, utilize um sistema híbrido de organização: projetos apoiados por atividades modulares em que sejam preenchidas as lacunas de conhecimento dos estudantes e que viabilizem o desenvolvimento de cada projeto escolhido. Em um segundo momento, essa estrutura poderá ser ainda mais flexível, tendo como meta um ingresso de estudantes e uma realização de atividades modulares de livre escolha, criando diferentes trajetórias formativas que levarão a um ou mais graus acadêmicos, sem que o(s) mesmo(s) seja(m) estabelecido(s) a priori.</w:t>
      </w:r>
    </w:p>
    <w:p w14:paraId="0E7B24FB" w14:textId="55C6F26A" w:rsidR="00EE3346" w:rsidRPr="008A364C" w:rsidRDefault="00EE3346" w:rsidP="008A364C">
      <w:pPr>
        <w:tabs>
          <w:tab w:val="clear" w:pos="1615"/>
        </w:tabs>
        <w:spacing w:line="360" w:lineRule="auto"/>
        <w:ind w:firstLine="709"/>
        <w:jc w:val="both"/>
        <w:rPr>
          <w:rFonts w:asciiTheme="majorHAnsi" w:hAnsiTheme="majorHAnsi" w:cstheme="majorHAnsi"/>
          <w:sz w:val="24"/>
          <w:szCs w:val="24"/>
        </w:rPr>
      </w:pPr>
      <w:r w:rsidRPr="008A364C">
        <w:rPr>
          <w:rFonts w:asciiTheme="majorHAnsi" w:hAnsiTheme="majorHAnsi" w:cstheme="majorHAnsi"/>
          <w:sz w:val="24"/>
          <w:szCs w:val="24"/>
        </w:rPr>
        <w:t>O Projeto Pedagógico Institucional e dos cursos a serem oferecidos tem, se a estrutura e organização aqui propostas forem adotadas, um enorme desafio para realizar a agregação das atividades comuns de uma formação superior, que já possui muitos indicativos, de uma formação interdisciplinar que leve a sucessivas certificações, diplomações e que preparem a formação superior para o mundo tecnológico que requer, cada vez mais, competências humanas, criatividade, empatia e respeito à sustentabilidade, entre outros, para continuar se desenvolvendo.</w:t>
      </w:r>
    </w:p>
    <w:p w14:paraId="4EB8B995" w14:textId="77777777" w:rsidR="008A364C" w:rsidRDefault="008A364C" w:rsidP="008A364C">
      <w:pPr>
        <w:tabs>
          <w:tab w:val="clear" w:pos="1615"/>
        </w:tabs>
        <w:spacing w:line="360" w:lineRule="auto"/>
        <w:ind w:firstLine="709"/>
        <w:jc w:val="right"/>
        <w:rPr>
          <w:rFonts w:asciiTheme="majorHAnsi" w:hAnsiTheme="majorHAnsi" w:cstheme="majorHAnsi"/>
          <w:sz w:val="24"/>
          <w:szCs w:val="24"/>
        </w:rPr>
      </w:pPr>
    </w:p>
    <w:p w14:paraId="6C81F892" w14:textId="2F78F76C" w:rsidR="00D63EF9" w:rsidRPr="008A364C" w:rsidRDefault="00EE3346" w:rsidP="008A364C">
      <w:pPr>
        <w:tabs>
          <w:tab w:val="clear" w:pos="1615"/>
        </w:tabs>
        <w:spacing w:line="360" w:lineRule="auto"/>
        <w:ind w:firstLine="709"/>
        <w:jc w:val="right"/>
        <w:rPr>
          <w:rFonts w:asciiTheme="majorHAnsi" w:hAnsiTheme="majorHAnsi" w:cstheme="majorHAnsi"/>
          <w:b/>
          <w:bCs/>
          <w:sz w:val="28"/>
          <w:szCs w:val="28"/>
        </w:rPr>
      </w:pPr>
      <w:r w:rsidRPr="008A364C">
        <w:rPr>
          <w:rFonts w:asciiTheme="majorHAnsi" w:hAnsiTheme="majorHAnsi" w:cstheme="majorHAnsi"/>
          <w:sz w:val="24"/>
          <w:szCs w:val="24"/>
        </w:rPr>
        <w:t>Angelo Luiz Cortelazzo</w:t>
      </w:r>
    </w:p>
    <w:p w14:paraId="064A7379" w14:textId="77777777" w:rsidR="00027374" w:rsidRPr="00516038" w:rsidRDefault="00027374" w:rsidP="00516038">
      <w:pPr>
        <w:tabs>
          <w:tab w:val="clear" w:pos="1615"/>
        </w:tabs>
        <w:spacing w:line="259" w:lineRule="auto"/>
        <w:rPr>
          <w:rFonts w:asciiTheme="majorHAnsi" w:eastAsia="Calibri" w:hAnsiTheme="majorHAnsi" w:cstheme="majorHAnsi"/>
          <w:color w:val="3B3B3A"/>
          <w:sz w:val="20"/>
          <w:szCs w:val="20"/>
        </w:rPr>
      </w:pPr>
      <w:r w:rsidRPr="00516038">
        <w:rPr>
          <w:rFonts w:asciiTheme="majorHAnsi" w:eastAsia="Calibri" w:hAnsiTheme="majorHAnsi" w:cstheme="majorHAnsi"/>
          <w:color w:val="3B3B3A"/>
          <w:sz w:val="20"/>
          <w:szCs w:val="20"/>
        </w:rPr>
        <w:br w:type="page"/>
      </w:r>
    </w:p>
    <w:p w14:paraId="0512A71A" w14:textId="16E91154" w:rsidR="00021081" w:rsidRPr="00516038" w:rsidRDefault="00021081" w:rsidP="00516038">
      <w:pPr>
        <w:tabs>
          <w:tab w:val="clear" w:pos="1615"/>
        </w:tabs>
        <w:spacing w:line="259" w:lineRule="auto"/>
        <w:jc w:val="both"/>
        <w:rPr>
          <w:rFonts w:asciiTheme="majorHAnsi" w:eastAsia="Calibri" w:hAnsiTheme="majorHAnsi" w:cstheme="majorHAnsi"/>
          <w:color w:val="3B3B3A"/>
          <w:sz w:val="20"/>
          <w:szCs w:val="20"/>
        </w:rPr>
      </w:pPr>
      <w:bookmarkStart w:id="94" w:name="_Hlk101295620"/>
      <w:r w:rsidRPr="00516038">
        <w:rPr>
          <w:rFonts w:asciiTheme="majorHAnsi" w:eastAsia="Calibri" w:hAnsiTheme="majorHAnsi" w:cstheme="majorHAnsi"/>
          <w:color w:val="3B3B3A"/>
          <w:sz w:val="20"/>
          <w:szCs w:val="20"/>
        </w:rPr>
        <w:t>© Cebraspe, 20</w:t>
      </w:r>
      <w:r w:rsidR="007526EF" w:rsidRPr="00516038">
        <w:rPr>
          <w:rFonts w:asciiTheme="majorHAnsi" w:eastAsia="Calibri" w:hAnsiTheme="majorHAnsi" w:cstheme="majorHAnsi"/>
          <w:color w:val="3B3B3A"/>
          <w:sz w:val="20"/>
          <w:szCs w:val="20"/>
        </w:rPr>
        <w:t>21</w:t>
      </w:r>
      <w:r w:rsidRPr="00516038">
        <w:rPr>
          <w:rFonts w:asciiTheme="majorHAnsi" w:eastAsia="Calibri" w:hAnsiTheme="majorHAnsi" w:cstheme="majorHAnsi"/>
          <w:color w:val="3B3B3A"/>
          <w:sz w:val="20"/>
          <w:szCs w:val="20"/>
        </w:rPr>
        <w:t>. Todos os direitos reservados. Nenhuma parte dessa publicação pode ser copiada, reproduzida ou distribuída em qualquer meio conhecido ou que venha a ser criado.</w:t>
      </w:r>
    </w:p>
    <w:p w14:paraId="746B2DB7" w14:textId="0EF007DE" w:rsidR="00A54802" w:rsidRPr="00516038" w:rsidRDefault="00021081" w:rsidP="00516038">
      <w:pPr>
        <w:tabs>
          <w:tab w:val="clear" w:pos="1615"/>
        </w:tabs>
        <w:jc w:val="both"/>
        <w:rPr>
          <w:rFonts w:asciiTheme="majorHAnsi" w:hAnsiTheme="majorHAnsi" w:cstheme="majorHAnsi"/>
        </w:rPr>
      </w:pPr>
      <w:r w:rsidRPr="00516038">
        <w:rPr>
          <w:rFonts w:asciiTheme="majorHAnsi" w:eastAsia="Calibri" w:hAnsiTheme="majorHAnsi" w:cstheme="majorHAnsi"/>
          <w:color w:val="3B3B3A"/>
          <w:sz w:val="20"/>
          <w:szCs w:val="20"/>
        </w:rPr>
        <w:t>Centro Brasileiro de Pesquisa em Avaliação e Seleção e de Promoção de Eventos (Cebraspe), pessoa jurídica de direito privado, sem fins lucrativos, qualificado por meio do Decreto n.º 8.078/2013 como Organização Social (OS), tendo como finalidade precípua fomentar e promover o ensino, a pesquisa científica, o desenvolvimento tecnológico, o desenvolvimento institucional e a difusão de informações, experiências e projetos de interesse social e utilidade pública nas áreas de avaliação, certificação e seleção.</w:t>
      </w:r>
      <w:bookmarkEnd w:id="0"/>
      <w:bookmarkEnd w:id="4"/>
      <w:bookmarkEnd w:id="94"/>
    </w:p>
    <w:sectPr w:rsidR="00A54802" w:rsidRPr="00516038" w:rsidSect="00027374">
      <w:pgSz w:w="11906" w:h="16838"/>
      <w:pgMar w:top="1134" w:right="1134" w:bottom="1701" w:left="1134" w:header="709" w:footer="680"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1551EF" w16cex:dateUtc="2022-04-28T20:4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516CE2A" w16cid:durableId="261551EF"/>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0033B9E" w14:textId="77777777" w:rsidR="009129C0" w:rsidRDefault="009129C0" w:rsidP="00D703CD">
      <w:pPr>
        <w:spacing w:after="0"/>
      </w:pPr>
      <w:r>
        <w:separator/>
      </w:r>
    </w:p>
    <w:p w14:paraId="7712F496" w14:textId="77777777" w:rsidR="009129C0" w:rsidRDefault="009129C0"/>
  </w:endnote>
  <w:endnote w:type="continuationSeparator" w:id="0">
    <w:p w14:paraId="41F8D22D" w14:textId="77777777" w:rsidR="009129C0" w:rsidRDefault="009129C0" w:rsidP="00D703CD">
      <w:pPr>
        <w:spacing w:after="0"/>
      </w:pPr>
      <w:r>
        <w:continuationSeparator/>
      </w:r>
    </w:p>
    <w:p w14:paraId="01A3CE56" w14:textId="77777777" w:rsidR="009129C0" w:rsidRDefault="009129C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Futura Lt BT">
    <w:altName w:val="Futura Lt BT"/>
    <w:charset w:val="00"/>
    <w:family w:val="swiss"/>
    <w:pitch w:val="variable"/>
    <w:sig w:usb0="00000087" w:usb1="00000000" w:usb2="00000000" w:usb3="00000000" w:csb0="0000001B" w:csb1="00000000"/>
  </w:font>
  <w:font w:name="Helvetica Neue LT Std">
    <w:altName w:val="Helvetica Neue LT Std"/>
    <w:charset w:val="00"/>
    <w:family w:val="swiss"/>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47A24B" w14:textId="0662EAD0" w:rsidR="00B64FD2" w:rsidRDefault="004254B5">
    <w:pPr>
      <w:pStyle w:val="Rodap"/>
    </w:pPr>
    <w:r>
      <w:rPr>
        <w:noProof/>
        <w:lang w:eastAsia="pt-BR"/>
      </w:rPr>
      <w:drawing>
        <wp:anchor distT="0" distB="0" distL="114300" distR="114300" simplePos="0" relativeHeight="251659264" behindDoc="1" locked="0" layoutInCell="1" allowOverlap="1" wp14:anchorId="2D9458C2" wp14:editId="345B4386">
          <wp:simplePos x="0" y="0"/>
          <wp:positionH relativeFrom="margin">
            <wp:align>center</wp:align>
          </wp:positionH>
          <wp:positionV relativeFrom="margin">
            <wp:posOffset>9396210</wp:posOffset>
          </wp:positionV>
          <wp:extent cx="7560000" cy="563951"/>
          <wp:effectExtent l="0" t="0" r="3175" b="7620"/>
          <wp:wrapNone/>
          <wp:docPr id="11" name="Imagem 11" descr="Forma, Retângu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descr="Forma, Retângulo&#10;&#10;Descrição gerada automaticamente"/>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0000" cy="563951"/>
                  </a:xfrm>
                  <a:prstGeom prst="rect">
                    <a:avLst/>
                  </a:prstGeom>
                  <a:noFill/>
                  <a:ln>
                    <a:noFill/>
                  </a:ln>
                </pic:spPr>
              </pic:pic>
            </a:graphicData>
          </a:graphic>
          <wp14:sizeRelH relativeFrom="page">
            <wp14:pctWidth>0</wp14:pctWidth>
          </wp14:sizeRelH>
          <wp14:sizeRelV relativeFrom="page">
            <wp14:pctHeight>0</wp14:pctHeight>
          </wp14:sizeRelV>
        </wp:anchor>
      </w:drawing>
    </w:r>
    <w:r w:rsidR="006D0EA4" w:rsidRPr="006D0EA4">
      <w:ptab w:relativeTo="margin" w:alignment="center" w:leader="none"/>
    </w:r>
    <w:r w:rsidR="006D0EA4" w:rsidRPr="006D0EA4">
      <w:ptab w:relativeTo="margin" w:alignment="right" w:leader="none"/>
    </w:r>
    <w:r w:rsidR="006D0EA4" w:rsidRPr="00E436BA">
      <w:rPr>
        <w:color w:val="4875BD" w:themeColor="text1"/>
      </w:rPr>
      <w:fldChar w:fldCharType="begin"/>
    </w:r>
    <w:r w:rsidR="006D0EA4" w:rsidRPr="00E436BA">
      <w:rPr>
        <w:color w:val="4875BD" w:themeColor="text1"/>
      </w:rPr>
      <w:instrText>PAGE   \* MERGEFORMAT</w:instrText>
    </w:r>
    <w:r w:rsidR="006D0EA4" w:rsidRPr="00E436BA">
      <w:rPr>
        <w:color w:val="4875BD" w:themeColor="text1"/>
      </w:rPr>
      <w:fldChar w:fldCharType="separate"/>
    </w:r>
    <w:r w:rsidR="0089734A">
      <w:rPr>
        <w:noProof/>
        <w:color w:val="4875BD" w:themeColor="text1"/>
      </w:rPr>
      <w:t>38</w:t>
    </w:r>
    <w:r w:rsidR="006D0EA4" w:rsidRPr="00E436BA">
      <w:rPr>
        <w:color w:val="4875BD" w:themeColor="text1"/>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77C8AB" w14:textId="77777777" w:rsidR="00E436BA" w:rsidRDefault="00E436BA">
    <w:pPr>
      <w:pStyle w:val="Rodap"/>
    </w:pPr>
    <w:r>
      <w:rPr>
        <w:noProof/>
        <w:lang w:eastAsia="pt-BR"/>
      </w:rPr>
      <mc:AlternateContent>
        <mc:Choice Requires="wpg">
          <w:drawing>
            <wp:anchor distT="0" distB="0" distL="114300" distR="114300" simplePos="0" relativeHeight="251657216" behindDoc="1" locked="0" layoutInCell="1" allowOverlap="1" wp14:anchorId="706D4F8F" wp14:editId="2C92080D">
              <wp:simplePos x="0" y="0"/>
              <wp:positionH relativeFrom="column">
                <wp:posOffset>6984365</wp:posOffset>
              </wp:positionH>
              <wp:positionV relativeFrom="paragraph">
                <wp:posOffset>-446405</wp:posOffset>
              </wp:positionV>
              <wp:extent cx="8664575" cy="1057247"/>
              <wp:effectExtent l="0" t="0" r="3175" b="0"/>
              <wp:wrapNone/>
              <wp:docPr id="23" name="Grupo 23"/>
              <wp:cNvGraphicFramePr/>
              <a:graphic xmlns:a="http://schemas.openxmlformats.org/drawingml/2006/main">
                <a:graphicData uri="http://schemas.microsoft.com/office/word/2010/wordprocessingGroup">
                  <wpg:wgp>
                    <wpg:cNvGrpSpPr/>
                    <wpg:grpSpPr>
                      <a:xfrm>
                        <a:off x="0" y="0"/>
                        <a:ext cx="8664575" cy="1057247"/>
                        <a:chOff x="0" y="0"/>
                        <a:chExt cx="8664575" cy="1057247"/>
                      </a:xfrm>
                    </wpg:grpSpPr>
                    <pic:pic xmlns:pic="http://schemas.openxmlformats.org/drawingml/2006/picture">
                      <pic:nvPicPr>
                        <pic:cNvPr id="24" name="Imagem 24"/>
                        <pic:cNvPicPr>
                          <a:picLocks/>
                        </pic:cNvPicPr>
                      </pic:nvPicPr>
                      <pic:blipFill>
                        <a:blip r:embed="rId1" cstate="print">
                          <a:extLst>
                            <a:ext uri="{28A0092B-C50C-407E-A947-70E740481C1C}">
                              <a14:useLocalDpi xmlns:a14="http://schemas.microsoft.com/office/drawing/2010/main" val="0"/>
                            </a:ext>
                          </a:extLst>
                        </a:blip>
                        <a:stretch>
                          <a:fillRect/>
                        </a:stretch>
                      </pic:blipFill>
                      <pic:spPr>
                        <a:xfrm>
                          <a:off x="0" y="996287"/>
                          <a:ext cx="8664575" cy="60960"/>
                        </a:xfrm>
                        <a:prstGeom prst="rect">
                          <a:avLst/>
                        </a:prstGeom>
                      </pic:spPr>
                    </pic:pic>
                    <pic:pic xmlns:pic="http://schemas.openxmlformats.org/drawingml/2006/picture">
                      <pic:nvPicPr>
                        <pic:cNvPr id="25" name="Imagem 25"/>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559558" y="0"/>
                          <a:ext cx="2769870" cy="976630"/>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069572B" id="Grupo 23" o:spid="_x0000_s1026" style="position:absolute;margin-left:549.95pt;margin-top:-35.15pt;width:682.25pt;height:83.25pt;z-index:-251659264" coordsize="86645,1057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FcmljbyBWYWxu&#10;ZXkgZGUgT2xpdmVpcmEgTW91cmEAAAAFkAMAAgAAABQAABC4kAQAAgAAABQAABDMkpEAAgAAAAMx&#10;MwAAkpIAAgAAAAMxMwAA6hwABwAACAwAAAis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&#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24" o:spid="_x0000_s1027" type="#_x0000_t75" style="position:absolute;top:9962;width:86645;height: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">
                <v:imagedata r:id="rId3" o:title=""/>
                <o:lock v:ext="edit" aspectratio="f"/>
              </v:shape>
              <v:shape id="Imagem 25" o:spid="_x0000_s1028" type="#_x0000_t75" style="position:absolute;left:5595;width:27699;height:9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">
                <v:imagedata r:id="rId4" o:title=""/>
              </v:shap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DD9B5A" w14:textId="77777777" w:rsidR="009129C0" w:rsidRDefault="009129C0" w:rsidP="00D703CD">
      <w:pPr>
        <w:spacing w:after="0"/>
      </w:pPr>
      <w:r>
        <w:separator/>
      </w:r>
    </w:p>
    <w:p w14:paraId="5E9DBDBC" w14:textId="77777777" w:rsidR="009129C0" w:rsidRDefault="009129C0"/>
  </w:footnote>
  <w:footnote w:type="continuationSeparator" w:id="0">
    <w:p w14:paraId="53E04520" w14:textId="77777777" w:rsidR="009129C0" w:rsidRDefault="009129C0" w:rsidP="00D703CD">
      <w:pPr>
        <w:spacing w:after="0"/>
      </w:pPr>
      <w:r>
        <w:continuationSeparator/>
      </w:r>
    </w:p>
    <w:p w14:paraId="5DC8B0C5" w14:textId="77777777" w:rsidR="009129C0" w:rsidRDefault="009129C0"/>
  </w:footnote>
  <w:footnote w:id="1">
    <w:p w14:paraId="46F0037D" w14:textId="77777777" w:rsidR="00EE3346" w:rsidRPr="00161C29" w:rsidRDefault="00EE3346" w:rsidP="00EE3346">
      <w:pPr>
        <w:tabs>
          <w:tab w:val="clear" w:pos="1615"/>
        </w:tabs>
        <w:autoSpaceDE w:val="0"/>
        <w:autoSpaceDN w:val="0"/>
        <w:adjustRightInd w:val="0"/>
        <w:spacing w:after="0"/>
        <w:rPr>
          <w:rFonts w:asciiTheme="minorHAnsi" w:hAnsiTheme="minorHAnsi" w:cstheme="minorHAnsi"/>
          <w:sz w:val="20"/>
          <w:szCs w:val="20"/>
        </w:rPr>
      </w:pPr>
      <w:r w:rsidRPr="00161C29">
        <w:rPr>
          <w:rStyle w:val="Refdenotaderodap"/>
          <w:rFonts w:asciiTheme="minorHAnsi" w:hAnsiTheme="minorHAnsi" w:cstheme="minorHAnsi"/>
        </w:rPr>
        <w:footnoteRef/>
      </w:r>
      <w:r w:rsidRPr="00161C29">
        <w:rPr>
          <w:rFonts w:asciiTheme="minorHAnsi" w:hAnsiTheme="minorHAnsi" w:cstheme="minorHAnsi"/>
        </w:rPr>
        <w:t xml:space="preserve"> </w:t>
      </w:r>
      <w:r w:rsidRPr="00161C29">
        <w:rPr>
          <w:rFonts w:asciiTheme="minorHAnsi" w:hAnsiTheme="minorHAnsi" w:cstheme="minorHAnsi"/>
          <w:sz w:val="20"/>
          <w:szCs w:val="20"/>
        </w:rPr>
        <w:t>"Enfin, à l'étape des relations interdisciplinaires, on peut espérer voir succéder une étape supérieure, qui serait</w:t>
      </w:r>
    </w:p>
    <w:p w14:paraId="00C2B146" w14:textId="77777777" w:rsidR="00EE3346" w:rsidRPr="00161C29" w:rsidRDefault="00EE3346" w:rsidP="00EE3346">
      <w:pPr>
        <w:tabs>
          <w:tab w:val="clear" w:pos="1615"/>
        </w:tabs>
        <w:autoSpaceDE w:val="0"/>
        <w:autoSpaceDN w:val="0"/>
        <w:adjustRightInd w:val="0"/>
        <w:spacing w:after="0"/>
        <w:jc w:val="both"/>
        <w:rPr>
          <w:rFonts w:asciiTheme="minorHAnsi" w:hAnsiTheme="minorHAnsi" w:cstheme="minorHAnsi"/>
          <w:sz w:val="20"/>
          <w:szCs w:val="20"/>
        </w:rPr>
      </w:pPr>
      <w:r w:rsidRPr="00161C29">
        <w:rPr>
          <w:rFonts w:asciiTheme="minorHAnsi" w:hAnsiTheme="minorHAnsi" w:cstheme="minorHAnsi"/>
          <w:sz w:val="20"/>
          <w:szCs w:val="20"/>
        </w:rPr>
        <w:t>‘transdisciplinaire’, qui ne se contenterait pas d'atteindre des interactions ou réciprocités entre recherches spécialisées,</w:t>
      </w:r>
    </w:p>
    <w:p w14:paraId="48177C42" w14:textId="77777777" w:rsidR="00EE3346" w:rsidRPr="00161C29" w:rsidRDefault="00EE3346" w:rsidP="00EE3346">
      <w:pPr>
        <w:pStyle w:val="Textodenotaderodap"/>
        <w:rPr>
          <w:rFonts w:asciiTheme="minorHAnsi" w:hAnsiTheme="minorHAnsi" w:cstheme="minorHAnsi"/>
        </w:rPr>
      </w:pPr>
      <w:r w:rsidRPr="00161C29">
        <w:rPr>
          <w:rFonts w:asciiTheme="minorHAnsi" w:hAnsiTheme="minorHAnsi" w:cstheme="minorHAnsi"/>
        </w:rPr>
        <w:t xml:space="preserve">mais situerait ces liaisons à l'intérieur d'un système total sans frontières stables entre les disciplines". </w:t>
      </w:r>
    </w:p>
  </w:footnote>
  <w:footnote w:id="2">
    <w:p w14:paraId="4806C1CD" w14:textId="77777777" w:rsidR="00EE3346" w:rsidRDefault="00EE3346" w:rsidP="00EE3346">
      <w:pPr>
        <w:pStyle w:val="Textodenotaderodap"/>
      </w:pPr>
      <w:r>
        <w:rPr>
          <w:rStyle w:val="Refdenotaderodap"/>
        </w:rPr>
        <w:footnoteRef/>
      </w:r>
      <w:r>
        <w:t xml:space="preserve"> Na instituição, 1 crédito corresponde a 12h de atividades teóricas ou práticas, excluído o estudo individual ou tempo para desenvolvimento de atividades fora do contexto da sala de aula e que por isso não computam para o tempo de integralização do curso.</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6003CC"/>
    <w:multiLevelType w:val="hybridMultilevel"/>
    <w:tmpl w:val="CD84C6A4"/>
    <w:lvl w:ilvl="0" w:tplc="AE068E18">
      <w:start w:val="1"/>
      <w:numFmt w:val="lowerLetter"/>
      <w:lvlText w:val="%1)"/>
      <w:lvlJc w:val="left"/>
      <w:pPr>
        <w:ind w:left="1080" w:hanging="360"/>
      </w:pPr>
      <w:rPr>
        <w:rFonts w:hint="default"/>
        <w:b w:val="0"/>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 w15:restartNumberingAfterBreak="0">
    <w:nsid w:val="0D6F1AFC"/>
    <w:multiLevelType w:val="hybridMultilevel"/>
    <w:tmpl w:val="D5D4C792"/>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20A04905"/>
    <w:multiLevelType w:val="hybridMultilevel"/>
    <w:tmpl w:val="215645B0"/>
    <w:lvl w:ilvl="0" w:tplc="BD8C193E">
      <w:start w:val="1"/>
      <w:numFmt w:val="lowerLetter"/>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24D0754F"/>
    <w:multiLevelType w:val="hybridMultilevel"/>
    <w:tmpl w:val="54CC8D4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2BEF315C"/>
    <w:multiLevelType w:val="hybridMultilevel"/>
    <w:tmpl w:val="A2C03FBC"/>
    <w:lvl w:ilvl="0" w:tplc="7FB6F79C">
      <w:start w:val="1"/>
      <w:numFmt w:val="lowerLetter"/>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389F63EC"/>
    <w:multiLevelType w:val="hybridMultilevel"/>
    <w:tmpl w:val="43740BEC"/>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3BB12722"/>
    <w:multiLevelType w:val="hybridMultilevel"/>
    <w:tmpl w:val="F96423BA"/>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41994022"/>
    <w:multiLevelType w:val="hybridMultilevel"/>
    <w:tmpl w:val="CF34844C"/>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41F8197A"/>
    <w:multiLevelType w:val="hybridMultilevel"/>
    <w:tmpl w:val="06D6BC5C"/>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4500667F"/>
    <w:multiLevelType w:val="multilevel"/>
    <w:tmpl w:val="D786F2DC"/>
    <w:lvl w:ilvl="0">
      <w:start w:val="1"/>
      <w:numFmt w:val="decimal"/>
      <w:lvlText w:val="%1."/>
      <w:lvlJc w:val="left"/>
      <w:pPr>
        <w:ind w:left="3268" w:hanging="432"/>
      </w:pPr>
    </w:lvl>
    <w:lvl w:ilvl="1">
      <w:start w:val="1"/>
      <w:numFmt w:val="decimal"/>
      <w:lvlText w:val="%1.%2"/>
      <w:lvlJc w:val="left"/>
      <w:pPr>
        <w:ind w:left="2278" w:hanging="576"/>
      </w:pPr>
    </w:lvl>
    <w:lvl w:ilvl="2">
      <w:start w:val="1"/>
      <w:numFmt w:val="decimal"/>
      <w:lvlText w:val="%1.%2.%3"/>
      <w:lvlJc w:val="left"/>
      <w:pPr>
        <w:ind w:left="862"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475847D0"/>
    <w:multiLevelType w:val="multilevel"/>
    <w:tmpl w:val="D786F2DC"/>
    <w:lvl w:ilvl="0">
      <w:start w:val="1"/>
      <w:numFmt w:val="decimal"/>
      <w:lvlText w:val="%1."/>
      <w:lvlJc w:val="left"/>
      <w:pPr>
        <w:ind w:left="3268" w:hanging="432"/>
      </w:pPr>
    </w:lvl>
    <w:lvl w:ilvl="1">
      <w:start w:val="1"/>
      <w:numFmt w:val="decimal"/>
      <w:lvlText w:val="%1.%2"/>
      <w:lvlJc w:val="left"/>
      <w:pPr>
        <w:ind w:left="2278" w:hanging="576"/>
      </w:pPr>
    </w:lvl>
    <w:lvl w:ilvl="2">
      <w:start w:val="1"/>
      <w:numFmt w:val="decimal"/>
      <w:lvlText w:val="%1.%2.%3"/>
      <w:lvlJc w:val="left"/>
      <w:pPr>
        <w:ind w:left="862"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48996BDA"/>
    <w:multiLevelType w:val="hybridMultilevel"/>
    <w:tmpl w:val="9A649F48"/>
    <w:lvl w:ilvl="0" w:tplc="0416000F">
      <w:start w:val="1"/>
      <w:numFmt w:val="decimal"/>
      <w:lvlText w:val="%1."/>
      <w:lvlJc w:val="left"/>
      <w:pPr>
        <w:ind w:left="1287" w:hanging="360"/>
      </w:pPr>
    </w:lvl>
    <w:lvl w:ilvl="1" w:tplc="04160019" w:tentative="1">
      <w:start w:val="1"/>
      <w:numFmt w:val="lowerLetter"/>
      <w:lvlText w:val="%2."/>
      <w:lvlJc w:val="left"/>
      <w:pPr>
        <w:ind w:left="2007" w:hanging="360"/>
      </w:pPr>
    </w:lvl>
    <w:lvl w:ilvl="2" w:tplc="0416001B" w:tentative="1">
      <w:start w:val="1"/>
      <w:numFmt w:val="lowerRoman"/>
      <w:lvlText w:val="%3."/>
      <w:lvlJc w:val="right"/>
      <w:pPr>
        <w:ind w:left="2727" w:hanging="180"/>
      </w:pPr>
    </w:lvl>
    <w:lvl w:ilvl="3" w:tplc="0416000F" w:tentative="1">
      <w:start w:val="1"/>
      <w:numFmt w:val="decimal"/>
      <w:lvlText w:val="%4."/>
      <w:lvlJc w:val="left"/>
      <w:pPr>
        <w:ind w:left="3447" w:hanging="360"/>
      </w:pPr>
    </w:lvl>
    <w:lvl w:ilvl="4" w:tplc="04160019" w:tentative="1">
      <w:start w:val="1"/>
      <w:numFmt w:val="lowerLetter"/>
      <w:lvlText w:val="%5."/>
      <w:lvlJc w:val="left"/>
      <w:pPr>
        <w:ind w:left="4167" w:hanging="360"/>
      </w:pPr>
    </w:lvl>
    <w:lvl w:ilvl="5" w:tplc="0416001B" w:tentative="1">
      <w:start w:val="1"/>
      <w:numFmt w:val="lowerRoman"/>
      <w:lvlText w:val="%6."/>
      <w:lvlJc w:val="right"/>
      <w:pPr>
        <w:ind w:left="4887" w:hanging="180"/>
      </w:pPr>
    </w:lvl>
    <w:lvl w:ilvl="6" w:tplc="0416000F" w:tentative="1">
      <w:start w:val="1"/>
      <w:numFmt w:val="decimal"/>
      <w:lvlText w:val="%7."/>
      <w:lvlJc w:val="left"/>
      <w:pPr>
        <w:ind w:left="5607" w:hanging="360"/>
      </w:pPr>
    </w:lvl>
    <w:lvl w:ilvl="7" w:tplc="04160019" w:tentative="1">
      <w:start w:val="1"/>
      <w:numFmt w:val="lowerLetter"/>
      <w:lvlText w:val="%8."/>
      <w:lvlJc w:val="left"/>
      <w:pPr>
        <w:ind w:left="6327" w:hanging="360"/>
      </w:pPr>
    </w:lvl>
    <w:lvl w:ilvl="8" w:tplc="0416001B" w:tentative="1">
      <w:start w:val="1"/>
      <w:numFmt w:val="lowerRoman"/>
      <w:lvlText w:val="%9."/>
      <w:lvlJc w:val="right"/>
      <w:pPr>
        <w:ind w:left="7047" w:hanging="180"/>
      </w:pPr>
    </w:lvl>
  </w:abstractNum>
  <w:abstractNum w:abstractNumId="12" w15:restartNumberingAfterBreak="0">
    <w:nsid w:val="4BB0714D"/>
    <w:multiLevelType w:val="hybridMultilevel"/>
    <w:tmpl w:val="45D8CFB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15:restartNumberingAfterBreak="0">
    <w:nsid w:val="52A42792"/>
    <w:multiLevelType w:val="hybridMultilevel"/>
    <w:tmpl w:val="30E4EF3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53006F3D"/>
    <w:multiLevelType w:val="hybridMultilevel"/>
    <w:tmpl w:val="7376E71C"/>
    <w:lvl w:ilvl="0" w:tplc="04160017">
      <w:start w:val="1"/>
      <w:numFmt w:val="lowerLetter"/>
      <w:lvlText w:val="%1)"/>
      <w:lvlJc w:val="left"/>
      <w:pPr>
        <w:ind w:left="720" w:hanging="360"/>
      </w:pPr>
      <w:rPr>
        <w:rFont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5E547CED"/>
    <w:multiLevelType w:val="hybridMultilevel"/>
    <w:tmpl w:val="93780C96"/>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15:restartNumberingAfterBreak="0">
    <w:nsid w:val="606C4A81"/>
    <w:multiLevelType w:val="hybridMultilevel"/>
    <w:tmpl w:val="57D87270"/>
    <w:lvl w:ilvl="0" w:tplc="304AD9A6">
      <w:start w:val="1"/>
      <w:numFmt w:val="decimal"/>
      <w:lvlText w:val="%1."/>
      <w:lvlJc w:val="left"/>
      <w:pPr>
        <w:ind w:left="2628" w:hanging="360"/>
      </w:pPr>
      <w:rPr>
        <w:rFonts w:hint="default"/>
      </w:rPr>
    </w:lvl>
    <w:lvl w:ilvl="1" w:tplc="04160019" w:tentative="1">
      <w:start w:val="1"/>
      <w:numFmt w:val="lowerLetter"/>
      <w:lvlText w:val="%2."/>
      <w:lvlJc w:val="left"/>
      <w:pPr>
        <w:ind w:left="3348" w:hanging="360"/>
      </w:pPr>
    </w:lvl>
    <w:lvl w:ilvl="2" w:tplc="0416001B" w:tentative="1">
      <w:start w:val="1"/>
      <w:numFmt w:val="lowerRoman"/>
      <w:lvlText w:val="%3."/>
      <w:lvlJc w:val="right"/>
      <w:pPr>
        <w:ind w:left="4068" w:hanging="180"/>
      </w:pPr>
    </w:lvl>
    <w:lvl w:ilvl="3" w:tplc="0416000F" w:tentative="1">
      <w:start w:val="1"/>
      <w:numFmt w:val="decimal"/>
      <w:lvlText w:val="%4."/>
      <w:lvlJc w:val="left"/>
      <w:pPr>
        <w:ind w:left="4788" w:hanging="360"/>
      </w:pPr>
    </w:lvl>
    <w:lvl w:ilvl="4" w:tplc="04160019" w:tentative="1">
      <w:start w:val="1"/>
      <w:numFmt w:val="lowerLetter"/>
      <w:lvlText w:val="%5."/>
      <w:lvlJc w:val="left"/>
      <w:pPr>
        <w:ind w:left="5508" w:hanging="360"/>
      </w:pPr>
    </w:lvl>
    <w:lvl w:ilvl="5" w:tplc="0416001B" w:tentative="1">
      <w:start w:val="1"/>
      <w:numFmt w:val="lowerRoman"/>
      <w:lvlText w:val="%6."/>
      <w:lvlJc w:val="right"/>
      <w:pPr>
        <w:ind w:left="6228" w:hanging="180"/>
      </w:pPr>
    </w:lvl>
    <w:lvl w:ilvl="6" w:tplc="0416000F" w:tentative="1">
      <w:start w:val="1"/>
      <w:numFmt w:val="decimal"/>
      <w:lvlText w:val="%7."/>
      <w:lvlJc w:val="left"/>
      <w:pPr>
        <w:ind w:left="6948" w:hanging="360"/>
      </w:pPr>
    </w:lvl>
    <w:lvl w:ilvl="7" w:tplc="04160019" w:tentative="1">
      <w:start w:val="1"/>
      <w:numFmt w:val="lowerLetter"/>
      <w:lvlText w:val="%8."/>
      <w:lvlJc w:val="left"/>
      <w:pPr>
        <w:ind w:left="7668" w:hanging="360"/>
      </w:pPr>
    </w:lvl>
    <w:lvl w:ilvl="8" w:tplc="0416001B" w:tentative="1">
      <w:start w:val="1"/>
      <w:numFmt w:val="lowerRoman"/>
      <w:lvlText w:val="%9."/>
      <w:lvlJc w:val="right"/>
      <w:pPr>
        <w:ind w:left="8388" w:hanging="180"/>
      </w:pPr>
    </w:lvl>
  </w:abstractNum>
  <w:abstractNum w:abstractNumId="17" w15:restartNumberingAfterBreak="0">
    <w:nsid w:val="66786860"/>
    <w:multiLevelType w:val="hybridMultilevel"/>
    <w:tmpl w:val="10607090"/>
    <w:lvl w:ilvl="0" w:tplc="04160001">
      <w:start w:val="1"/>
      <w:numFmt w:val="bullet"/>
      <w:lvlText w:val=""/>
      <w:lvlJc w:val="left"/>
      <w:pPr>
        <w:ind w:left="2988" w:hanging="360"/>
      </w:pPr>
      <w:rPr>
        <w:rFonts w:ascii="Symbol" w:hAnsi="Symbol" w:hint="default"/>
      </w:rPr>
    </w:lvl>
    <w:lvl w:ilvl="1" w:tplc="04160003" w:tentative="1">
      <w:start w:val="1"/>
      <w:numFmt w:val="bullet"/>
      <w:lvlText w:val="o"/>
      <w:lvlJc w:val="left"/>
      <w:pPr>
        <w:ind w:left="3708" w:hanging="360"/>
      </w:pPr>
      <w:rPr>
        <w:rFonts w:ascii="Courier New" w:hAnsi="Courier New" w:cs="Courier New" w:hint="default"/>
      </w:rPr>
    </w:lvl>
    <w:lvl w:ilvl="2" w:tplc="04160005" w:tentative="1">
      <w:start w:val="1"/>
      <w:numFmt w:val="bullet"/>
      <w:lvlText w:val=""/>
      <w:lvlJc w:val="left"/>
      <w:pPr>
        <w:ind w:left="4428" w:hanging="360"/>
      </w:pPr>
      <w:rPr>
        <w:rFonts w:ascii="Wingdings" w:hAnsi="Wingdings" w:hint="default"/>
      </w:rPr>
    </w:lvl>
    <w:lvl w:ilvl="3" w:tplc="04160001" w:tentative="1">
      <w:start w:val="1"/>
      <w:numFmt w:val="bullet"/>
      <w:lvlText w:val=""/>
      <w:lvlJc w:val="left"/>
      <w:pPr>
        <w:ind w:left="5148" w:hanging="360"/>
      </w:pPr>
      <w:rPr>
        <w:rFonts w:ascii="Symbol" w:hAnsi="Symbol" w:hint="default"/>
      </w:rPr>
    </w:lvl>
    <w:lvl w:ilvl="4" w:tplc="04160003" w:tentative="1">
      <w:start w:val="1"/>
      <w:numFmt w:val="bullet"/>
      <w:lvlText w:val="o"/>
      <w:lvlJc w:val="left"/>
      <w:pPr>
        <w:ind w:left="5868" w:hanging="360"/>
      </w:pPr>
      <w:rPr>
        <w:rFonts w:ascii="Courier New" w:hAnsi="Courier New" w:cs="Courier New" w:hint="default"/>
      </w:rPr>
    </w:lvl>
    <w:lvl w:ilvl="5" w:tplc="04160005" w:tentative="1">
      <w:start w:val="1"/>
      <w:numFmt w:val="bullet"/>
      <w:lvlText w:val=""/>
      <w:lvlJc w:val="left"/>
      <w:pPr>
        <w:ind w:left="6588" w:hanging="360"/>
      </w:pPr>
      <w:rPr>
        <w:rFonts w:ascii="Wingdings" w:hAnsi="Wingdings" w:hint="default"/>
      </w:rPr>
    </w:lvl>
    <w:lvl w:ilvl="6" w:tplc="04160001" w:tentative="1">
      <w:start w:val="1"/>
      <w:numFmt w:val="bullet"/>
      <w:lvlText w:val=""/>
      <w:lvlJc w:val="left"/>
      <w:pPr>
        <w:ind w:left="7308" w:hanging="360"/>
      </w:pPr>
      <w:rPr>
        <w:rFonts w:ascii="Symbol" w:hAnsi="Symbol" w:hint="default"/>
      </w:rPr>
    </w:lvl>
    <w:lvl w:ilvl="7" w:tplc="04160003" w:tentative="1">
      <w:start w:val="1"/>
      <w:numFmt w:val="bullet"/>
      <w:lvlText w:val="o"/>
      <w:lvlJc w:val="left"/>
      <w:pPr>
        <w:ind w:left="8028" w:hanging="360"/>
      </w:pPr>
      <w:rPr>
        <w:rFonts w:ascii="Courier New" w:hAnsi="Courier New" w:cs="Courier New" w:hint="default"/>
      </w:rPr>
    </w:lvl>
    <w:lvl w:ilvl="8" w:tplc="04160005" w:tentative="1">
      <w:start w:val="1"/>
      <w:numFmt w:val="bullet"/>
      <w:lvlText w:val=""/>
      <w:lvlJc w:val="left"/>
      <w:pPr>
        <w:ind w:left="8748" w:hanging="360"/>
      </w:pPr>
      <w:rPr>
        <w:rFonts w:ascii="Wingdings" w:hAnsi="Wingdings" w:hint="default"/>
      </w:rPr>
    </w:lvl>
  </w:abstractNum>
  <w:abstractNum w:abstractNumId="18" w15:restartNumberingAfterBreak="0">
    <w:nsid w:val="6EB7232B"/>
    <w:multiLevelType w:val="hybridMultilevel"/>
    <w:tmpl w:val="030EA894"/>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15:restartNumberingAfterBreak="0">
    <w:nsid w:val="6EC425AF"/>
    <w:multiLevelType w:val="multilevel"/>
    <w:tmpl w:val="D786F2DC"/>
    <w:lvl w:ilvl="0">
      <w:start w:val="1"/>
      <w:numFmt w:val="decimal"/>
      <w:lvlText w:val="%1."/>
      <w:lvlJc w:val="left"/>
      <w:pPr>
        <w:ind w:left="3268" w:hanging="432"/>
      </w:pPr>
    </w:lvl>
    <w:lvl w:ilvl="1">
      <w:start w:val="1"/>
      <w:numFmt w:val="decimal"/>
      <w:lvlText w:val="%1.%2"/>
      <w:lvlJc w:val="left"/>
      <w:pPr>
        <w:ind w:left="2278" w:hanging="576"/>
      </w:pPr>
    </w:lvl>
    <w:lvl w:ilvl="2">
      <w:start w:val="1"/>
      <w:numFmt w:val="decimal"/>
      <w:lvlText w:val="%1.%2.%3"/>
      <w:lvlJc w:val="left"/>
      <w:pPr>
        <w:ind w:left="862"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9"/>
  </w:num>
  <w:num w:numId="2">
    <w:abstractNumId w:val="14"/>
  </w:num>
  <w:num w:numId="3">
    <w:abstractNumId w:val="15"/>
  </w:num>
  <w:num w:numId="4">
    <w:abstractNumId w:val="0"/>
  </w:num>
  <w:num w:numId="5">
    <w:abstractNumId w:val="2"/>
  </w:num>
  <w:num w:numId="6">
    <w:abstractNumId w:val="3"/>
  </w:num>
  <w:num w:numId="7">
    <w:abstractNumId w:val="16"/>
  </w:num>
  <w:num w:numId="8">
    <w:abstractNumId w:val="4"/>
  </w:num>
  <w:num w:numId="9">
    <w:abstractNumId w:val="8"/>
  </w:num>
  <w:num w:numId="10">
    <w:abstractNumId w:val="17"/>
  </w:num>
  <w:num w:numId="11">
    <w:abstractNumId w:val="12"/>
  </w:num>
  <w:num w:numId="12">
    <w:abstractNumId w:val="7"/>
  </w:num>
  <w:num w:numId="13">
    <w:abstractNumId w:val="18"/>
  </w:num>
  <w:num w:numId="14">
    <w:abstractNumId w:val="13"/>
  </w:num>
  <w:num w:numId="15">
    <w:abstractNumId w:val="11"/>
  </w:num>
  <w:num w:numId="16">
    <w:abstractNumId w:val="10"/>
  </w:num>
  <w:num w:numId="17">
    <w:abstractNumId w:val="9"/>
  </w:num>
  <w:num w:numId="18">
    <w:abstractNumId w:val="1"/>
  </w:num>
  <w:num w:numId="19">
    <w:abstractNumId w:val="6"/>
  </w:num>
  <w:num w:numId="20">
    <w:abstractNumId w:val="5"/>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pt-BR" w:vendorID="64" w:dllVersion="6" w:nlCheck="1" w:checkStyle="0"/>
  <w:activeWritingStyle w:appName="MSWord" w:lang="en-US" w:vendorID="64" w:dllVersion="6" w:nlCheck="1" w:checkStyle="1"/>
  <w:activeWritingStyle w:appName="MSWord" w:lang="pt-BR" w:vendorID="64" w:dllVersion="0" w:nlCheck="1" w:checkStyle="0"/>
  <w:activeWritingStyle w:appName="MSWord" w:lang="en-US" w:vendorID="64" w:dllVersion="0" w:nlCheck="1" w:checkStyle="0"/>
  <w:activeWritingStyle w:appName="MSWord" w:lang="es-ES" w:vendorID="64" w:dllVersion="0" w:nlCheck="1" w:checkStyle="0"/>
  <w:activeWritingStyle w:appName="MSWord" w:lang="es-ES" w:vendorID="64" w:dllVersion="6" w:nlCheck="1" w:checkStyle="0"/>
  <w:activeWritingStyle w:appName="MSWord" w:lang="pt-BR" w:vendorID="64" w:dllVersion="4096" w:nlCheck="1" w:checkStyle="0"/>
  <w:activeWritingStyle w:appName="MSWord" w:lang="en-US" w:vendorID="64" w:dllVersion="4096" w:nlCheck="1" w:checkStyle="0"/>
  <w:activeWritingStyle w:appName="MSWord" w:lang="es-ES" w:vendorID="64" w:dllVersion="4096" w:nlCheck="1" w:checkStyle="0"/>
  <w:activeWritingStyle w:appName="MSWord" w:lang="pt-PT" w:vendorID="64" w:dllVersion="4096" w:nlCheck="1" w:checkStyle="0"/>
  <w:activeWritingStyle w:appName="MSWord" w:lang="en-GB" w:vendorID="64" w:dllVersion="0" w:nlCheck="1" w:checkStyle="0"/>
  <w:activeWritingStyle w:appName="MSWord" w:lang="pt-BR" w:vendorID="64" w:dllVersion="131078" w:nlCheck="1" w:checkStyle="0"/>
  <w:activeWritingStyle w:appName="MSWord" w:lang="en-GB" w:vendorID="64" w:dllVersion="131078" w:nlCheck="1" w:checkStyle="1"/>
  <w:activeWritingStyle w:appName="MSWord" w:lang="en-US" w:vendorID="64" w:dllVersion="131078" w:nlCheck="1" w:checkStyle="1"/>
  <w:attachedTemplate r:id="rId1"/>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7A72"/>
    <w:rsid w:val="00004B8E"/>
    <w:rsid w:val="000073DE"/>
    <w:rsid w:val="00010A7F"/>
    <w:rsid w:val="00020DCD"/>
    <w:rsid w:val="00021081"/>
    <w:rsid w:val="0002311B"/>
    <w:rsid w:val="0002326F"/>
    <w:rsid w:val="00023610"/>
    <w:rsid w:val="00027374"/>
    <w:rsid w:val="000275C3"/>
    <w:rsid w:val="00027836"/>
    <w:rsid w:val="00030F3B"/>
    <w:rsid w:val="000348E4"/>
    <w:rsid w:val="000445F5"/>
    <w:rsid w:val="00045967"/>
    <w:rsid w:val="000530F9"/>
    <w:rsid w:val="00055DC4"/>
    <w:rsid w:val="000609CF"/>
    <w:rsid w:val="000638D7"/>
    <w:rsid w:val="00065BED"/>
    <w:rsid w:val="00070EFA"/>
    <w:rsid w:val="00072114"/>
    <w:rsid w:val="0007511A"/>
    <w:rsid w:val="00076130"/>
    <w:rsid w:val="00086BCD"/>
    <w:rsid w:val="000970DB"/>
    <w:rsid w:val="000A1814"/>
    <w:rsid w:val="000A3861"/>
    <w:rsid w:val="000A7D5D"/>
    <w:rsid w:val="000B2476"/>
    <w:rsid w:val="000B26B6"/>
    <w:rsid w:val="000C121C"/>
    <w:rsid w:val="000C2F9E"/>
    <w:rsid w:val="000C38B3"/>
    <w:rsid w:val="000C3BE8"/>
    <w:rsid w:val="000C54A7"/>
    <w:rsid w:val="000C5D59"/>
    <w:rsid w:val="000D1568"/>
    <w:rsid w:val="000D24F8"/>
    <w:rsid w:val="000D3AC2"/>
    <w:rsid w:val="000E1C64"/>
    <w:rsid w:val="000E2D86"/>
    <w:rsid w:val="000E3248"/>
    <w:rsid w:val="000E5237"/>
    <w:rsid w:val="000E5793"/>
    <w:rsid w:val="000E7FA2"/>
    <w:rsid w:val="000F242D"/>
    <w:rsid w:val="000F2A2A"/>
    <w:rsid w:val="000F49F3"/>
    <w:rsid w:val="000F51BF"/>
    <w:rsid w:val="000F568F"/>
    <w:rsid w:val="000F608D"/>
    <w:rsid w:val="00101137"/>
    <w:rsid w:val="00106F1B"/>
    <w:rsid w:val="00110290"/>
    <w:rsid w:val="0011037B"/>
    <w:rsid w:val="00111C7C"/>
    <w:rsid w:val="001122E8"/>
    <w:rsid w:val="00114CBB"/>
    <w:rsid w:val="00116124"/>
    <w:rsid w:val="00124FB9"/>
    <w:rsid w:val="001256B8"/>
    <w:rsid w:val="0013189F"/>
    <w:rsid w:val="0013293B"/>
    <w:rsid w:val="00132F2E"/>
    <w:rsid w:val="00133C60"/>
    <w:rsid w:val="0014139C"/>
    <w:rsid w:val="00141FDB"/>
    <w:rsid w:val="00147514"/>
    <w:rsid w:val="0015125F"/>
    <w:rsid w:val="00155C99"/>
    <w:rsid w:val="00156C0D"/>
    <w:rsid w:val="001620DC"/>
    <w:rsid w:val="001647D9"/>
    <w:rsid w:val="001703DC"/>
    <w:rsid w:val="00172771"/>
    <w:rsid w:val="001760CB"/>
    <w:rsid w:val="0018606C"/>
    <w:rsid w:val="001864E3"/>
    <w:rsid w:val="001875CF"/>
    <w:rsid w:val="0019023B"/>
    <w:rsid w:val="001A2595"/>
    <w:rsid w:val="001B29A7"/>
    <w:rsid w:val="001C7514"/>
    <w:rsid w:val="001D1971"/>
    <w:rsid w:val="001D4E60"/>
    <w:rsid w:val="001E12B9"/>
    <w:rsid w:val="001E3720"/>
    <w:rsid w:val="001F6D52"/>
    <w:rsid w:val="001F78BF"/>
    <w:rsid w:val="00201089"/>
    <w:rsid w:val="00203B1B"/>
    <w:rsid w:val="002109D0"/>
    <w:rsid w:val="00210B56"/>
    <w:rsid w:val="00210E4A"/>
    <w:rsid w:val="00211C8D"/>
    <w:rsid w:val="00215E70"/>
    <w:rsid w:val="002268D7"/>
    <w:rsid w:val="00227034"/>
    <w:rsid w:val="002316A6"/>
    <w:rsid w:val="002465F6"/>
    <w:rsid w:val="00247DDD"/>
    <w:rsid w:val="00251210"/>
    <w:rsid w:val="00254250"/>
    <w:rsid w:val="0026199B"/>
    <w:rsid w:val="0026297B"/>
    <w:rsid w:val="00262D35"/>
    <w:rsid w:val="00266AEB"/>
    <w:rsid w:val="002723CD"/>
    <w:rsid w:val="0027346B"/>
    <w:rsid w:val="002800C0"/>
    <w:rsid w:val="00284E26"/>
    <w:rsid w:val="002949F1"/>
    <w:rsid w:val="002A5227"/>
    <w:rsid w:val="002A530B"/>
    <w:rsid w:val="002A6742"/>
    <w:rsid w:val="002B032B"/>
    <w:rsid w:val="002B1C0B"/>
    <w:rsid w:val="002B2F20"/>
    <w:rsid w:val="002B419F"/>
    <w:rsid w:val="002D7FB4"/>
    <w:rsid w:val="002E0E0B"/>
    <w:rsid w:val="002E13FB"/>
    <w:rsid w:val="002E208A"/>
    <w:rsid w:val="002E37C2"/>
    <w:rsid w:val="002F1B0F"/>
    <w:rsid w:val="002F3333"/>
    <w:rsid w:val="002F5FC0"/>
    <w:rsid w:val="00304D2A"/>
    <w:rsid w:val="00305623"/>
    <w:rsid w:val="0031256A"/>
    <w:rsid w:val="0031268D"/>
    <w:rsid w:val="00313552"/>
    <w:rsid w:val="00313DDC"/>
    <w:rsid w:val="00320B63"/>
    <w:rsid w:val="00325DC3"/>
    <w:rsid w:val="003354EB"/>
    <w:rsid w:val="00346197"/>
    <w:rsid w:val="0035235E"/>
    <w:rsid w:val="00353099"/>
    <w:rsid w:val="00354633"/>
    <w:rsid w:val="003554D7"/>
    <w:rsid w:val="00356F65"/>
    <w:rsid w:val="003625E3"/>
    <w:rsid w:val="00367620"/>
    <w:rsid w:val="0037013F"/>
    <w:rsid w:val="00375170"/>
    <w:rsid w:val="00377296"/>
    <w:rsid w:val="00386FC6"/>
    <w:rsid w:val="00391DAD"/>
    <w:rsid w:val="00392DBD"/>
    <w:rsid w:val="00395CFE"/>
    <w:rsid w:val="003A3101"/>
    <w:rsid w:val="003A3A5A"/>
    <w:rsid w:val="003A7453"/>
    <w:rsid w:val="003B308F"/>
    <w:rsid w:val="003B6B2A"/>
    <w:rsid w:val="003C7DE7"/>
    <w:rsid w:val="003D0F77"/>
    <w:rsid w:val="003D4F1A"/>
    <w:rsid w:val="003E2854"/>
    <w:rsid w:val="003F47C0"/>
    <w:rsid w:val="003F5FC7"/>
    <w:rsid w:val="00406475"/>
    <w:rsid w:val="00414640"/>
    <w:rsid w:val="00421AD7"/>
    <w:rsid w:val="00421B66"/>
    <w:rsid w:val="00421B87"/>
    <w:rsid w:val="0042249C"/>
    <w:rsid w:val="004247D5"/>
    <w:rsid w:val="004254B5"/>
    <w:rsid w:val="004267B1"/>
    <w:rsid w:val="00431D19"/>
    <w:rsid w:val="00432C1C"/>
    <w:rsid w:val="00436C9A"/>
    <w:rsid w:val="00437C3B"/>
    <w:rsid w:val="00446E72"/>
    <w:rsid w:val="0045047B"/>
    <w:rsid w:val="00452042"/>
    <w:rsid w:val="00453328"/>
    <w:rsid w:val="00454D74"/>
    <w:rsid w:val="00455BAD"/>
    <w:rsid w:val="00462B6A"/>
    <w:rsid w:val="0046561C"/>
    <w:rsid w:val="00475E0D"/>
    <w:rsid w:val="00483446"/>
    <w:rsid w:val="00487A72"/>
    <w:rsid w:val="004A7107"/>
    <w:rsid w:val="004C1C06"/>
    <w:rsid w:val="004C6012"/>
    <w:rsid w:val="004E0F68"/>
    <w:rsid w:val="004E2ACF"/>
    <w:rsid w:val="004E7BB2"/>
    <w:rsid w:val="004F055D"/>
    <w:rsid w:val="004F1FD4"/>
    <w:rsid w:val="004F3139"/>
    <w:rsid w:val="004F67D1"/>
    <w:rsid w:val="004F6C15"/>
    <w:rsid w:val="00500FF4"/>
    <w:rsid w:val="00507D6A"/>
    <w:rsid w:val="00516038"/>
    <w:rsid w:val="00522EBE"/>
    <w:rsid w:val="005256BF"/>
    <w:rsid w:val="00534671"/>
    <w:rsid w:val="00535262"/>
    <w:rsid w:val="00536161"/>
    <w:rsid w:val="00544EA3"/>
    <w:rsid w:val="0055384A"/>
    <w:rsid w:val="0055573E"/>
    <w:rsid w:val="00556033"/>
    <w:rsid w:val="00563366"/>
    <w:rsid w:val="00565D98"/>
    <w:rsid w:val="00572ED2"/>
    <w:rsid w:val="00573A4C"/>
    <w:rsid w:val="00576FCC"/>
    <w:rsid w:val="0058263C"/>
    <w:rsid w:val="0058285F"/>
    <w:rsid w:val="0058490E"/>
    <w:rsid w:val="005932A1"/>
    <w:rsid w:val="0059636A"/>
    <w:rsid w:val="005A1BE6"/>
    <w:rsid w:val="005A1CCA"/>
    <w:rsid w:val="005A302F"/>
    <w:rsid w:val="005A7C76"/>
    <w:rsid w:val="005A7E80"/>
    <w:rsid w:val="005B18EC"/>
    <w:rsid w:val="005B7A80"/>
    <w:rsid w:val="005C0A19"/>
    <w:rsid w:val="005C57BD"/>
    <w:rsid w:val="005C7F8F"/>
    <w:rsid w:val="005D139E"/>
    <w:rsid w:val="005D2522"/>
    <w:rsid w:val="005D4291"/>
    <w:rsid w:val="005E30D6"/>
    <w:rsid w:val="005E32B5"/>
    <w:rsid w:val="005E4910"/>
    <w:rsid w:val="005E6B6A"/>
    <w:rsid w:val="005F15A0"/>
    <w:rsid w:val="005F4C98"/>
    <w:rsid w:val="005F6C2D"/>
    <w:rsid w:val="00602945"/>
    <w:rsid w:val="006060F9"/>
    <w:rsid w:val="00607EBD"/>
    <w:rsid w:val="00620331"/>
    <w:rsid w:val="00621682"/>
    <w:rsid w:val="00631827"/>
    <w:rsid w:val="006342D5"/>
    <w:rsid w:val="00634E3E"/>
    <w:rsid w:val="00651D91"/>
    <w:rsid w:val="0065246F"/>
    <w:rsid w:val="006566D0"/>
    <w:rsid w:val="006613C6"/>
    <w:rsid w:val="006633C8"/>
    <w:rsid w:val="00663474"/>
    <w:rsid w:val="006653B8"/>
    <w:rsid w:val="00672A4D"/>
    <w:rsid w:val="00672CAC"/>
    <w:rsid w:val="00677B2F"/>
    <w:rsid w:val="0068529A"/>
    <w:rsid w:val="0069406D"/>
    <w:rsid w:val="00694589"/>
    <w:rsid w:val="006A03D6"/>
    <w:rsid w:val="006A24D3"/>
    <w:rsid w:val="006A5718"/>
    <w:rsid w:val="006B2C9B"/>
    <w:rsid w:val="006B3122"/>
    <w:rsid w:val="006B7949"/>
    <w:rsid w:val="006C2BE8"/>
    <w:rsid w:val="006C65BC"/>
    <w:rsid w:val="006D01BA"/>
    <w:rsid w:val="006D0312"/>
    <w:rsid w:val="006D0A6F"/>
    <w:rsid w:val="006D0EA4"/>
    <w:rsid w:val="006D2CF4"/>
    <w:rsid w:val="006D531E"/>
    <w:rsid w:val="006E04CB"/>
    <w:rsid w:val="006E1360"/>
    <w:rsid w:val="006E3A6A"/>
    <w:rsid w:val="006E3C14"/>
    <w:rsid w:val="006E5E71"/>
    <w:rsid w:val="006E64C6"/>
    <w:rsid w:val="00707761"/>
    <w:rsid w:val="00716011"/>
    <w:rsid w:val="0072249C"/>
    <w:rsid w:val="00723438"/>
    <w:rsid w:val="007302A5"/>
    <w:rsid w:val="00730B84"/>
    <w:rsid w:val="0073281F"/>
    <w:rsid w:val="0073336D"/>
    <w:rsid w:val="007348E3"/>
    <w:rsid w:val="00734C6C"/>
    <w:rsid w:val="00740E2F"/>
    <w:rsid w:val="007438C4"/>
    <w:rsid w:val="0075025F"/>
    <w:rsid w:val="00750A3D"/>
    <w:rsid w:val="007526EF"/>
    <w:rsid w:val="0075363D"/>
    <w:rsid w:val="007573F6"/>
    <w:rsid w:val="007606F2"/>
    <w:rsid w:val="00762DBC"/>
    <w:rsid w:val="0076506A"/>
    <w:rsid w:val="007653A5"/>
    <w:rsid w:val="00765E6C"/>
    <w:rsid w:val="007661E3"/>
    <w:rsid w:val="00772856"/>
    <w:rsid w:val="00772B49"/>
    <w:rsid w:val="007803D5"/>
    <w:rsid w:val="00783EE4"/>
    <w:rsid w:val="00791630"/>
    <w:rsid w:val="007A0941"/>
    <w:rsid w:val="007A3762"/>
    <w:rsid w:val="007A7075"/>
    <w:rsid w:val="007B0724"/>
    <w:rsid w:val="007B4EDE"/>
    <w:rsid w:val="007C2E52"/>
    <w:rsid w:val="007C41F7"/>
    <w:rsid w:val="007C4F95"/>
    <w:rsid w:val="007C5AAB"/>
    <w:rsid w:val="007C63DB"/>
    <w:rsid w:val="007C6AFE"/>
    <w:rsid w:val="007D484A"/>
    <w:rsid w:val="007E5B52"/>
    <w:rsid w:val="007F55FA"/>
    <w:rsid w:val="007F5762"/>
    <w:rsid w:val="007F6F13"/>
    <w:rsid w:val="008035CC"/>
    <w:rsid w:val="008205CE"/>
    <w:rsid w:val="00824AD5"/>
    <w:rsid w:val="00832857"/>
    <w:rsid w:val="00835106"/>
    <w:rsid w:val="0083581A"/>
    <w:rsid w:val="00837DC6"/>
    <w:rsid w:val="00841E05"/>
    <w:rsid w:val="00842045"/>
    <w:rsid w:val="00842E9F"/>
    <w:rsid w:val="00843E09"/>
    <w:rsid w:val="00844AA8"/>
    <w:rsid w:val="00846DED"/>
    <w:rsid w:val="0085632D"/>
    <w:rsid w:val="00860927"/>
    <w:rsid w:val="00860BED"/>
    <w:rsid w:val="00862736"/>
    <w:rsid w:val="008630BD"/>
    <w:rsid w:val="0087133D"/>
    <w:rsid w:val="00875BBB"/>
    <w:rsid w:val="00881511"/>
    <w:rsid w:val="00881513"/>
    <w:rsid w:val="00886112"/>
    <w:rsid w:val="00886676"/>
    <w:rsid w:val="00886977"/>
    <w:rsid w:val="00890806"/>
    <w:rsid w:val="00891563"/>
    <w:rsid w:val="00892CA4"/>
    <w:rsid w:val="00894745"/>
    <w:rsid w:val="00895F44"/>
    <w:rsid w:val="0089734A"/>
    <w:rsid w:val="008A0D6F"/>
    <w:rsid w:val="008A364C"/>
    <w:rsid w:val="008A6D8F"/>
    <w:rsid w:val="008A7C5B"/>
    <w:rsid w:val="008B0D14"/>
    <w:rsid w:val="008D161E"/>
    <w:rsid w:val="008D5A80"/>
    <w:rsid w:val="008D6C7D"/>
    <w:rsid w:val="008E12B2"/>
    <w:rsid w:val="008E3630"/>
    <w:rsid w:val="008E59C6"/>
    <w:rsid w:val="008E64BE"/>
    <w:rsid w:val="008F1FC7"/>
    <w:rsid w:val="008F33C8"/>
    <w:rsid w:val="008F4C72"/>
    <w:rsid w:val="008F7EB7"/>
    <w:rsid w:val="00901614"/>
    <w:rsid w:val="009129C0"/>
    <w:rsid w:val="00912E20"/>
    <w:rsid w:val="009130FE"/>
    <w:rsid w:val="00915FE1"/>
    <w:rsid w:val="00916A11"/>
    <w:rsid w:val="00917B1B"/>
    <w:rsid w:val="0092028F"/>
    <w:rsid w:val="00925743"/>
    <w:rsid w:val="009260BC"/>
    <w:rsid w:val="0093274A"/>
    <w:rsid w:val="00934AA6"/>
    <w:rsid w:val="00946C37"/>
    <w:rsid w:val="0094781A"/>
    <w:rsid w:val="0095288D"/>
    <w:rsid w:val="00952B3C"/>
    <w:rsid w:val="009665C1"/>
    <w:rsid w:val="00977607"/>
    <w:rsid w:val="00977B00"/>
    <w:rsid w:val="00982E58"/>
    <w:rsid w:val="00987A9E"/>
    <w:rsid w:val="00990425"/>
    <w:rsid w:val="0099249D"/>
    <w:rsid w:val="0099284E"/>
    <w:rsid w:val="00996977"/>
    <w:rsid w:val="009A1C1D"/>
    <w:rsid w:val="009A215F"/>
    <w:rsid w:val="009A59CC"/>
    <w:rsid w:val="009C5819"/>
    <w:rsid w:val="009C709E"/>
    <w:rsid w:val="009D0B2B"/>
    <w:rsid w:val="009D60F5"/>
    <w:rsid w:val="009D6DB4"/>
    <w:rsid w:val="009E54D0"/>
    <w:rsid w:val="009F3E9C"/>
    <w:rsid w:val="009F4DB4"/>
    <w:rsid w:val="009F57C6"/>
    <w:rsid w:val="00A1520C"/>
    <w:rsid w:val="00A2264F"/>
    <w:rsid w:val="00A26DDF"/>
    <w:rsid w:val="00A31A20"/>
    <w:rsid w:val="00A41AEC"/>
    <w:rsid w:val="00A4267C"/>
    <w:rsid w:val="00A44BF3"/>
    <w:rsid w:val="00A4616C"/>
    <w:rsid w:val="00A46A05"/>
    <w:rsid w:val="00A50FDE"/>
    <w:rsid w:val="00A516E4"/>
    <w:rsid w:val="00A51AC7"/>
    <w:rsid w:val="00A51DEC"/>
    <w:rsid w:val="00A54802"/>
    <w:rsid w:val="00A578FF"/>
    <w:rsid w:val="00A606F4"/>
    <w:rsid w:val="00A61AA8"/>
    <w:rsid w:val="00A61DAB"/>
    <w:rsid w:val="00A62122"/>
    <w:rsid w:val="00A6256F"/>
    <w:rsid w:val="00A64E15"/>
    <w:rsid w:val="00A64FEB"/>
    <w:rsid w:val="00A659C6"/>
    <w:rsid w:val="00A66202"/>
    <w:rsid w:val="00A73061"/>
    <w:rsid w:val="00A74EAB"/>
    <w:rsid w:val="00A80E27"/>
    <w:rsid w:val="00A93D12"/>
    <w:rsid w:val="00A971B6"/>
    <w:rsid w:val="00AA288C"/>
    <w:rsid w:val="00AA35B2"/>
    <w:rsid w:val="00AA431F"/>
    <w:rsid w:val="00AB0C71"/>
    <w:rsid w:val="00AB2435"/>
    <w:rsid w:val="00AB75CC"/>
    <w:rsid w:val="00AC105E"/>
    <w:rsid w:val="00AC160B"/>
    <w:rsid w:val="00AC3897"/>
    <w:rsid w:val="00AC7254"/>
    <w:rsid w:val="00AD2E0F"/>
    <w:rsid w:val="00AD48DA"/>
    <w:rsid w:val="00AE7EB4"/>
    <w:rsid w:val="00B014A4"/>
    <w:rsid w:val="00B01688"/>
    <w:rsid w:val="00B01950"/>
    <w:rsid w:val="00B0423B"/>
    <w:rsid w:val="00B0624F"/>
    <w:rsid w:val="00B06BA7"/>
    <w:rsid w:val="00B07706"/>
    <w:rsid w:val="00B07722"/>
    <w:rsid w:val="00B128FB"/>
    <w:rsid w:val="00B14AD7"/>
    <w:rsid w:val="00B17973"/>
    <w:rsid w:val="00B24BFE"/>
    <w:rsid w:val="00B24EEB"/>
    <w:rsid w:val="00B2698A"/>
    <w:rsid w:val="00B27787"/>
    <w:rsid w:val="00B37C99"/>
    <w:rsid w:val="00B50A7A"/>
    <w:rsid w:val="00B53604"/>
    <w:rsid w:val="00B54486"/>
    <w:rsid w:val="00B5556C"/>
    <w:rsid w:val="00B62101"/>
    <w:rsid w:val="00B62C8E"/>
    <w:rsid w:val="00B64FD2"/>
    <w:rsid w:val="00B67F21"/>
    <w:rsid w:val="00B72CA9"/>
    <w:rsid w:val="00B73640"/>
    <w:rsid w:val="00B741C0"/>
    <w:rsid w:val="00B7435A"/>
    <w:rsid w:val="00B76F2B"/>
    <w:rsid w:val="00B81E33"/>
    <w:rsid w:val="00B829E3"/>
    <w:rsid w:val="00B849FF"/>
    <w:rsid w:val="00B870A4"/>
    <w:rsid w:val="00BA0F38"/>
    <w:rsid w:val="00BA68CF"/>
    <w:rsid w:val="00BB0F7D"/>
    <w:rsid w:val="00BB2A53"/>
    <w:rsid w:val="00BC026F"/>
    <w:rsid w:val="00BC1199"/>
    <w:rsid w:val="00BC301F"/>
    <w:rsid w:val="00BD188C"/>
    <w:rsid w:val="00BD3CC7"/>
    <w:rsid w:val="00BD4818"/>
    <w:rsid w:val="00BD509F"/>
    <w:rsid w:val="00BD6283"/>
    <w:rsid w:val="00BD67F8"/>
    <w:rsid w:val="00BF1CB4"/>
    <w:rsid w:val="00C029F4"/>
    <w:rsid w:val="00C02E69"/>
    <w:rsid w:val="00C04716"/>
    <w:rsid w:val="00C05DA3"/>
    <w:rsid w:val="00C12B8F"/>
    <w:rsid w:val="00C13EE2"/>
    <w:rsid w:val="00C14081"/>
    <w:rsid w:val="00C15682"/>
    <w:rsid w:val="00C159A5"/>
    <w:rsid w:val="00C255C8"/>
    <w:rsid w:val="00C264F3"/>
    <w:rsid w:val="00C27908"/>
    <w:rsid w:val="00C4080B"/>
    <w:rsid w:val="00C419C7"/>
    <w:rsid w:val="00C43E69"/>
    <w:rsid w:val="00C5082F"/>
    <w:rsid w:val="00C5409C"/>
    <w:rsid w:val="00C5585E"/>
    <w:rsid w:val="00C5590C"/>
    <w:rsid w:val="00C56A98"/>
    <w:rsid w:val="00C5758E"/>
    <w:rsid w:val="00C63DAB"/>
    <w:rsid w:val="00C64BBA"/>
    <w:rsid w:val="00C67FB0"/>
    <w:rsid w:val="00C749C7"/>
    <w:rsid w:val="00C76C8A"/>
    <w:rsid w:val="00C77D7B"/>
    <w:rsid w:val="00C863EA"/>
    <w:rsid w:val="00C877F1"/>
    <w:rsid w:val="00C92C6F"/>
    <w:rsid w:val="00C94F8F"/>
    <w:rsid w:val="00CA0B80"/>
    <w:rsid w:val="00CA1152"/>
    <w:rsid w:val="00CA1416"/>
    <w:rsid w:val="00CA1C37"/>
    <w:rsid w:val="00CA2D37"/>
    <w:rsid w:val="00CA3B0F"/>
    <w:rsid w:val="00CA7C45"/>
    <w:rsid w:val="00CB5810"/>
    <w:rsid w:val="00CB7499"/>
    <w:rsid w:val="00CB7DB2"/>
    <w:rsid w:val="00CC1053"/>
    <w:rsid w:val="00CC13BA"/>
    <w:rsid w:val="00CC1D5C"/>
    <w:rsid w:val="00CC598E"/>
    <w:rsid w:val="00CD062E"/>
    <w:rsid w:val="00CD5BCA"/>
    <w:rsid w:val="00CD621A"/>
    <w:rsid w:val="00CE203F"/>
    <w:rsid w:val="00CE20A0"/>
    <w:rsid w:val="00CE4FDB"/>
    <w:rsid w:val="00CE73DB"/>
    <w:rsid w:val="00CF2D0C"/>
    <w:rsid w:val="00CF2DB8"/>
    <w:rsid w:val="00D02B63"/>
    <w:rsid w:val="00D063E0"/>
    <w:rsid w:val="00D07147"/>
    <w:rsid w:val="00D07A15"/>
    <w:rsid w:val="00D1036A"/>
    <w:rsid w:val="00D14F86"/>
    <w:rsid w:val="00D16363"/>
    <w:rsid w:val="00D20855"/>
    <w:rsid w:val="00D2172D"/>
    <w:rsid w:val="00D21E9E"/>
    <w:rsid w:val="00D22607"/>
    <w:rsid w:val="00D22FEF"/>
    <w:rsid w:val="00D25145"/>
    <w:rsid w:val="00D252CA"/>
    <w:rsid w:val="00D2667A"/>
    <w:rsid w:val="00D26B49"/>
    <w:rsid w:val="00D33498"/>
    <w:rsid w:val="00D3793B"/>
    <w:rsid w:val="00D40B4F"/>
    <w:rsid w:val="00D43072"/>
    <w:rsid w:val="00D4394E"/>
    <w:rsid w:val="00D4796F"/>
    <w:rsid w:val="00D54077"/>
    <w:rsid w:val="00D5515C"/>
    <w:rsid w:val="00D62897"/>
    <w:rsid w:val="00D63EF9"/>
    <w:rsid w:val="00D66146"/>
    <w:rsid w:val="00D66AE4"/>
    <w:rsid w:val="00D703CD"/>
    <w:rsid w:val="00D806C1"/>
    <w:rsid w:val="00D80EEB"/>
    <w:rsid w:val="00D8231E"/>
    <w:rsid w:val="00D86AD5"/>
    <w:rsid w:val="00D930F0"/>
    <w:rsid w:val="00D93654"/>
    <w:rsid w:val="00D970F9"/>
    <w:rsid w:val="00DB3140"/>
    <w:rsid w:val="00DB74AE"/>
    <w:rsid w:val="00DC4D21"/>
    <w:rsid w:val="00DC6044"/>
    <w:rsid w:val="00DC6C69"/>
    <w:rsid w:val="00DD2ED3"/>
    <w:rsid w:val="00DD3A94"/>
    <w:rsid w:val="00DD55FC"/>
    <w:rsid w:val="00DE11AB"/>
    <w:rsid w:val="00DE3B11"/>
    <w:rsid w:val="00DE586F"/>
    <w:rsid w:val="00DE5981"/>
    <w:rsid w:val="00DF1301"/>
    <w:rsid w:val="00DF35C2"/>
    <w:rsid w:val="00DF4EFC"/>
    <w:rsid w:val="00DF7BBE"/>
    <w:rsid w:val="00E04099"/>
    <w:rsid w:val="00E10056"/>
    <w:rsid w:val="00E21F43"/>
    <w:rsid w:val="00E22866"/>
    <w:rsid w:val="00E24143"/>
    <w:rsid w:val="00E34EC9"/>
    <w:rsid w:val="00E35FEE"/>
    <w:rsid w:val="00E3732E"/>
    <w:rsid w:val="00E41BF8"/>
    <w:rsid w:val="00E436BA"/>
    <w:rsid w:val="00E43E52"/>
    <w:rsid w:val="00E44AD6"/>
    <w:rsid w:val="00E50E2A"/>
    <w:rsid w:val="00E514FE"/>
    <w:rsid w:val="00E56326"/>
    <w:rsid w:val="00E6220E"/>
    <w:rsid w:val="00E63397"/>
    <w:rsid w:val="00E65079"/>
    <w:rsid w:val="00E664F3"/>
    <w:rsid w:val="00E711B9"/>
    <w:rsid w:val="00E73C7C"/>
    <w:rsid w:val="00E81AF8"/>
    <w:rsid w:val="00E8260E"/>
    <w:rsid w:val="00E836CE"/>
    <w:rsid w:val="00E85076"/>
    <w:rsid w:val="00E867B5"/>
    <w:rsid w:val="00E92988"/>
    <w:rsid w:val="00E93F12"/>
    <w:rsid w:val="00E93FD5"/>
    <w:rsid w:val="00E9414D"/>
    <w:rsid w:val="00E94957"/>
    <w:rsid w:val="00EA02FD"/>
    <w:rsid w:val="00EA38FA"/>
    <w:rsid w:val="00EB16DB"/>
    <w:rsid w:val="00EB3B7B"/>
    <w:rsid w:val="00EB46DA"/>
    <w:rsid w:val="00EC374B"/>
    <w:rsid w:val="00EC48D5"/>
    <w:rsid w:val="00EC754F"/>
    <w:rsid w:val="00ED085D"/>
    <w:rsid w:val="00ED22D6"/>
    <w:rsid w:val="00ED270E"/>
    <w:rsid w:val="00ED29DB"/>
    <w:rsid w:val="00ED2C23"/>
    <w:rsid w:val="00ED6FEB"/>
    <w:rsid w:val="00EE0AD0"/>
    <w:rsid w:val="00EE11D8"/>
    <w:rsid w:val="00EE2665"/>
    <w:rsid w:val="00EE3346"/>
    <w:rsid w:val="00EE704F"/>
    <w:rsid w:val="00EF4B36"/>
    <w:rsid w:val="00EF561B"/>
    <w:rsid w:val="00EF689B"/>
    <w:rsid w:val="00F04948"/>
    <w:rsid w:val="00F052A5"/>
    <w:rsid w:val="00F109ED"/>
    <w:rsid w:val="00F25CBB"/>
    <w:rsid w:val="00F3265E"/>
    <w:rsid w:val="00F342BD"/>
    <w:rsid w:val="00F4278F"/>
    <w:rsid w:val="00F4472B"/>
    <w:rsid w:val="00F519CC"/>
    <w:rsid w:val="00F52FFE"/>
    <w:rsid w:val="00F60094"/>
    <w:rsid w:val="00F64645"/>
    <w:rsid w:val="00F6724A"/>
    <w:rsid w:val="00F70A01"/>
    <w:rsid w:val="00F76171"/>
    <w:rsid w:val="00F82AE8"/>
    <w:rsid w:val="00F837B1"/>
    <w:rsid w:val="00F96542"/>
    <w:rsid w:val="00F97EDC"/>
    <w:rsid w:val="00FA6AA8"/>
    <w:rsid w:val="00FB0963"/>
    <w:rsid w:val="00FB4F0C"/>
    <w:rsid w:val="00FC0459"/>
    <w:rsid w:val="00FC0826"/>
    <w:rsid w:val="00FD0C78"/>
    <w:rsid w:val="00FD37DC"/>
    <w:rsid w:val="00FD5F29"/>
    <w:rsid w:val="00FE200A"/>
    <w:rsid w:val="00FF0944"/>
    <w:rsid w:val="00FF200E"/>
    <w:rsid w:val="00FF2CF5"/>
    <w:rsid w:val="00FF5ABC"/>
    <w:rsid w:val="00FF66FE"/>
    <w:rsid w:val="00FF749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8DF177"/>
  <w15:docId w15:val="{496672ED-221C-4014-9D19-4E954E96E1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8263C"/>
    <w:pPr>
      <w:tabs>
        <w:tab w:val="left" w:pos="1615"/>
      </w:tabs>
      <w:spacing w:line="240" w:lineRule="auto"/>
    </w:pPr>
    <w:rPr>
      <w:rFonts w:ascii="Calibri Light" w:hAnsi="Calibri Light"/>
    </w:rPr>
  </w:style>
  <w:style w:type="paragraph" w:styleId="Ttulo1">
    <w:name w:val="heading 1"/>
    <w:basedOn w:val="Normal"/>
    <w:next w:val="Normal"/>
    <w:link w:val="Ttulo1Char"/>
    <w:uiPriority w:val="9"/>
    <w:qFormat/>
    <w:rsid w:val="007661E3"/>
    <w:pPr>
      <w:spacing w:before="120"/>
      <w:outlineLvl w:val="0"/>
    </w:pPr>
    <w:rPr>
      <w:rFonts w:ascii="Calibri" w:hAnsi="Calibri"/>
      <w:b/>
      <w:color w:val="0C4A87" w:themeColor="accent2"/>
      <w:sz w:val="44"/>
      <w:szCs w:val="44"/>
    </w:rPr>
  </w:style>
  <w:style w:type="paragraph" w:styleId="Ttulo2">
    <w:name w:val="heading 2"/>
    <w:basedOn w:val="Normal"/>
    <w:next w:val="Normal"/>
    <w:link w:val="Ttulo2Char"/>
    <w:uiPriority w:val="9"/>
    <w:unhideWhenUsed/>
    <w:qFormat/>
    <w:rsid w:val="007661E3"/>
    <w:pPr>
      <w:spacing w:before="480"/>
      <w:jc w:val="both"/>
      <w:outlineLvl w:val="1"/>
    </w:pPr>
    <w:rPr>
      <w:rFonts w:ascii="Calibri" w:hAnsi="Calibri"/>
      <w:b/>
      <w:color w:val="4875BD" w:themeColor="accent1"/>
      <w:sz w:val="32"/>
      <w:szCs w:val="32"/>
    </w:rPr>
  </w:style>
  <w:style w:type="paragraph" w:styleId="Ttulo3">
    <w:name w:val="heading 3"/>
    <w:basedOn w:val="Normal"/>
    <w:next w:val="Normal"/>
    <w:link w:val="Ttulo3Char"/>
    <w:uiPriority w:val="9"/>
    <w:unhideWhenUsed/>
    <w:qFormat/>
    <w:rsid w:val="007661E3"/>
    <w:pPr>
      <w:spacing w:before="480"/>
      <w:jc w:val="both"/>
      <w:outlineLvl w:val="2"/>
    </w:pPr>
    <w:rPr>
      <w:rFonts w:ascii="Calibri" w:hAnsi="Calibri"/>
      <w:color w:val="3692ED" w:themeColor="accent2" w:themeTint="99"/>
      <w:sz w:val="28"/>
      <w:szCs w:val="28"/>
    </w:rPr>
  </w:style>
  <w:style w:type="paragraph" w:styleId="Ttulo4">
    <w:name w:val="heading 4"/>
    <w:basedOn w:val="Normal"/>
    <w:next w:val="Normal"/>
    <w:link w:val="Ttulo4Char"/>
    <w:uiPriority w:val="9"/>
    <w:unhideWhenUsed/>
    <w:qFormat/>
    <w:rsid w:val="007661E3"/>
    <w:pPr>
      <w:keepNext/>
      <w:keepLines/>
      <w:spacing w:before="360"/>
      <w:jc w:val="both"/>
      <w:outlineLvl w:val="3"/>
    </w:pPr>
    <w:rPr>
      <w:rFonts w:ascii="Calibri" w:eastAsiaTheme="majorEastAsia" w:hAnsi="Calibri" w:cstheme="majorBidi"/>
      <w:iCs/>
      <w:color w:val="79B6F3" w:themeColor="accent2" w:themeTint="66"/>
      <w:sz w:val="24"/>
    </w:rPr>
  </w:style>
  <w:style w:type="paragraph" w:styleId="Ttulo5">
    <w:name w:val="heading 5"/>
    <w:basedOn w:val="Normal"/>
    <w:next w:val="Normal"/>
    <w:link w:val="Ttulo5Char"/>
    <w:uiPriority w:val="9"/>
    <w:unhideWhenUsed/>
    <w:qFormat/>
    <w:rsid w:val="007653A5"/>
    <w:pPr>
      <w:keepNext/>
      <w:keepLines/>
      <w:spacing w:before="40" w:after="0"/>
      <w:outlineLvl w:val="4"/>
    </w:pPr>
    <w:rPr>
      <w:rFonts w:asciiTheme="majorHAnsi" w:eastAsiaTheme="majorEastAsia" w:hAnsiTheme="majorHAnsi" w:cstheme="majorBidi"/>
      <w:color w:val="34578F" w:themeColor="accent1" w:themeShade="BF"/>
    </w:rPr>
  </w:style>
  <w:style w:type="paragraph" w:styleId="Ttulo6">
    <w:name w:val="heading 6"/>
    <w:basedOn w:val="Normal"/>
    <w:next w:val="Normal"/>
    <w:link w:val="Ttulo6Char"/>
    <w:uiPriority w:val="9"/>
    <w:unhideWhenUsed/>
    <w:qFormat/>
    <w:rsid w:val="007653A5"/>
    <w:pPr>
      <w:keepNext/>
      <w:keepLines/>
      <w:spacing w:before="40" w:after="0"/>
      <w:outlineLvl w:val="5"/>
    </w:pPr>
    <w:rPr>
      <w:rFonts w:asciiTheme="majorHAnsi" w:eastAsiaTheme="majorEastAsia" w:hAnsiTheme="majorHAnsi" w:cstheme="majorBidi"/>
      <w:color w:val="22395F" w:themeColor="accent1" w:themeShade="7F"/>
    </w:rPr>
  </w:style>
  <w:style w:type="paragraph" w:styleId="Ttulo7">
    <w:name w:val="heading 7"/>
    <w:basedOn w:val="Normal"/>
    <w:next w:val="Normal"/>
    <w:link w:val="Ttulo7Char"/>
    <w:uiPriority w:val="9"/>
    <w:semiHidden/>
    <w:unhideWhenUsed/>
    <w:qFormat/>
    <w:rsid w:val="007653A5"/>
    <w:pPr>
      <w:keepNext/>
      <w:keepLines/>
      <w:spacing w:before="40" w:after="0"/>
      <w:outlineLvl w:val="6"/>
    </w:pPr>
    <w:rPr>
      <w:rFonts w:asciiTheme="majorHAnsi" w:eastAsiaTheme="majorEastAsia" w:hAnsiTheme="majorHAnsi" w:cstheme="majorBidi"/>
      <w:i/>
      <w:iCs/>
      <w:color w:val="22395F" w:themeColor="accent1" w:themeShade="7F"/>
    </w:rPr>
  </w:style>
  <w:style w:type="paragraph" w:styleId="Ttulo8">
    <w:name w:val="heading 8"/>
    <w:basedOn w:val="Normal"/>
    <w:next w:val="Normal"/>
    <w:link w:val="Ttulo8Char"/>
    <w:uiPriority w:val="9"/>
    <w:semiHidden/>
    <w:unhideWhenUsed/>
    <w:qFormat/>
    <w:rsid w:val="007653A5"/>
    <w:pPr>
      <w:keepNext/>
      <w:keepLines/>
      <w:spacing w:before="40" w:after="0"/>
      <w:outlineLvl w:val="7"/>
    </w:pPr>
    <w:rPr>
      <w:rFonts w:asciiTheme="majorHAnsi" w:eastAsiaTheme="majorEastAsia" w:hAnsiTheme="majorHAnsi" w:cstheme="majorBidi"/>
      <w:color w:val="638AC7" w:themeColor="text1" w:themeTint="D8"/>
      <w:sz w:val="21"/>
      <w:szCs w:val="21"/>
    </w:rPr>
  </w:style>
  <w:style w:type="paragraph" w:styleId="Ttulo9">
    <w:name w:val="heading 9"/>
    <w:basedOn w:val="Normal"/>
    <w:next w:val="Normal"/>
    <w:link w:val="Ttulo9Char"/>
    <w:uiPriority w:val="9"/>
    <w:semiHidden/>
    <w:unhideWhenUsed/>
    <w:qFormat/>
    <w:rsid w:val="007653A5"/>
    <w:pPr>
      <w:keepNext/>
      <w:keepLines/>
      <w:spacing w:before="40" w:after="0"/>
      <w:outlineLvl w:val="8"/>
    </w:pPr>
    <w:rPr>
      <w:rFonts w:asciiTheme="majorHAnsi" w:eastAsiaTheme="majorEastAsia" w:hAnsiTheme="majorHAnsi" w:cstheme="majorBidi"/>
      <w:i/>
      <w:iCs/>
      <w:color w:val="638AC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7661E3"/>
    <w:rPr>
      <w:rFonts w:ascii="Calibri" w:hAnsi="Calibri"/>
      <w:b/>
      <w:color w:val="0C4A87" w:themeColor="accent2"/>
      <w:sz w:val="44"/>
      <w:szCs w:val="44"/>
    </w:rPr>
  </w:style>
  <w:style w:type="character" w:customStyle="1" w:styleId="Ttulo2Char">
    <w:name w:val="Título 2 Char"/>
    <w:basedOn w:val="Fontepargpadro"/>
    <w:link w:val="Ttulo2"/>
    <w:uiPriority w:val="9"/>
    <w:rsid w:val="007661E3"/>
    <w:rPr>
      <w:rFonts w:ascii="Calibri" w:hAnsi="Calibri"/>
      <w:b/>
      <w:color w:val="4875BD" w:themeColor="accent1"/>
      <w:sz w:val="32"/>
      <w:szCs w:val="32"/>
    </w:rPr>
  </w:style>
  <w:style w:type="character" w:customStyle="1" w:styleId="Ttulo3Char">
    <w:name w:val="Título 3 Char"/>
    <w:basedOn w:val="Fontepargpadro"/>
    <w:link w:val="Ttulo3"/>
    <w:uiPriority w:val="9"/>
    <w:rsid w:val="007661E3"/>
    <w:rPr>
      <w:rFonts w:ascii="Calibri" w:hAnsi="Calibri"/>
      <w:color w:val="3692ED" w:themeColor="accent2" w:themeTint="99"/>
      <w:sz w:val="28"/>
      <w:szCs w:val="28"/>
    </w:rPr>
  </w:style>
  <w:style w:type="paragraph" w:styleId="SemEspaamento">
    <w:name w:val="No Spacing"/>
    <w:aliases w:val="Fonte"/>
    <w:basedOn w:val="Normal"/>
    <w:uiPriority w:val="1"/>
    <w:qFormat/>
    <w:rsid w:val="00AB2435"/>
    <w:pPr>
      <w:jc w:val="center"/>
    </w:pPr>
    <w:rPr>
      <w:rFonts w:ascii="Calibri" w:hAnsi="Calibri"/>
      <w:noProof/>
      <w:sz w:val="16"/>
      <w:szCs w:val="16"/>
      <w:lang w:eastAsia="pt-BR"/>
    </w:rPr>
  </w:style>
  <w:style w:type="paragraph" w:styleId="Textodebalo">
    <w:name w:val="Balloon Text"/>
    <w:basedOn w:val="Normal"/>
    <w:link w:val="TextodebaloChar"/>
    <w:uiPriority w:val="99"/>
    <w:semiHidden/>
    <w:unhideWhenUsed/>
    <w:rsid w:val="003A3A5A"/>
    <w:pPr>
      <w:spacing w:after="0"/>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3A3A5A"/>
    <w:rPr>
      <w:rFonts w:ascii="Segoe UI" w:hAnsi="Segoe UI" w:cs="Segoe UI"/>
      <w:sz w:val="18"/>
      <w:szCs w:val="18"/>
    </w:rPr>
  </w:style>
  <w:style w:type="table" w:styleId="Tabelacomgrade">
    <w:name w:val="Table Grid"/>
    <w:basedOn w:val="Tabelanormal"/>
    <w:uiPriority w:val="39"/>
    <w:rsid w:val="00D703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bealho">
    <w:name w:val="header"/>
    <w:basedOn w:val="Normal"/>
    <w:link w:val="CabealhoChar"/>
    <w:uiPriority w:val="99"/>
    <w:unhideWhenUsed/>
    <w:rsid w:val="001122E8"/>
    <w:pPr>
      <w:tabs>
        <w:tab w:val="clear" w:pos="1615"/>
        <w:tab w:val="center" w:pos="4252"/>
        <w:tab w:val="right" w:pos="8504"/>
      </w:tabs>
      <w:spacing w:after="0"/>
    </w:pPr>
  </w:style>
  <w:style w:type="character" w:customStyle="1" w:styleId="CabealhoChar">
    <w:name w:val="Cabeçalho Char"/>
    <w:basedOn w:val="Fontepargpadro"/>
    <w:link w:val="Cabealho"/>
    <w:uiPriority w:val="99"/>
    <w:rsid w:val="001122E8"/>
  </w:style>
  <w:style w:type="paragraph" w:styleId="Rodap">
    <w:name w:val="footer"/>
    <w:basedOn w:val="Normal"/>
    <w:link w:val="RodapChar"/>
    <w:uiPriority w:val="99"/>
    <w:unhideWhenUsed/>
    <w:rsid w:val="001122E8"/>
    <w:pPr>
      <w:tabs>
        <w:tab w:val="clear" w:pos="1615"/>
        <w:tab w:val="center" w:pos="4252"/>
        <w:tab w:val="right" w:pos="8504"/>
      </w:tabs>
      <w:spacing w:after="0"/>
    </w:pPr>
  </w:style>
  <w:style w:type="character" w:customStyle="1" w:styleId="RodapChar">
    <w:name w:val="Rodapé Char"/>
    <w:basedOn w:val="Fontepargpadro"/>
    <w:link w:val="Rodap"/>
    <w:uiPriority w:val="99"/>
    <w:rsid w:val="001122E8"/>
  </w:style>
  <w:style w:type="table" w:customStyle="1" w:styleId="TabeladeGrade41">
    <w:name w:val="Tabela de Grade 41"/>
    <w:basedOn w:val="Tabelanormal"/>
    <w:uiPriority w:val="49"/>
    <w:rsid w:val="00E436BA"/>
    <w:pPr>
      <w:spacing w:after="0" w:line="240" w:lineRule="auto"/>
    </w:pPr>
    <w:tblPr>
      <w:tblStyleRowBandSize w:val="1"/>
      <w:tblStyleColBandSize w:val="1"/>
      <w:tblBorders>
        <w:top w:val="single" w:sz="4" w:space="0" w:color="91ACD7" w:themeColor="text1" w:themeTint="99"/>
        <w:left w:val="single" w:sz="4" w:space="0" w:color="91ACD7" w:themeColor="text1" w:themeTint="99"/>
        <w:bottom w:val="single" w:sz="4" w:space="0" w:color="91ACD7" w:themeColor="text1" w:themeTint="99"/>
        <w:right w:val="single" w:sz="4" w:space="0" w:color="91ACD7" w:themeColor="text1" w:themeTint="99"/>
        <w:insideH w:val="single" w:sz="4" w:space="0" w:color="91ACD7" w:themeColor="text1" w:themeTint="99"/>
        <w:insideV w:val="single" w:sz="4" w:space="0" w:color="91ACD7" w:themeColor="text1" w:themeTint="99"/>
      </w:tblBorders>
    </w:tblPr>
    <w:tblStylePr w:type="firstRow">
      <w:rPr>
        <w:b/>
        <w:bCs/>
        <w:color w:val="FFFFFF" w:themeColor="background1"/>
      </w:rPr>
      <w:tblPr/>
      <w:tcPr>
        <w:tcBorders>
          <w:top w:val="single" w:sz="4" w:space="0" w:color="4875BD" w:themeColor="text1"/>
          <w:left w:val="single" w:sz="4" w:space="0" w:color="4875BD" w:themeColor="text1"/>
          <w:bottom w:val="single" w:sz="4" w:space="0" w:color="4875BD" w:themeColor="text1"/>
          <w:right w:val="single" w:sz="4" w:space="0" w:color="4875BD" w:themeColor="text1"/>
          <w:insideH w:val="nil"/>
          <w:insideV w:val="nil"/>
        </w:tcBorders>
        <w:shd w:val="clear" w:color="auto" w:fill="4875BD" w:themeFill="text1"/>
      </w:tcPr>
    </w:tblStylePr>
    <w:tblStylePr w:type="lastRow">
      <w:rPr>
        <w:b/>
        <w:bCs/>
      </w:rPr>
      <w:tblPr/>
      <w:tcPr>
        <w:tcBorders>
          <w:top w:val="double" w:sz="4" w:space="0" w:color="4875BD" w:themeColor="text1"/>
        </w:tcBorders>
      </w:tcPr>
    </w:tblStylePr>
    <w:tblStylePr w:type="firstCol">
      <w:rPr>
        <w:b/>
        <w:bCs/>
      </w:rPr>
    </w:tblStylePr>
    <w:tblStylePr w:type="lastCol">
      <w:rPr>
        <w:b/>
        <w:bCs/>
      </w:rPr>
    </w:tblStylePr>
    <w:tblStylePr w:type="band1Vert">
      <w:tblPr/>
      <w:tcPr>
        <w:shd w:val="clear" w:color="auto" w:fill="DAE3F1" w:themeFill="text1" w:themeFillTint="33"/>
      </w:tcPr>
    </w:tblStylePr>
    <w:tblStylePr w:type="band1Horz">
      <w:tblPr/>
      <w:tcPr>
        <w:shd w:val="clear" w:color="auto" w:fill="DAE3F1" w:themeFill="text1" w:themeFillTint="33"/>
      </w:tcPr>
    </w:tblStylePr>
  </w:style>
  <w:style w:type="table" w:customStyle="1" w:styleId="TabeladeGrade4-nfase21">
    <w:name w:val="Tabela de Grade 4 - Ênfase 21"/>
    <w:basedOn w:val="Tabelanormal"/>
    <w:uiPriority w:val="49"/>
    <w:rsid w:val="00E436BA"/>
    <w:pPr>
      <w:spacing w:after="0" w:line="240" w:lineRule="auto"/>
    </w:pPr>
    <w:tblPr>
      <w:tblStyleRowBandSize w:val="1"/>
      <w:tblStyleColBandSize w:val="1"/>
      <w:tblBorders>
        <w:top w:val="single" w:sz="4" w:space="0" w:color="3692ED" w:themeColor="accent2" w:themeTint="99"/>
        <w:left w:val="single" w:sz="4" w:space="0" w:color="3692ED" w:themeColor="accent2" w:themeTint="99"/>
        <w:bottom w:val="single" w:sz="4" w:space="0" w:color="3692ED" w:themeColor="accent2" w:themeTint="99"/>
        <w:right w:val="single" w:sz="4" w:space="0" w:color="3692ED" w:themeColor="accent2" w:themeTint="99"/>
        <w:insideH w:val="single" w:sz="4" w:space="0" w:color="3692ED" w:themeColor="accent2" w:themeTint="99"/>
        <w:insideV w:val="single" w:sz="4" w:space="0" w:color="3692ED" w:themeColor="accent2" w:themeTint="99"/>
      </w:tblBorders>
    </w:tblPr>
    <w:tblStylePr w:type="firstRow">
      <w:rPr>
        <w:b/>
        <w:bCs/>
        <w:color w:val="FFFFFF" w:themeColor="background1"/>
      </w:rPr>
      <w:tblPr/>
      <w:tcPr>
        <w:tcBorders>
          <w:top w:val="single" w:sz="4" w:space="0" w:color="0C4A87" w:themeColor="accent2"/>
          <w:left w:val="single" w:sz="4" w:space="0" w:color="0C4A87" w:themeColor="accent2"/>
          <w:bottom w:val="single" w:sz="4" w:space="0" w:color="0C4A87" w:themeColor="accent2"/>
          <w:right w:val="single" w:sz="4" w:space="0" w:color="0C4A87" w:themeColor="accent2"/>
          <w:insideH w:val="nil"/>
          <w:insideV w:val="nil"/>
        </w:tcBorders>
        <w:shd w:val="clear" w:color="auto" w:fill="0C4A87" w:themeFill="accent2"/>
      </w:tcPr>
    </w:tblStylePr>
    <w:tblStylePr w:type="lastRow">
      <w:rPr>
        <w:b/>
        <w:bCs/>
      </w:rPr>
      <w:tblPr/>
      <w:tcPr>
        <w:tcBorders>
          <w:top w:val="double" w:sz="4" w:space="0" w:color="0C4A87" w:themeColor="accent2"/>
        </w:tcBorders>
      </w:tcPr>
    </w:tblStylePr>
    <w:tblStylePr w:type="firstCol">
      <w:rPr>
        <w:b/>
        <w:bCs/>
      </w:rPr>
    </w:tblStylePr>
    <w:tblStylePr w:type="lastCol">
      <w:rPr>
        <w:b/>
        <w:bCs/>
      </w:rPr>
    </w:tblStylePr>
    <w:tblStylePr w:type="band1Vert">
      <w:tblPr/>
      <w:tcPr>
        <w:shd w:val="clear" w:color="auto" w:fill="BCDAF9" w:themeFill="accent2" w:themeFillTint="33"/>
      </w:tcPr>
    </w:tblStylePr>
    <w:tblStylePr w:type="band1Horz">
      <w:tblPr/>
      <w:tcPr>
        <w:shd w:val="clear" w:color="auto" w:fill="BCDAF9" w:themeFill="accent2" w:themeFillTint="33"/>
      </w:tcPr>
    </w:tblStylePr>
  </w:style>
  <w:style w:type="table" w:customStyle="1" w:styleId="TabeladeGrade4-nfase41">
    <w:name w:val="Tabela de Grade 4 - Ênfase 41"/>
    <w:basedOn w:val="Tabelanormal"/>
    <w:uiPriority w:val="49"/>
    <w:rsid w:val="00E436BA"/>
    <w:pPr>
      <w:spacing w:after="0" w:line="240" w:lineRule="auto"/>
    </w:pPr>
    <w:tblPr>
      <w:tblStyleRowBandSize w:val="1"/>
      <w:tblStyleColBandSize w:val="1"/>
      <w:tblBorders>
        <w:top w:val="single" w:sz="4" w:space="0" w:color="B2AEB3" w:themeColor="accent4" w:themeTint="99"/>
        <w:left w:val="single" w:sz="4" w:space="0" w:color="B2AEB3" w:themeColor="accent4" w:themeTint="99"/>
        <w:bottom w:val="single" w:sz="4" w:space="0" w:color="B2AEB3" w:themeColor="accent4" w:themeTint="99"/>
        <w:right w:val="single" w:sz="4" w:space="0" w:color="B2AEB3" w:themeColor="accent4" w:themeTint="99"/>
        <w:insideH w:val="single" w:sz="4" w:space="0" w:color="B2AEB3" w:themeColor="accent4" w:themeTint="99"/>
        <w:insideV w:val="single" w:sz="4" w:space="0" w:color="B2AEB3" w:themeColor="accent4" w:themeTint="99"/>
      </w:tblBorders>
    </w:tblPr>
    <w:tblStylePr w:type="firstRow">
      <w:rPr>
        <w:b/>
        <w:bCs/>
        <w:color w:val="FFFFFF" w:themeColor="background1"/>
      </w:rPr>
      <w:tblPr/>
      <w:tcPr>
        <w:tcBorders>
          <w:top w:val="single" w:sz="4" w:space="0" w:color="7F7981" w:themeColor="accent4"/>
          <w:left w:val="single" w:sz="4" w:space="0" w:color="7F7981" w:themeColor="accent4"/>
          <w:bottom w:val="single" w:sz="4" w:space="0" w:color="7F7981" w:themeColor="accent4"/>
          <w:right w:val="single" w:sz="4" w:space="0" w:color="7F7981" w:themeColor="accent4"/>
          <w:insideH w:val="nil"/>
          <w:insideV w:val="nil"/>
        </w:tcBorders>
        <w:shd w:val="clear" w:color="auto" w:fill="7F7981" w:themeFill="accent4"/>
      </w:tcPr>
    </w:tblStylePr>
    <w:tblStylePr w:type="lastRow">
      <w:rPr>
        <w:b/>
        <w:bCs/>
      </w:rPr>
      <w:tblPr/>
      <w:tcPr>
        <w:tcBorders>
          <w:top w:val="double" w:sz="4" w:space="0" w:color="7F7981" w:themeColor="accent4"/>
        </w:tcBorders>
      </w:tcPr>
    </w:tblStylePr>
    <w:tblStylePr w:type="firstCol">
      <w:rPr>
        <w:b/>
        <w:bCs/>
      </w:rPr>
    </w:tblStylePr>
    <w:tblStylePr w:type="lastCol">
      <w:rPr>
        <w:b/>
        <w:bCs/>
      </w:rPr>
    </w:tblStylePr>
    <w:tblStylePr w:type="band1Vert">
      <w:tblPr/>
      <w:tcPr>
        <w:shd w:val="clear" w:color="auto" w:fill="E5E4E5" w:themeFill="accent4" w:themeFillTint="33"/>
      </w:tcPr>
    </w:tblStylePr>
    <w:tblStylePr w:type="band1Horz">
      <w:tblPr/>
      <w:tcPr>
        <w:shd w:val="clear" w:color="auto" w:fill="E5E4E5" w:themeFill="accent4" w:themeFillTint="33"/>
      </w:tcPr>
    </w:tblStylePr>
  </w:style>
  <w:style w:type="paragraph" w:styleId="NormalWeb">
    <w:name w:val="Normal (Web)"/>
    <w:aliases w:val="Char"/>
    <w:basedOn w:val="Normal"/>
    <w:link w:val="NormalWebChar"/>
    <w:uiPriority w:val="99"/>
    <w:unhideWhenUsed/>
    <w:rsid w:val="00C5585E"/>
    <w:pPr>
      <w:tabs>
        <w:tab w:val="clear" w:pos="1615"/>
      </w:tabs>
      <w:spacing w:before="100" w:beforeAutospacing="1" w:after="100" w:afterAutospacing="1"/>
    </w:pPr>
    <w:rPr>
      <w:rFonts w:ascii="Calibri" w:eastAsia="Times New Roman" w:hAnsi="Calibri" w:cs="Times New Roman"/>
      <w:color w:val="1C407A" w:themeColor="accent3"/>
      <w:sz w:val="28"/>
      <w:szCs w:val="24"/>
      <w:lang w:eastAsia="pt-BR"/>
    </w:rPr>
  </w:style>
  <w:style w:type="paragraph" w:styleId="Ttulo">
    <w:name w:val="Title"/>
    <w:basedOn w:val="Normal"/>
    <w:next w:val="Normal"/>
    <w:link w:val="TtuloChar"/>
    <w:uiPriority w:val="10"/>
    <w:qFormat/>
    <w:rsid w:val="00211C8D"/>
    <w:pPr>
      <w:spacing w:after="0"/>
      <w:contextualSpacing/>
    </w:pPr>
    <w:rPr>
      <w:rFonts w:ascii="Calibri" w:eastAsiaTheme="majorEastAsia" w:hAnsi="Calibri" w:cstheme="majorBidi"/>
      <w:b/>
      <w:spacing w:val="-10"/>
      <w:kern w:val="28"/>
      <w:sz w:val="28"/>
      <w:szCs w:val="56"/>
    </w:rPr>
  </w:style>
  <w:style w:type="character" w:customStyle="1" w:styleId="TtuloChar">
    <w:name w:val="Título Char"/>
    <w:basedOn w:val="Fontepargpadro"/>
    <w:link w:val="Ttulo"/>
    <w:uiPriority w:val="10"/>
    <w:rsid w:val="00211C8D"/>
    <w:rPr>
      <w:rFonts w:ascii="Calibri" w:eastAsiaTheme="majorEastAsia" w:hAnsi="Calibri" w:cstheme="majorBidi"/>
      <w:b/>
      <w:spacing w:val="-10"/>
      <w:kern w:val="28"/>
      <w:sz w:val="28"/>
      <w:szCs w:val="56"/>
    </w:rPr>
  </w:style>
  <w:style w:type="table" w:customStyle="1" w:styleId="TabeladeGrade1Clara1">
    <w:name w:val="Tabela de Grade 1 Clara1"/>
    <w:basedOn w:val="Tabelanormal"/>
    <w:uiPriority w:val="46"/>
    <w:rsid w:val="00901614"/>
    <w:pPr>
      <w:spacing w:after="0" w:line="240" w:lineRule="auto"/>
    </w:pPr>
    <w:tblPr>
      <w:tblStyleRowBandSize w:val="1"/>
      <w:tblStyleColBandSize w:val="1"/>
      <w:tblBorders>
        <w:top w:val="single" w:sz="4" w:space="0" w:color="B5C7E4" w:themeColor="text1" w:themeTint="66"/>
        <w:left w:val="single" w:sz="4" w:space="0" w:color="B5C7E4" w:themeColor="text1" w:themeTint="66"/>
        <w:bottom w:val="single" w:sz="4" w:space="0" w:color="B5C7E4" w:themeColor="text1" w:themeTint="66"/>
        <w:right w:val="single" w:sz="4" w:space="0" w:color="B5C7E4" w:themeColor="text1" w:themeTint="66"/>
        <w:insideH w:val="single" w:sz="4" w:space="0" w:color="B5C7E4" w:themeColor="text1" w:themeTint="66"/>
        <w:insideV w:val="single" w:sz="4" w:space="0" w:color="B5C7E4" w:themeColor="text1" w:themeTint="66"/>
      </w:tblBorders>
    </w:tblPr>
    <w:tblStylePr w:type="firstRow">
      <w:rPr>
        <w:b/>
        <w:bCs/>
      </w:rPr>
      <w:tblPr/>
      <w:tcPr>
        <w:tcBorders>
          <w:bottom w:val="single" w:sz="12" w:space="0" w:color="91ACD7" w:themeColor="text1" w:themeTint="99"/>
        </w:tcBorders>
      </w:tcPr>
    </w:tblStylePr>
    <w:tblStylePr w:type="lastRow">
      <w:rPr>
        <w:b/>
        <w:bCs/>
      </w:rPr>
      <w:tblPr/>
      <w:tcPr>
        <w:tcBorders>
          <w:top w:val="double" w:sz="2" w:space="0" w:color="91ACD7" w:themeColor="text1" w:themeTint="99"/>
        </w:tcBorders>
      </w:tcPr>
    </w:tblStylePr>
    <w:tblStylePr w:type="firstCol">
      <w:rPr>
        <w:b/>
        <w:bCs/>
      </w:rPr>
    </w:tblStylePr>
    <w:tblStylePr w:type="lastCol">
      <w:rPr>
        <w:b/>
        <w:bCs/>
      </w:rPr>
    </w:tblStylePr>
  </w:style>
  <w:style w:type="table" w:customStyle="1" w:styleId="SimplesTabela21">
    <w:name w:val="Simples Tabela 21"/>
    <w:basedOn w:val="Tabelanormal"/>
    <w:uiPriority w:val="42"/>
    <w:rsid w:val="009A59CC"/>
    <w:pPr>
      <w:spacing w:after="0" w:line="240" w:lineRule="auto"/>
    </w:pPr>
    <w:tblPr>
      <w:tblStyleRowBandSize w:val="1"/>
      <w:tblStyleColBandSize w:val="1"/>
      <w:tblBorders>
        <w:top w:val="single" w:sz="4" w:space="0" w:color="A3B9DD" w:themeColor="text1" w:themeTint="80"/>
        <w:bottom w:val="single" w:sz="4" w:space="0" w:color="A3B9DD" w:themeColor="text1" w:themeTint="80"/>
      </w:tblBorders>
    </w:tblPr>
    <w:tblStylePr w:type="firstRow">
      <w:rPr>
        <w:b/>
        <w:bCs/>
      </w:rPr>
      <w:tblPr/>
      <w:tcPr>
        <w:tcBorders>
          <w:bottom w:val="single" w:sz="4" w:space="0" w:color="A3B9DD" w:themeColor="text1" w:themeTint="80"/>
        </w:tcBorders>
      </w:tcPr>
    </w:tblStylePr>
    <w:tblStylePr w:type="lastRow">
      <w:rPr>
        <w:b/>
        <w:bCs/>
      </w:rPr>
      <w:tblPr/>
      <w:tcPr>
        <w:tcBorders>
          <w:top w:val="single" w:sz="4" w:space="0" w:color="A3B9DD" w:themeColor="text1" w:themeTint="80"/>
        </w:tcBorders>
      </w:tcPr>
    </w:tblStylePr>
    <w:tblStylePr w:type="firstCol">
      <w:rPr>
        <w:b/>
        <w:bCs/>
      </w:rPr>
    </w:tblStylePr>
    <w:tblStylePr w:type="lastCol">
      <w:rPr>
        <w:b/>
        <w:bCs/>
      </w:rPr>
    </w:tblStylePr>
    <w:tblStylePr w:type="band1Vert">
      <w:tblPr/>
      <w:tcPr>
        <w:tcBorders>
          <w:left w:val="single" w:sz="4" w:space="0" w:color="A3B9DD" w:themeColor="text1" w:themeTint="80"/>
          <w:right w:val="single" w:sz="4" w:space="0" w:color="A3B9DD" w:themeColor="text1" w:themeTint="80"/>
        </w:tcBorders>
      </w:tcPr>
    </w:tblStylePr>
    <w:tblStylePr w:type="band2Vert">
      <w:tblPr/>
      <w:tcPr>
        <w:tcBorders>
          <w:left w:val="single" w:sz="4" w:space="0" w:color="A3B9DD" w:themeColor="text1" w:themeTint="80"/>
          <w:right w:val="single" w:sz="4" w:space="0" w:color="A3B9DD" w:themeColor="text1" w:themeTint="80"/>
        </w:tcBorders>
      </w:tcPr>
    </w:tblStylePr>
    <w:tblStylePr w:type="band1Horz">
      <w:tblPr/>
      <w:tcPr>
        <w:tcBorders>
          <w:top w:val="single" w:sz="4" w:space="0" w:color="A3B9DD" w:themeColor="text1" w:themeTint="80"/>
          <w:bottom w:val="single" w:sz="4" w:space="0" w:color="A3B9DD" w:themeColor="text1" w:themeTint="80"/>
        </w:tcBorders>
      </w:tcPr>
    </w:tblStylePr>
  </w:style>
  <w:style w:type="character" w:styleId="Forte">
    <w:name w:val="Strong"/>
    <w:basedOn w:val="Fontepargpadro"/>
    <w:uiPriority w:val="22"/>
    <w:qFormat/>
    <w:rsid w:val="00A93D12"/>
    <w:rPr>
      <w:rFonts w:ascii="Calibri" w:hAnsi="Calibri"/>
      <w:b w:val="0"/>
      <w:bCs/>
      <w:i w:val="0"/>
    </w:rPr>
  </w:style>
  <w:style w:type="character" w:customStyle="1" w:styleId="Ttulo4Char">
    <w:name w:val="Título 4 Char"/>
    <w:basedOn w:val="Fontepargpadro"/>
    <w:link w:val="Ttulo4"/>
    <w:uiPriority w:val="9"/>
    <w:rsid w:val="007661E3"/>
    <w:rPr>
      <w:rFonts w:ascii="Calibri" w:eastAsiaTheme="majorEastAsia" w:hAnsi="Calibri" w:cstheme="majorBidi"/>
      <w:iCs/>
      <w:color w:val="79B6F3" w:themeColor="accent2" w:themeTint="66"/>
      <w:sz w:val="24"/>
    </w:rPr>
  </w:style>
  <w:style w:type="paragraph" w:styleId="Subttulo">
    <w:name w:val="Subtitle"/>
    <w:basedOn w:val="Normal"/>
    <w:next w:val="Normal"/>
    <w:link w:val="SubttuloChar"/>
    <w:uiPriority w:val="11"/>
    <w:qFormat/>
    <w:rsid w:val="007803D5"/>
    <w:pPr>
      <w:numPr>
        <w:ilvl w:val="1"/>
      </w:numPr>
    </w:pPr>
    <w:rPr>
      <w:rFonts w:ascii="Calibri" w:eastAsiaTheme="minorEastAsia" w:hAnsi="Calibri"/>
      <w:color w:val="0C4A87" w:themeColor="accent2"/>
      <w:spacing w:val="15"/>
      <w:sz w:val="32"/>
    </w:rPr>
  </w:style>
  <w:style w:type="character" w:customStyle="1" w:styleId="SubttuloChar">
    <w:name w:val="Subtítulo Char"/>
    <w:basedOn w:val="Fontepargpadro"/>
    <w:link w:val="Subttulo"/>
    <w:uiPriority w:val="11"/>
    <w:rsid w:val="007803D5"/>
    <w:rPr>
      <w:rFonts w:ascii="Calibri" w:eastAsiaTheme="minorEastAsia" w:hAnsi="Calibri"/>
      <w:color w:val="0C4A87" w:themeColor="accent2"/>
      <w:spacing w:val="15"/>
      <w:sz w:val="32"/>
    </w:rPr>
  </w:style>
  <w:style w:type="character" w:styleId="nfaseSutil">
    <w:name w:val="Subtle Emphasis"/>
    <w:basedOn w:val="Fontepargpadro"/>
    <w:uiPriority w:val="19"/>
    <w:qFormat/>
    <w:rsid w:val="007803D5"/>
    <w:rPr>
      <w:i/>
      <w:iCs/>
      <w:color w:val="7597CD" w:themeColor="text1" w:themeTint="BF"/>
    </w:rPr>
  </w:style>
  <w:style w:type="character" w:styleId="nfase">
    <w:name w:val="Emphasis"/>
    <w:basedOn w:val="Fontepargpadro"/>
    <w:uiPriority w:val="20"/>
    <w:qFormat/>
    <w:rsid w:val="00421B87"/>
    <w:rPr>
      <w:rFonts w:ascii="Calibri" w:hAnsi="Calibri"/>
      <w:b/>
      <w:i/>
      <w:iCs/>
      <w:color w:val="4875BD" w:themeColor="text1"/>
    </w:rPr>
  </w:style>
  <w:style w:type="character" w:styleId="nfaseIntensa">
    <w:name w:val="Intense Emphasis"/>
    <w:basedOn w:val="Fontepargpadro"/>
    <w:uiPriority w:val="21"/>
    <w:qFormat/>
    <w:rsid w:val="00C5758E"/>
    <w:rPr>
      <w:rFonts w:ascii="Calibri" w:hAnsi="Calibri"/>
      <w:b w:val="0"/>
      <w:i/>
      <w:iCs/>
      <w:color w:val="0C4A87" w:themeColor="accent2"/>
    </w:rPr>
  </w:style>
  <w:style w:type="paragraph" w:styleId="Citao">
    <w:name w:val="Quote"/>
    <w:basedOn w:val="Normal"/>
    <w:next w:val="Normal"/>
    <w:link w:val="CitaoChar"/>
    <w:uiPriority w:val="29"/>
    <w:qFormat/>
    <w:rsid w:val="00A54802"/>
    <w:pPr>
      <w:spacing w:before="200"/>
      <w:ind w:left="2268" w:right="864"/>
      <w:jc w:val="both"/>
    </w:pPr>
    <w:rPr>
      <w:iCs/>
      <w:lang w:val="en-US"/>
    </w:rPr>
  </w:style>
  <w:style w:type="character" w:customStyle="1" w:styleId="CitaoChar">
    <w:name w:val="Citação Char"/>
    <w:basedOn w:val="Fontepargpadro"/>
    <w:link w:val="Citao"/>
    <w:uiPriority w:val="29"/>
    <w:rsid w:val="00A54802"/>
    <w:rPr>
      <w:rFonts w:ascii="Calibri Light" w:hAnsi="Calibri Light"/>
      <w:iCs/>
      <w:lang w:val="en-US"/>
    </w:rPr>
  </w:style>
  <w:style w:type="paragraph" w:styleId="CitaoIntensa">
    <w:name w:val="Intense Quote"/>
    <w:basedOn w:val="Normal"/>
    <w:next w:val="Normal"/>
    <w:link w:val="CitaoIntensaChar"/>
    <w:autoRedefine/>
    <w:uiPriority w:val="30"/>
    <w:qFormat/>
    <w:rsid w:val="00A54802"/>
    <w:pPr>
      <w:pBdr>
        <w:top w:val="single" w:sz="4" w:space="10" w:color="4875BD" w:themeColor="accent1"/>
        <w:bottom w:val="single" w:sz="4" w:space="10" w:color="4875BD" w:themeColor="accent1"/>
      </w:pBdr>
      <w:spacing w:before="360" w:after="360"/>
      <w:ind w:left="864" w:right="864"/>
      <w:jc w:val="both"/>
    </w:pPr>
    <w:rPr>
      <w:rFonts w:ascii="Calibri" w:hAnsi="Calibri"/>
      <w:b/>
      <w:iCs/>
      <w:color w:val="1C407A" w:themeColor="accent3"/>
    </w:rPr>
  </w:style>
  <w:style w:type="character" w:customStyle="1" w:styleId="CitaoIntensaChar">
    <w:name w:val="Citação Intensa Char"/>
    <w:basedOn w:val="Fontepargpadro"/>
    <w:link w:val="CitaoIntensa"/>
    <w:uiPriority w:val="30"/>
    <w:rsid w:val="00A54802"/>
    <w:rPr>
      <w:rFonts w:ascii="Calibri" w:hAnsi="Calibri"/>
      <w:b/>
      <w:iCs/>
      <w:color w:val="1C407A" w:themeColor="accent3"/>
    </w:rPr>
  </w:style>
  <w:style w:type="character" w:styleId="RefernciaSutil">
    <w:name w:val="Subtle Reference"/>
    <w:basedOn w:val="Fontepargpadro"/>
    <w:uiPriority w:val="31"/>
    <w:qFormat/>
    <w:rsid w:val="00421B87"/>
    <w:rPr>
      <w:rFonts w:ascii="Calibri" w:hAnsi="Calibri"/>
      <w:smallCaps/>
      <w:color w:val="4875BD" w:themeColor="text1"/>
    </w:rPr>
  </w:style>
  <w:style w:type="character" w:styleId="RefernciaIntensa">
    <w:name w:val="Intense Reference"/>
    <w:basedOn w:val="Fontepargpadro"/>
    <w:uiPriority w:val="32"/>
    <w:qFormat/>
    <w:rsid w:val="0055384A"/>
    <w:rPr>
      <w:rFonts w:ascii="Calibri" w:hAnsi="Calibri"/>
      <w:b w:val="0"/>
      <w:bCs/>
      <w:smallCaps/>
      <w:color w:val="0C4A87" w:themeColor="accent2"/>
      <w:spacing w:val="5"/>
    </w:rPr>
  </w:style>
  <w:style w:type="character" w:styleId="TtulodoLivro">
    <w:name w:val="Book Title"/>
    <w:basedOn w:val="Fontepargpadro"/>
    <w:uiPriority w:val="33"/>
    <w:qFormat/>
    <w:rsid w:val="000348E4"/>
    <w:rPr>
      <w:rFonts w:ascii="Calibri" w:hAnsi="Calibri"/>
      <w:b/>
      <w:bCs/>
      <w:i/>
      <w:iCs/>
      <w:spacing w:val="5"/>
    </w:rPr>
  </w:style>
  <w:style w:type="paragraph" w:styleId="PargrafodaLista">
    <w:name w:val="List Paragraph"/>
    <w:basedOn w:val="Normal"/>
    <w:uiPriority w:val="34"/>
    <w:qFormat/>
    <w:rsid w:val="000348E4"/>
    <w:pPr>
      <w:ind w:left="720"/>
      <w:contextualSpacing/>
    </w:pPr>
  </w:style>
  <w:style w:type="paragraph" w:styleId="CabealhodoSumrio">
    <w:name w:val="TOC Heading"/>
    <w:basedOn w:val="Ttulo1"/>
    <w:next w:val="Normal"/>
    <w:uiPriority w:val="39"/>
    <w:unhideWhenUsed/>
    <w:qFormat/>
    <w:rsid w:val="0026297B"/>
    <w:pPr>
      <w:keepNext/>
      <w:keepLines/>
      <w:tabs>
        <w:tab w:val="clear" w:pos="1615"/>
      </w:tabs>
      <w:spacing w:before="240" w:after="0" w:line="259" w:lineRule="auto"/>
      <w:jc w:val="center"/>
      <w:outlineLvl w:val="9"/>
    </w:pPr>
    <w:rPr>
      <w:rFonts w:eastAsiaTheme="majorEastAsia" w:cstheme="majorBidi"/>
      <w:b w:val="0"/>
      <w:color w:val="34578F" w:themeColor="accent1" w:themeShade="BF"/>
      <w:szCs w:val="32"/>
      <w:lang w:eastAsia="pt-BR"/>
    </w:rPr>
  </w:style>
  <w:style w:type="paragraph" w:styleId="Sumrio1">
    <w:name w:val="toc 1"/>
    <w:basedOn w:val="Normal"/>
    <w:next w:val="Normal"/>
    <w:autoRedefine/>
    <w:uiPriority w:val="39"/>
    <w:unhideWhenUsed/>
    <w:rsid w:val="00D4796F"/>
    <w:pPr>
      <w:tabs>
        <w:tab w:val="clear" w:pos="1615"/>
        <w:tab w:val="left" w:pos="480"/>
        <w:tab w:val="right" w:pos="8505"/>
      </w:tabs>
      <w:spacing w:after="240"/>
    </w:pPr>
  </w:style>
  <w:style w:type="paragraph" w:styleId="Sumrio2">
    <w:name w:val="toc 2"/>
    <w:basedOn w:val="Normal"/>
    <w:next w:val="Normal"/>
    <w:autoRedefine/>
    <w:uiPriority w:val="39"/>
    <w:unhideWhenUsed/>
    <w:rsid w:val="003C7DE7"/>
    <w:pPr>
      <w:tabs>
        <w:tab w:val="clear" w:pos="1615"/>
        <w:tab w:val="left" w:pos="284"/>
        <w:tab w:val="right" w:pos="8931"/>
      </w:tabs>
      <w:spacing w:after="240"/>
      <w:ind w:left="284" w:hanging="284"/>
      <w:jc w:val="both"/>
    </w:pPr>
    <w:rPr>
      <w:rFonts w:asciiTheme="minorHAnsi" w:hAnsiTheme="minorHAnsi" w:cstheme="minorHAnsi"/>
      <w:b/>
      <w:bCs/>
      <w:noProof/>
      <w:spacing w:val="-4"/>
      <w:sz w:val="24"/>
      <w:szCs w:val="24"/>
    </w:rPr>
  </w:style>
  <w:style w:type="paragraph" w:styleId="Sumrio3">
    <w:name w:val="toc 3"/>
    <w:basedOn w:val="Normal"/>
    <w:next w:val="Normal"/>
    <w:autoRedefine/>
    <w:uiPriority w:val="39"/>
    <w:unhideWhenUsed/>
    <w:rsid w:val="009F4DB4"/>
    <w:pPr>
      <w:tabs>
        <w:tab w:val="clear" w:pos="1615"/>
      </w:tabs>
      <w:spacing w:after="100"/>
      <w:ind w:left="480"/>
    </w:pPr>
  </w:style>
  <w:style w:type="character" w:styleId="Hyperlink">
    <w:name w:val="Hyperlink"/>
    <w:basedOn w:val="Fontepargpadro"/>
    <w:uiPriority w:val="99"/>
    <w:unhideWhenUsed/>
    <w:rsid w:val="009F4DB4"/>
    <w:rPr>
      <w:rFonts w:ascii="Calibri" w:hAnsi="Calibri"/>
      <w:color w:val="4875BD" w:themeColor="accent1"/>
      <w:u w:val="single"/>
    </w:rPr>
  </w:style>
  <w:style w:type="paragraph" w:styleId="Legenda">
    <w:name w:val="caption"/>
    <w:basedOn w:val="Normal"/>
    <w:next w:val="Normal"/>
    <w:autoRedefine/>
    <w:uiPriority w:val="35"/>
    <w:unhideWhenUsed/>
    <w:qFormat/>
    <w:rsid w:val="008A364C"/>
    <w:pPr>
      <w:tabs>
        <w:tab w:val="clear" w:pos="1615"/>
      </w:tabs>
      <w:spacing w:after="200" w:line="360" w:lineRule="auto"/>
      <w:ind w:firstLine="709"/>
      <w:jc w:val="both"/>
    </w:pPr>
    <w:rPr>
      <w:rFonts w:asciiTheme="majorHAnsi" w:hAnsiTheme="majorHAnsi" w:cstheme="majorHAnsi"/>
      <w:iCs/>
      <w:szCs w:val="20"/>
    </w:rPr>
  </w:style>
  <w:style w:type="paragraph" w:styleId="ndicedeilustraes">
    <w:name w:val="table of figures"/>
    <w:basedOn w:val="Normal"/>
    <w:next w:val="Normal"/>
    <w:uiPriority w:val="99"/>
    <w:unhideWhenUsed/>
    <w:rsid w:val="004F67D1"/>
    <w:pPr>
      <w:tabs>
        <w:tab w:val="clear" w:pos="1615"/>
      </w:tabs>
      <w:spacing w:after="0"/>
    </w:pPr>
  </w:style>
  <w:style w:type="table" w:customStyle="1" w:styleId="TabeladeLista1Clara-nfase11">
    <w:name w:val="Tabela de Lista 1 Clara - Ênfase 11"/>
    <w:basedOn w:val="Tabelanormal"/>
    <w:uiPriority w:val="46"/>
    <w:rsid w:val="007661E3"/>
    <w:pPr>
      <w:spacing w:after="0" w:line="240" w:lineRule="auto"/>
    </w:pPr>
    <w:tblPr>
      <w:tblStyleRowBandSize w:val="1"/>
      <w:tblStyleColBandSize w:val="1"/>
    </w:tblPr>
    <w:tblStylePr w:type="firstRow">
      <w:rPr>
        <w:b/>
        <w:bCs/>
      </w:rPr>
      <w:tblPr/>
      <w:tcPr>
        <w:tcBorders>
          <w:bottom w:val="single" w:sz="4" w:space="0" w:color="91ACD7" w:themeColor="accent1" w:themeTint="99"/>
        </w:tcBorders>
      </w:tcPr>
    </w:tblStylePr>
    <w:tblStylePr w:type="lastRow">
      <w:rPr>
        <w:b/>
        <w:bCs/>
      </w:rPr>
      <w:tblPr/>
      <w:tcPr>
        <w:tcBorders>
          <w:top w:val="single" w:sz="4" w:space="0" w:color="91ACD7" w:themeColor="accent1" w:themeTint="99"/>
        </w:tcBorders>
      </w:tcPr>
    </w:tblStylePr>
    <w:tblStylePr w:type="firstCol">
      <w:rPr>
        <w:b/>
        <w:bCs/>
      </w:rPr>
    </w:tblStylePr>
    <w:tblStylePr w:type="lastCol">
      <w:rPr>
        <w:b/>
        <w:bCs/>
      </w:rPr>
    </w:tblStylePr>
    <w:tblStylePr w:type="band1Vert">
      <w:tblPr/>
      <w:tcPr>
        <w:shd w:val="clear" w:color="auto" w:fill="DAE3F1" w:themeFill="accent1" w:themeFillTint="33"/>
      </w:tcPr>
    </w:tblStylePr>
    <w:tblStylePr w:type="band1Horz">
      <w:tblPr/>
      <w:tcPr>
        <w:shd w:val="clear" w:color="auto" w:fill="DAE3F1" w:themeFill="accent1" w:themeFillTint="33"/>
      </w:tcPr>
    </w:tblStylePr>
  </w:style>
  <w:style w:type="table" w:customStyle="1" w:styleId="TabeladeLista4-nfase11">
    <w:name w:val="Tabela de Lista 4 - Ênfase 11"/>
    <w:basedOn w:val="Tabelanormal"/>
    <w:uiPriority w:val="49"/>
    <w:rsid w:val="007661E3"/>
    <w:pPr>
      <w:spacing w:after="0" w:line="240" w:lineRule="auto"/>
    </w:pPr>
    <w:tblPr>
      <w:tblStyleRowBandSize w:val="1"/>
      <w:tblStyleColBandSize w:val="1"/>
      <w:tblBorders>
        <w:top w:val="single" w:sz="4" w:space="0" w:color="91ACD7" w:themeColor="accent1" w:themeTint="99"/>
        <w:left w:val="single" w:sz="4" w:space="0" w:color="91ACD7" w:themeColor="accent1" w:themeTint="99"/>
        <w:bottom w:val="single" w:sz="4" w:space="0" w:color="91ACD7" w:themeColor="accent1" w:themeTint="99"/>
        <w:right w:val="single" w:sz="4" w:space="0" w:color="91ACD7" w:themeColor="accent1" w:themeTint="99"/>
        <w:insideH w:val="single" w:sz="4" w:space="0" w:color="91ACD7" w:themeColor="accent1" w:themeTint="99"/>
      </w:tblBorders>
    </w:tblPr>
    <w:tblStylePr w:type="firstRow">
      <w:rPr>
        <w:b/>
        <w:bCs/>
        <w:color w:val="FFFFFF" w:themeColor="background1"/>
      </w:rPr>
      <w:tblPr/>
      <w:tcPr>
        <w:tcBorders>
          <w:top w:val="single" w:sz="4" w:space="0" w:color="4875BD" w:themeColor="accent1"/>
          <w:left w:val="single" w:sz="4" w:space="0" w:color="4875BD" w:themeColor="accent1"/>
          <w:bottom w:val="single" w:sz="4" w:space="0" w:color="4875BD" w:themeColor="accent1"/>
          <w:right w:val="single" w:sz="4" w:space="0" w:color="4875BD" w:themeColor="accent1"/>
          <w:insideH w:val="nil"/>
        </w:tcBorders>
        <w:shd w:val="clear" w:color="auto" w:fill="4875BD" w:themeFill="accent1"/>
      </w:tcPr>
    </w:tblStylePr>
    <w:tblStylePr w:type="lastRow">
      <w:rPr>
        <w:b/>
        <w:bCs/>
      </w:rPr>
      <w:tblPr/>
      <w:tcPr>
        <w:tcBorders>
          <w:top w:val="double" w:sz="4" w:space="0" w:color="91ACD7" w:themeColor="accent1" w:themeTint="99"/>
        </w:tcBorders>
      </w:tcPr>
    </w:tblStylePr>
    <w:tblStylePr w:type="firstCol">
      <w:rPr>
        <w:b/>
        <w:bCs/>
      </w:rPr>
    </w:tblStylePr>
    <w:tblStylePr w:type="lastCol">
      <w:rPr>
        <w:b/>
        <w:bCs/>
      </w:rPr>
    </w:tblStylePr>
    <w:tblStylePr w:type="band1Vert">
      <w:tblPr/>
      <w:tcPr>
        <w:shd w:val="clear" w:color="auto" w:fill="DAE3F1" w:themeFill="accent1" w:themeFillTint="33"/>
      </w:tcPr>
    </w:tblStylePr>
    <w:tblStylePr w:type="band1Horz">
      <w:tblPr/>
      <w:tcPr>
        <w:shd w:val="clear" w:color="auto" w:fill="DAE3F1" w:themeFill="accent1" w:themeFillTint="33"/>
      </w:tcPr>
    </w:tblStylePr>
  </w:style>
  <w:style w:type="table" w:customStyle="1" w:styleId="TabeladeLista41">
    <w:name w:val="Tabela de Lista 41"/>
    <w:basedOn w:val="Tabelanormal"/>
    <w:uiPriority w:val="49"/>
    <w:rsid w:val="007661E3"/>
    <w:pPr>
      <w:spacing w:after="0" w:line="240" w:lineRule="auto"/>
    </w:pPr>
    <w:tblPr>
      <w:tblStyleRowBandSize w:val="1"/>
      <w:tblStyleColBandSize w:val="1"/>
      <w:tblBorders>
        <w:top w:val="single" w:sz="4" w:space="0" w:color="91ACD7" w:themeColor="text1" w:themeTint="99"/>
        <w:left w:val="single" w:sz="4" w:space="0" w:color="91ACD7" w:themeColor="text1" w:themeTint="99"/>
        <w:bottom w:val="single" w:sz="4" w:space="0" w:color="91ACD7" w:themeColor="text1" w:themeTint="99"/>
        <w:right w:val="single" w:sz="4" w:space="0" w:color="91ACD7" w:themeColor="text1" w:themeTint="99"/>
        <w:insideH w:val="single" w:sz="4" w:space="0" w:color="91ACD7" w:themeColor="text1" w:themeTint="99"/>
      </w:tblBorders>
    </w:tblPr>
    <w:tblStylePr w:type="firstRow">
      <w:rPr>
        <w:b/>
        <w:bCs/>
        <w:color w:val="FFFFFF" w:themeColor="background1"/>
      </w:rPr>
      <w:tblPr/>
      <w:tcPr>
        <w:tcBorders>
          <w:top w:val="single" w:sz="4" w:space="0" w:color="4875BD" w:themeColor="text1"/>
          <w:left w:val="single" w:sz="4" w:space="0" w:color="4875BD" w:themeColor="text1"/>
          <w:bottom w:val="single" w:sz="4" w:space="0" w:color="4875BD" w:themeColor="text1"/>
          <w:right w:val="single" w:sz="4" w:space="0" w:color="4875BD" w:themeColor="text1"/>
          <w:insideH w:val="nil"/>
        </w:tcBorders>
        <w:shd w:val="clear" w:color="auto" w:fill="4875BD" w:themeFill="text1"/>
      </w:tcPr>
    </w:tblStylePr>
    <w:tblStylePr w:type="lastRow">
      <w:rPr>
        <w:b/>
        <w:bCs/>
      </w:rPr>
      <w:tblPr/>
      <w:tcPr>
        <w:tcBorders>
          <w:top w:val="double" w:sz="4" w:space="0" w:color="91ACD7" w:themeColor="text1" w:themeTint="99"/>
        </w:tcBorders>
      </w:tcPr>
    </w:tblStylePr>
    <w:tblStylePr w:type="firstCol">
      <w:rPr>
        <w:b/>
        <w:bCs/>
      </w:rPr>
    </w:tblStylePr>
    <w:tblStylePr w:type="lastCol">
      <w:rPr>
        <w:b/>
        <w:bCs/>
      </w:rPr>
    </w:tblStylePr>
    <w:tblStylePr w:type="band1Vert">
      <w:tblPr/>
      <w:tcPr>
        <w:shd w:val="clear" w:color="auto" w:fill="DAE3F1" w:themeFill="text1" w:themeFillTint="33"/>
      </w:tcPr>
    </w:tblStylePr>
    <w:tblStylePr w:type="band1Horz">
      <w:tblPr/>
      <w:tcPr>
        <w:shd w:val="clear" w:color="auto" w:fill="DAE3F1" w:themeFill="text1" w:themeFillTint="33"/>
      </w:tcPr>
    </w:tblStylePr>
  </w:style>
  <w:style w:type="table" w:customStyle="1" w:styleId="Cebraspe">
    <w:name w:val="Cebraspe"/>
    <w:basedOn w:val="Tabelanormal"/>
    <w:uiPriority w:val="99"/>
    <w:rsid w:val="007661E3"/>
    <w:pPr>
      <w:spacing w:after="0" w:line="240" w:lineRule="auto"/>
    </w:pPr>
    <w:tblPr/>
  </w:style>
  <w:style w:type="table" w:customStyle="1" w:styleId="TabeladeLista4-nfase21">
    <w:name w:val="Tabela de Lista 4 - Ênfase 21"/>
    <w:basedOn w:val="Tabelanormal"/>
    <w:uiPriority w:val="49"/>
    <w:rsid w:val="007661E3"/>
    <w:pPr>
      <w:spacing w:after="0" w:line="240" w:lineRule="auto"/>
    </w:pPr>
    <w:tblPr>
      <w:tblStyleRowBandSize w:val="1"/>
      <w:tblStyleColBandSize w:val="1"/>
      <w:tblBorders>
        <w:top w:val="single" w:sz="4" w:space="0" w:color="3692ED" w:themeColor="accent2" w:themeTint="99"/>
        <w:left w:val="single" w:sz="4" w:space="0" w:color="3692ED" w:themeColor="accent2" w:themeTint="99"/>
        <w:bottom w:val="single" w:sz="4" w:space="0" w:color="3692ED" w:themeColor="accent2" w:themeTint="99"/>
        <w:right w:val="single" w:sz="4" w:space="0" w:color="3692ED" w:themeColor="accent2" w:themeTint="99"/>
        <w:insideH w:val="single" w:sz="4" w:space="0" w:color="3692ED" w:themeColor="accent2" w:themeTint="99"/>
      </w:tblBorders>
    </w:tblPr>
    <w:tblStylePr w:type="firstRow">
      <w:rPr>
        <w:b/>
        <w:bCs/>
        <w:color w:val="FFFFFF" w:themeColor="background1"/>
      </w:rPr>
      <w:tblPr/>
      <w:tcPr>
        <w:tcBorders>
          <w:top w:val="single" w:sz="4" w:space="0" w:color="0C4A87" w:themeColor="accent2"/>
          <w:left w:val="single" w:sz="4" w:space="0" w:color="0C4A87" w:themeColor="accent2"/>
          <w:bottom w:val="single" w:sz="4" w:space="0" w:color="0C4A87" w:themeColor="accent2"/>
          <w:right w:val="single" w:sz="4" w:space="0" w:color="0C4A87" w:themeColor="accent2"/>
          <w:insideH w:val="nil"/>
        </w:tcBorders>
        <w:shd w:val="clear" w:color="auto" w:fill="0C4A87" w:themeFill="accent2"/>
      </w:tcPr>
    </w:tblStylePr>
    <w:tblStylePr w:type="lastRow">
      <w:rPr>
        <w:b/>
        <w:bCs/>
      </w:rPr>
      <w:tblPr/>
      <w:tcPr>
        <w:tcBorders>
          <w:top w:val="double" w:sz="4" w:space="0" w:color="3692ED" w:themeColor="accent2" w:themeTint="99"/>
        </w:tcBorders>
      </w:tcPr>
    </w:tblStylePr>
    <w:tblStylePr w:type="firstCol">
      <w:rPr>
        <w:b/>
        <w:bCs/>
      </w:rPr>
    </w:tblStylePr>
    <w:tblStylePr w:type="lastCol">
      <w:rPr>
        <w:b/>
        <w:bCs/>
      </w:rPr>
    </w:tblStylePr>
    <w:tblStylePr w:type="band1Vert">
      <w:tblPr/>
      <w:tcPr>
        <w:shd w:val="clear" w:color="auto" w:fill="BCDAF9" w:themeFill="accent2" w:themeFillTint="33"/>
      </w:tcPr>
    </w:tblStylePr>
    <w:tblStylePr w:type="band1Horz">
      <w:tblPr/>
      <w:tcPr>
        <w:shd w:val="clear" w:color="auto" w:fill="BCDAF9" w:themeFill="accent2" w:themeFillTint="33"/>
      </w:tcPr>
    </w:tblStylePr>
  </w:style>
  <w:style w:type="table" w:customStyle="1" w:styleId="TabeladeLista4-nfase31">
    <w:name w:val="Tabela de Lista 4 - Ênfase 31"/>
    <w:basedOn w:val="Tabelanormal"/>
    <w:uiPriority w:val="49"/>
    <w:rsid w:val="007661E3"/>
    <w:pPr>
      <w:spacing w:after="0" w:line="240" w:lineRule="auto"/>
    </w:pPr>
    <w:tblPr>
      <w:tblStyleRowBandSize w:val="1"/>
      <w:tblStyleColBandSize w:val="1"/>
      <w:tblBorders>
        <w:top w:val="single" w:sz="4" w:space="0" w:color="4F82D6" w:themeColor="accent3" w:themeTint="99"/>
        <w:left w:val="single" w:sz="4" w:space="0" w:color="4F82D6" w:themeColor="accent3" w:themeTint="99"/>
        <w:bottom w:val="single" w:sz="4" w:space="0" w:color="4F82D6" w:themeColor="accent3" w:themeTint="99"/>
        <w:right w:val="single" w:sz="4" w:space="0" w:color="4F82D6" w:themeColor="accent3" w:themeTint="99"/>
        <w:insideH w:val="single" w:sz="4" w:space="0" w:color="4F82D6" w:themeColor="accent3" w:themeTint="99"/>
      </w:tblBorders>
    </w:tblPr>
    <w:tblStylePr w:type="firstRow">
      <w:rPr>
        <w:b/>
        <w:bCs/>
        <w:color w:val="FFFFFF" w:themeColor="background1"/>
      </w:rPr>
      <w:tblPr/>
      <w:tcPr>
        <w:tcBorders>
          <w:top w:val="single" w:sz="4" w:space="0" w:color="1C407A" w:themeColor="accent3"/>
          <w:left w:val="single" w:sz="4" w:space="0" w:color="1C407A" w:themeColor="accent3"/>
          <w:bottom w:val="single" w:sz="4" w:space="0" w:color="1C407A" w:themeColor="accent3"/>
          <w:right w:val="single" w:sz="4" w:space="0" w:color="1C407A" w:themeColor="accent3"/>
          <w:insideH w:val="nil"/>
        </w:tcBorders>
        <w:shd w:val="clear" w:color="auto" w:fill="1C407A" w:themeFill="accent3"/>
      </w:tcPr>
    </w:tblStylePr>
    <w:tblStylePr w:type="lastRow">
      <w:rPr>
        <w:b/>
        <w:bCs/>
      </w:rPr>
      <w:tblPr/>
      <w:tcPr>
        <w:tcBorders>
          <w:top w:val="double" w:sz="4" w:space="0" w:color="4F82D6" w:themeColor="accent3" w:themeTint="99"/>
        </w:tcBorders>
      </w:tcPr>
    </w:tblStylePr>
    <w:tblStylePr w:type="firstCol">
      <w:rPr>
        <w:b/>
        <w:bCs/>
      </w:rPr>
    </w:tblStylePr>
    <w:tblStylePr w:type="lastCol">
      <w:rPr>
        <w:b/>
        <w:bCs/>
      </w:rPr>
    </w:tblStylePr>
    <w:tblStylePr w:type="band1Vert">
      <w:tblPr/>
      <w:tcPr>
        <w:shd w:val="clear" w:color="auto" w:fill="C4D5F1" w:themeFill="accent3" w:themeFillTint="33"/>
      </w:tcPr>
    </w:tblStylePr>
    <w:tblStylePr w:type="band1Horz">
      <w:tblPr/>
      <w:tcPr>
        <w:shd w:val="clear" w:color="auto" w:fill="C4D5F1" w:themeFill="accent3" w:themeFillTint="33"/>
      </w:tcPr>
    </w:tblStylePr>
  </w:style>
  <w:style w:type="table" w:customStyle="1" w:styleId="TabeladeLista6Colorida-nfase31">
    <w:name w:val="Tabela de Lista 6 Colorida - Ênfase 31"/>
    <w:basedOn w:val="Tabelanormal"/>
    <w:uiPriority w:val="51"/>
    <w:rsid w:val="007661E3"/>
    <w:pPr>
      <w:spacing w:after="0" w:line="240" w:lineRule="auto"/>
    </w:pPr>
    <w:rPr>
      <w:color w:val="152F5B" w:themeColor="accent3" w:themeShade="BF"/>
    </w:rPr>
    <w:tblPr>
      <w:tblStyleRowBandSize w:val="1"/>
      <w:tblStyleColBandSize w:val="1"/>
      <w:tblBorders>
        <w:top w:val="single" w:sz="4" w:space="0" w:color="1C407A" w:themeColor="accent3"/>
        <w:bottom w:val="single" w:sz="4" w:space="0" w:color="1C407A" w:themeColor="accent3"/>
      </w:tblBorders>
    </w:tblPr>
    <w:tblStylePr w:type="firstRow">
      <w:rPr>
        <w:b/>
        <w:bCs/>
      </w:rPr>
      <w:tblPr/>
      <w:tcPr>
        <w:tcBorders>
          <w:bottom w:val="single" w:sz="4" w:space="0" w:color="1C407A" w:themeColor="accent3"/>
        </w:tcBorders>
      </w:tcPr>
    </w:tblStylePr>
    <w:tblStylePr w:type="lastRow">
      <w:rPr>
        <w:b/>
        <w:bCs/>
      </w:rPr>
      <w:tblPr/>
      <w:tcPr>
        <w:tcBorders>
          <w:top w:val="double" w:sz="4" w:space="0" w:color="1C407A" w:themeColor="accent3"/>
        </w:tcBorders>
      </w:tcPr>
    </w:tblStylePr>
    <w:tblStylePr w:type="firstCol">
      <w:rPr>
        <w:b/>
        <w:bCs/>
      </w:rPr>
    </w:tblStylePr>
    <w:tblStylePr w:type="lastCol">
      <w:rPr>
        <w:b/>
        <w:bCs/>
      </w:rPr>
    </w:tblStylePr>
    <w:tblStylePr w:type="band1Vert">
      <w:tblPr/>
      <w:tcPr>
        <w:shd w:val="clear" w:color="auto" w:fill="C4D5F1" w:themeFill="accent3" w:themeFillTint="33"/>
      </w:tcPr>
    </w:tblStylePr>
    <w:tblStylePr w:type="band1Horz">
      <w:tblPr/>
      <w:tcPr>
        <w:shd w:val="clear" w:color="auto" w:fill="C4D5F1" w:themeFill="accent3" w:themeFillTint="33"/>
      </w:tcPr>
    </w:tblStylePr>
  </w:style>
  <w:style w:type="character" w:customStyle="1" w:styleId="Ttulo5Char">
    <w:name w:val="Título 5 Char"/>
    <w:basedOn w:val="Fontepargpadro"/>
    <w:link w:val="Ttulo5"/>
    <w:uiPriority w:val="9"/>
    <w:rsid w:val="007653A5"/>
    <w:rPr>
      <w:rFonts w:asciiTheme="majorHAnsi" w:eastAsiaTheme="majorEastAsia" w:hAnsiTheme="majorHAnsi" w:cstheme="majorBidi"/>
      <w:color w:val="34578F" w:themeColor="accent1" w:themeShade="BF"/>
    </w:rPr>
  </w:style>
  <w:style w:type="character" w:customStyle="1" w:styleId="Ttulo6Char">
    <w:name w:val="Título 6 Char"/>
    <w:basedOn w:val="Fontepargpadro"/>
    <w:link w:val="Ttulo6"/>
    <w:uiPriority w:val="9"/>
    <w:rsid w:val="007653A5"/>
    <w:rPr>
      <w:rFonts w:asciiTheme="majorHAnsi" w:eastAsiaTheme="majorEastAsia" w:hAnsiTheme="majorHAnsi" w:cstheme="majorBidi"/>
      <w:color w:val="22395F" w:themeColor="accent1" w:themeShade="7F"/>
    </w:rPr>
  </w:style>
  <w:style w:type="character" w:customStyle="1" w:styleId="Ttulo7Char">
    <w:name w:val="Título 7 Char"/>
    <w:basedOn w:val="Fontepargpadro"/>
    <w:link w:val="Ttulo7"/>
    <w:uiPriority w:val="9"/>
    <w:semiHidden/>
    <w:rsid w:val="007653A5"/>
    <w:rPr>
      <w:rFonts w:asciiTheme="majorHAnsi" w:eastAsiaTheme="majorEastAsia" w:hAnsiTheme="majorHAnsi" w:cstheme="majorBidi"/>
      <w:i/>
      <w:iCs/>
      <w:color w:val="22395F" w:themeColor="accent1" w:themeShade="7F"/>
    </w:rPr>
  </w:style>
  <w:style w:type="character" w:customStyle="1" w:styleId="Ttulo8Char">
    <w:name w:val="Título 8 Char"/>
    <w:basedOn w:val="Fontepargpadro"/>
    <w:link w:val="Ttulo8"/>
    <w:uiPriority w:val="9"/>
    <w:semiHidden/>
    <w:rsid w:val="007653A5"/>
    <w:rPr>
      <w:rFonts w:asciiTheme="majorHAnsi" w:eastAsiaTheme="majorEastAsia" w:hAnsiTheme="majorHAnsi" w:cstheme="majorBidi"/>
      <w:color w:val="638AC7" w:themeColor="text1" w:themeTint="D8"/>
      <w:sz w:val="21"/>
      <w:szCs w:val="21"/>
    </w:rPr>
  </w:style>
  <w:style w:type="character" w:customStyle="1" w:styleId="Ttulo9Char">
    <w:name w:val="Título 9 Char"/>
    <w:basedOn w:val="Fontepargpadro"/>
    <w:link w:val="Ttulo9"/>
    <w:uiPriority w:val="9"/>
    <w:semiHidden/>
    <w:rsid w:val="007653A5"/>
    <w:rPr>
      <w:rFonts w:asciiTheme="majorHAnsi" w:eastAsiaTheme="majorEastAsia" w:hAnsiTheme="majorHAnsi" w:cstheme="majorBidi"/>
      <w:i/>
      <w:iCs/>
      <w:color w:val="638AC7" w:themeColor="text1" w:themeTint="D8"/>
      <w:sz w:val="21"/>
      <w:szCs w:val="21"/>
    </w:rPr>
  </w:style>
  <w:style w:type="character" w:styleId="Refdecomentrio">
    <w:name w:val="annotation reference"/>
    <w:basedOn w:val="Fontepargpadro"/>
    <w:uiPriority w:val="99"/>
    <w:semiHidden/>
    <w:unhideWhenUsed/>
    <w:rsid w:val="007653A5"/>
    <w:rPr>
      <w:sz w:val="16"/>
      <w:szCs w:val="16"/>
    </w:rPr>
  </w:style>
  <w:style w:type="paragraph" w:styleId="Textodecomentrio">
    <w:name w:val="annotation text"/>
    <w:basedOn w:val="Normal"/>
    <w:link w:val="TextodecomentrioChar"/>
    <w:uiPriority w:val="99"/>
    <w:semiHidden/>
    <w:unhideWhenUsed/>
    <w:rsid w:val="007653A5"/>
    <w:rPr>
      <w:sz w:val="20"/>
      <w:szCs w:val="20"/>
    </w:rPr>
  </w:style>
  <w:style w:type="character" w:customStyle="1" w:styleId="TextodecomentrioChar">
    <w:name w:val="Texto de comentário Char"/>
    <w:basedOn w:val="Fontepargpadro"/>
    <w:link w:val="Textodecomentrio"/>
    <w:uiPriority w:val="99"/>
    <w:semiHidden/>
    <w:rsid w:val="007653A5"/>
    <w:rPr>
      <w:rFonts w:ascii="Calibri Light" w:hAnsi="Calibri Light"/>
      <w:sz w:val="20"/>
      <w:szCs w:val="20"/>
    </w:rPr>
  </w:style>
  <w:style w:type="paragraph" w:styleId="Assuntodocomentrio">
    <w:name w:val="annotation subject"/>
    <w:basedOn w:val="Textodecomentrio"/>
    <w:next w:val="Textodecomentrio"/>
    <w:link w:val="AssuntodocomentrioChar"/>
    <w:uiPriority w:val="99"/>
    <w:semiHidden/>
    <w:unhideWhenUsed/>
    <w:rsid w:val="007653A5"/>
    <w:rPr>
      <w:b/>
      <w:bCs/>
    </w:rPr>
  </w:style>
  <w:style w:type="character" w:customStyle="1" w:styleId="AssuntodocomentrioChar">
    <w:name w:val="Assunto do comentário Char"/>
    <w:basedOn w:val="TextodecomentrioChar"/>
    <w:link w:val="Assuntodocomentrio"/>
    <w:uiPriority w:val="99"/>
    <w:semiHidden/>
    <w:rsid w:val="007653A5"/>
    <w:rPr>
      <w:rFonts w:ascii="Calibri Light" w:hAnsi="Calibri Light"/>
      <w:b/>
      <w:bCs/>
      <w:sz w:val="20"/>
      <w:szCs w:val="20"/>
    </w:rPr>
  </w:style>
  <w:style w:type="table" w:customStyle="1" w:styleId="Tabelacomgrade1">
    <w:name w:val="Tabela com grade1"/>
    <w:basedOn w:val="Tabelanormal"/>
    <w:uiPriority w:val="39"/>
    <w:rsid w:val="00021081"/>
    <w:pPr>
      <w:spacing w:after="0" w:line="240" w:lineRule="auto"/>
    </w:pPr>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D4818"/>
    <w:pPr>
      <w:autoSpaceDE w:val="0"/>
      <w:autoSpaceDN w:val="0"/>
      <w:adjustRightInd w:val="0"/>
      <w:spacing w:after="0" w:line="240" w:lineRule="auto"/>
    </w:pPr>
    <w:rPr>
      <w:rFonts w:ascii="Arial" w:eastAsia="Times New Roman" w:hAnsi="Arial" w:cs="Arial"/>
      <w:color w:val="000000"/>
      <w:sz w:val="24"/>
      <w:szCs w:val="24"/>
      <w:lang w:eastAsia="pt-BR"/>
    </w:rPr>
  </w:style>
  <w:style w:type="character" w:customStyle="1" w:styleId="NoSpacingChar">
    <w:name w:val="No Spacing Char"/>
    <w:basedOn w:val="Fontepargpadro"/>
    <w:link w:val="SemEspaamento1"/>
    <w:locked/>
    <w:rsid w:val="00FD0C78"/>
    <w:rPr>
      <w:rFonts w:ascii="Arial" w:eastAsia="Times New Roman" w:hAnsi="Arial"/>
    </w:rPr>
  </w:style>
  <w:style w:type="paragraph" w:customStyle="1" w:styleId="SemEspaamento1">
    <w:name w:val="Sem Espaçamento1"/>
    <w:link w:val="NoSpacingChar"/>
    <w:rsid w:val="00FD0C78"/>
    <w:pPr>
      <w:spacing w:after="0" w:line="240" w:lineRule="auto"/>
    </w:pPr>
    <w:rPr>
      <w:rFonts w:ascii="Arial" w:eastAsia="Times New Roman" w:hAnsi="Arial"/>
    </w:rPr>
  </w:style>
  <w:style w:type="character" w:styleId="Refdenotaderodap">
    <w:name w:val="footnote reference"/>
    <w:aliases w:val="Footnote Reference  tese,Ref. de nota de rodapÉ"/>
    <w:qFormat/>
    <w:rsid w:val="006A24D3"/>
    <w:rPr>
      <w:rFonts w:cs="Times New Roman"/>
      <w:vertAlign w:val="superscript"/>
    </w:rPr>
  </w:style>
  <w:style w:type="character" w:customStyle="1" w:styleId="NormalWebChar">
    <w:name w:val="Normal (Web) Char"/>
    <w:aliases w:val="Char Char"/>
    <w:link w:val="NormalWeb"/>
    <w:uiPriority w:val="99"/>
    <w:locked/>
    <w:rsid w:val="006A24D3"/>
    <w:rPr>
      <w:rFonts w:ascii="Calibri" w:eastAsia="Times New Roman" w:hAnsi="Calibri" w:cs="Times New Roman"/>
      <w:color w:val="1C407A" w:themeColor="accent3"/>
      <w:sz w:val="28"/>
      <w:szCs w:val="24"/>
      <w:lang w:eastAsia="pt-BR"/>
    </w:rPr>
  </w:style>
  <w:style w:type="paragraph" w:customStyle="1" w:styleId="legislao-4corpo">
    <w:name w:val="legislao-4corpo"/>
    <w:basedOn w:val="Normal"/>
    <w:rsid w:val="006A24D3"/>
    <w:pPr>
      <w:tabs>
        <w:tab w:val="clear" w:pos="1615"/>
      </w:tabs>
      <w:spacing w:before="100" w:beforeAutospacing="1" w:after="100" w:afterAutospacing="1"/>
    </w:pPr>
    <w:rPr>
      <w:rFonts w:ascii="Times New Roman" w:eastAsia="Times New Roman" w:hAnsi="Times New Roman" w:cs="Times New Roman"/>
      <w:sz w:val="24"/>
      <w:szCs w:val="24"/>
      <w:lang w:eastAsia="pt-BR"/>
    </w:rPr>
  </w:style>
  <w:style w:type="character" w:customStyle="1" w:styleId="journal">
    <w:name w:val="journal"/>
    <w:basedOn w:val="Fontepargpadro"/>
    <w:rsid w:val="00D63EF9"/>
  </w:style>
  <w:style w:type="character" w:customStyle="1" w:styleId="issue">
    <w:name w:val="issue"/>
    <w:basedOn w:val="Fontepargpadro"/>
    <w:rsid w:val="00D63EF9"/>
  </w:style>
  <w:style w:type="character" w:customStyle="1" w:styleId="volume">
    <w:name w:val="volume"/>
    <w:basedOn w:val="Fontepargpadro"/>
    <w:rsid w:val="00D63EF9"/>
  </w:style>
  <w:style w:type="character" w:customStyle="1" w:styleId="year">
    <w:name w:val="year"/>
    <w:basedOn w:val="Fontepargpadro"/>
    <w:rsid w:val="00D63EF9"/>
  </w:style>
  <w:style w:type="character" w:customStyle="1" w:styleId="UnresolvedMention">
    <w:name w:val="Unresolved Mention"/>
    <w:basedOn w:val="Fontepargpadro"/>
    <w:uiPriority w:val="99"/>
    <w:semiHidden/>
    <w:unhideWhenUsed/>
    <w:rsid w:val="00101137"/>
    <w:rPr>
      <w:color w:val="605E5C"/>
      <w:shd w:val="clear" w:color="auto" w:fill="E1DFDD"/>
    </w:rPr>
  </w:style>
  <w:style w:type="table" w:customStyle="1" w:styleId="TableNormal">
    <w:name w:val="Table Normal"/>
    <w:rsid w:val="00AA431F"/>
    <w:pPr>
      <w:tabs>
        <w:tab w:val="left" w:pos="1615"/>
      </w:tabs>
      <w:spacing w:line="240" w:lineRule="auto"/>
    </w:pPr>
    <w:rPr>
      <w:rFonts w:ascii="Calibri" w:eastAsia="Calibri" w:hAnsi="Calibri" w:cs="Calibri"/>
      <w:lang w:eastAsia="pt-BR"/>
    </w:rPr>
    <w:tblPr>
      <w:tblCellMar>
        <w:top w:w="0" w:type="dxa"/>
        <w:left w:w="0" w:type="dxa"/>
        <w:bottom w:w="0" w:type="dxa"/>
        <w:right w:w="0" w:type="dxa"/>
      </w:tblCellMar>
    </w:tblPr>
  </w:style>
  <w:style w:type="paragraph" w:styleId="Reviso">
    <w:name w:val="Revision"/>
    <w:hidden/>
    <w:uiPriority w:val="99"/>
    <w:semiHidden/>
    <w:rsid w:val="00AA431F"/>
    <w:pPr>
      <w:spacing w:after="0" w:line="240" w:lineRule="auto"/>
    </w:pPr>
    <w:rPr>
      <w:rFonts w:ascii="Calibri" w:eastAsia="Calibri" w:hAnsi="Calibri" w:cs="Calibri"/>
      <w:lang w:eastAsia="pt-BR"/>
    </w:rPr>
  </w:style>
  <w:style w:type="table" w:customStyle="1" w:styleId="TabelaSimples21">
    <w:name w:val="Tabela Simples 21"/>
    <w:basedOn w:val="Tabelanormal"/>
    <w:uiPriority w:val="42"/>
    <w:rsid w:val="00EE3346"/>
    <w:pPr>
      <w:spacing w:after="0" w:line="240" w:lineRule="auto"/>
    </w:pPr>
    <w:tblPr>
      <w:tblStyleRowBandSize w:val="1"/>
      <w:tblStyleColBandSize w:val="1"/>
      <w:tblBorders>
        <w:top w:val="single" w:sz="4" w:space="0" w:color="A3B9DD" w:themeColor="text1" w:themeTint="80"/>
        <w:bottom w:val="single" w:sz="4" w:space="0" w:color="A3B9DD" w:themeColor="text1" w:themeTint="80"/>
      </w:tblBorders>
    </w:tblPr>
    <w:tblStylePr w:type="firstRow">
      <w:rPr>
        <w:b/>
        <w:bCs/>
      </w:rPr>
      <w:tblPr/>
      <w:tcPr>
        <w:tcBorders>
          <w:bottom w:val="single" w:sz="4" w:space="0" w:color="A3B9DD" w:themeColor="text1" w:themeTint="80"/>
        </w:tcBorders>
      </w:tcPr>
    </w:tblStylePr>
    <w:tblStylePr w:type="lastRow">
      <w:rPr>
        <w:b/>
        <w:bCs/>
      </w:rPr>
      <w:tblPr/>
      <w:tcPr>
        <w:tcBorders>
          <w:top w:val="single" w:sz="4" w:space="0" w:color="A3B9DD" w:themeColor="text1" w:themeTint="80"/>
        </w:tcBorders>
      </w:tcPr>
    </w:tblStylePr>
    <w:tblStylePr w:type="firstCol">
      <w:rPr>
        <w:b/>
        <w:bCs/>
      </w:rPr>
    </w:tblStylePr>
    <w:tblStylePr w:type="lastCol">
      <w:rPr>
        <w:b/>
        <w:bCs/>
      </w:rPr>
    </w:tblStylePr>
    <w:tblStylePr w:type="band1Vert">
      <w:tblPr/>
      <w:tcPr>
        <w:tcBorders>
          <w:left w:val="single" w:sz="4" w:space="0" w:color="A3B9DD" w:themeColor="text1" w:themeTint="80"/>
          <w:right w:val="single" w:sz="4" w:space="0" w:color="A3B9DD" w:themeColor="text1" w:themeTint="80"/>
        </w:tcBorders>
      </w:tcPr>
    </w:tblStylePr>
    <w:tblStylePr w:type="band2Vert">
      <w:tblPr/>
      <w:tcPr>
        <w:tcBorders>
          <w:left w:val="single" w:sz="4" w:space="0" w:color="A3B9DD" w:themeColor="text1" w:themeTint="80"/>
          <w:right w:val="single" w:sz="4" w:space="0" w:color="A3B9DD" w:themeColor="text1" w:themeTint="80"/>
        </w:tcBorders>
      </w:tcPr>
    </w:tblStylePr>
    <w:tblStylePr w:type="band1Horz">
      <w:tblPr/>
      <w:tcPr>
        <w:tcBorders>
          <w:top w:val="single" w:sz="4" w:space="0" w:color="A3B9DD" w:themeColor="text1" w:themeTint="80"/>
          <w:bottom w:val="single" w:sz="4" w:space="0" w:color="A3B9DD" w:themeColor="text1" w:themeTint="80"/>
        </w:tcBorders>
      </w:tcPr>
    </w:tblStylePr>
  </w:style>
  <w:style w:type="character" w:customStyle="1" w:styleId="art-postdateicon">
    <w:name w:val="art-postdateicon"/>
    <w:basedOn w:val="Fontepargpadro"/>
    <w:rsid w:val="00EE3346"/>
  </w:style>
  <w:style w:type="paragraph" w:customStyle="1" w:styleId="Tit1">
    <w:name w:val="Tit 1"/>
    <w:basedOn w:val="Ttulo"/>
    <w:rsid w:val="00EE3346"/>
    <w:pPr>
      <w:tabs>
        <w:tab w:val="clear" w:pos="1615"/>
      </w:tabs>
      <w:spacing w:before="6" w:after="6" w:line="320" w:lineRule="exact"/>
      <w:contextualSpacing w:val="0"/>
      <w:jc w:val="both"/>
    </w:pPr>
    <w:rPr>
      <w:rFonts w:ascii="Verdana" w:eastAsia="Times New Roman" w:hAnsi="Verdana" w:cs="Times New Roman"/>
      <w:smallCaps/>
      <w:spacing w:val="0"/>
      <w:kern w:val="0"/>
      <w:sz w:val="20"/>
      <w:szCs w:val="20"/>
    </w:rPr>
  </w:style>
  <w:style w:type="paragraph" w:styleId="Textodenotaderodap">
    <w:name w:val="footnote text"/>
    <w:basedOn w:val="Normal"/>
    <w:link w:val="TextodenotaderodapChar"/>
    <w:unhideWhenUsed/>
    <w:qFormat/>
    <w:rsid w:val="00EE3346"/>
    <w:pPr>
      <w:spacing w:after="0"/>
    </w:pPr>
    <w:rPr>
      <w:sz w:val="20"/>
      <w:szCs w:val="20"/>
    </w:rPr>
  </w:style>
  <w:style w:type="character" w:customStyle="1" w:styleId="TextodenotaderodapChar">
    <w:name w:val="Texto de nota de rodapé Char"/>
    <w:basedOn w:val="Fontepargpadro"/>
    <w:link w:val="Textodenotaderodap"/>
    <w:rsid w:val="00EE3346"/>
    <w:rPr>
      <w:rFonts w:ascii="Calibri Light" w:hAnsi="Calibri Light"/>
      <w:sz w:val="20"/>
      <w:szCs w:val="20"/>
    </w:rPr>
  </w:style>
  <w:style w:type="character" w:customStyle="1" w:styleId="group-doi">
    <w:name w:val="group-doi"/>
    <w:basedOn w:val="Fontepargpadro"/>
    <w:rsid w:val="00EE3346"/>
  </w:style>
  <w:style w:type="character" w:customStyle="1" w:styleId="elementor-icon-list-text">
    <w:name w:val="elementor-icon-list-text"/>
    <w:basedOn w:val="Fontepargpadro"/>
    <w:rsid w:val="00EE3346"/>
  </w:style>
  <w:style w:type="paragraph" w:customStyle="1" w:styleId="Pa25">
    <w:name w:val="Pa25"/>
    <w:basedOn w:val="Default"/>
    <w:next w:val="Default"/>
    <w:uiPriority w:val="99"/>
    <w:rsid w:val="00EE3346"/>
    <w:pPr>
      <w:spacing w:line="221" w:lineRule="atLeast"/>
    </w:pPr>
    <w:rPr>
      <w:rFonts w:ascii="Times New Roman" w:eastAsiaTheme="minorHAnsi" w:hAnsi="Times New Roman" w:cs="Times New Roman"/>
      <w:color w:val="auto"/>
      <w:lang w:eastAsia="en-US"/>
    </w:rPr>
  </w:style>
  <w:style w:type="paragraph" w:customStyle="1" w:styleId="Pa30">
    <w:name w:val="Pa30"/>
    <w:basedOn w:val="Default"/>
    <w:next w:val="Default"/>
    <w:uiPriority w:val="99"/>
    <w:rsid w:val="00EE3346"/>
    <w:pPr>
      <w:spacing w:line="201" w:lineRule="atLeast"/>
    </w:pPr>
    <w:rPr>
      <w:rFonts w:ascii="Times New Roman" w:eastAsiaTheme="minorHAnsi" w:hAnsi="Times New Roman" w:cs="Times New Roman"/>
      <w:color w:val="auto"/>
      <w:lang w:eastAsia="en-US"/>
    </w:rPr>
  </w:style>
  <w:style w:type="paragraph" w:customStyle="1" w:styleId="Pa20">
    <w:name w:val="Pa20"/>
    <w:basedOn w:val="Default"/>
    <w:next w:val="Default"/>
    <w:uiPriority w:val="99"/>
    <w:rsid w:val="00EE3346"/>
    <w:pPr>
      <w:spacing w:line="221" w:lineRule="atLeast"/>
    </w:pPr>
    <w:rPr>
      <w:rFonts w:ascii="Times New Roman" w:eastAsiaTheme="minorHAnsi" w:hAnsi="Times New Roman" w:cs="Times New Roman"/>
      <w:color w:val="auto"/>
      <w:lang w:eastAsia="en-US"/>
    </w:rPr>
  </w:style>
  <w:style w:type="character" w:customStyle="1" w:styleId="A7">
    <w:name w:val="A7"/>
    <w:uiPriority w:val="99"/>
    <w:rsid w:val="00EE3346"/>
    <w:rPr>
      <w:rFonts w:cs="Futura Lt BT"/>
      <w:color w:val="000000"/>
      <w:sz w:val="18"/>
      <w:szCs w:val="18"/>
    </w:rPr>
  </w:style>
  <w:style w:type="paragraph" w:customStyle="1" w:styleId="Pa3">
    <w:name w:val="Pa3"/>
    <w:basedOn w:val="Default"/>
    <w:next w:val="Default"/>
    <w:uiPriority w:val="99"/>
    <w:rsid w:val="00EE3346"/>
    <w:pPr>
      <w:spacing w:line="181" w:lineRule="atLeast"/>
    </w:pPr>
    <w:rPr>
      <w:rFonts w:ascii="Helvetica Neue LT Std" w:eastAsiaTheme="minorHAnsi" w:hAnsi="Helvetica Neue LT Std" w:cstheme="minorBidi"/>
      <w:color w:val="auto"/>
      <w:lang w:eastAsia="en-US"/>
    </w:rPr>
  </w:style>
  <w:style w:type="character" w:customStyle="1" w:styleId="A4">
    <w:name w:val="A4"/>
    <w:uiPriority w:val="99"/>
    <w:rsid w:val="00EE3346"/>
    <w:rPr>
      <w:rFonts w:ascii="Calibri" w:hAnsi="Calibri" w:cs="Calibri"/>
      <w:color w:val="000000"/>
      <w:sz w:val="10"/>
      <w:szCs w:val="10"/>
    </w:rPr>
  </w:style>
  <w:style w:type="character" w:customStyle="1" w:styleId="A1">
    <w:name w:val="A1"/>
    <w:uiPriority w:val="99"/>
    <w:rsid w:val="00EE3346"/>
    <w:rPr>
      <w:i/>
      <w:iCs/>
      <w:color w:val="000000"/>
      <w:sz w:val="16"/>
      <w:szCs w:val="16"/>
    </w:rPr>
  </w:style>
  <w:style w:type="paragraph" w:customStyle="1" w:styleId="SBIE-Referencia">
    <w:name w:val="SBIE - Referencia"/>
    <w:basedOn w:val="Normal"/>
    <w:rsid w:val="00EE3346"/>
    <w:pPr>
      <w:tabs>
        <w:tab w:val="clear" w:pos="1615"/>
      </w:tabs>
      <w:spacing w:after="0"/>
      <w:ind w:left="540" w:hanging="540"/>
      <w:jc w:val="both"/>
    </w:pPr>
    <w:rPr>
      <w:rFonts w:ascii="Times New Roman" w:eastAsia="Times New Roman" w:hAnsi="Times New Roman" w:cs="Times New Roman"/>
      <w:sz w:val="20"/>
      <w:szCs w:val="20"/>
      <w:lang w:val="en-US"/>
    </w:rPr>
  </w:style>
  <w:style w:type="paragraph" w:customStyle="1" w:styleId="Cetrans-TITULO">
    <w:name w:val="Cetrans - TITULO"/>
    <w:basedOn w:val="Default"/>
    <w:next w:val="Default"/>
    <w:uiPriority w:val="99"/>
    <w:rsid w:val="00EE3346"/>
    <w:rPr>
      <w:rFonts w:ascii="Verdana" w:eastAsiaTheme="minorHAnsi" w:hAnsi="Verdana" w:cstheme="minorBidi"/>
      <w:color w:val="auto"/>
      <w:lang w:eastAsia="en-US"/>
    </w:rPr>
  </w:style>
  <w:style w:type="character" w:customStyle="1" w:styleId="w8qarf">
    <w:name w:val="w8qarf"/>
    <w:basedOn w:val="Fontepargpadro"/>
    <w:rsid w:val="00EE3346"/>
  </w:style>
  <w:style w:type="character" w:customStyle="1" w:styleId="lrzxr">
    <w:name w:val="lrzxr"/>
    <w:basedOn w:val="Fontepargpadro"/>
    <w:rsid w:val="00EE3346"/>
  </w:style>
  <w:style w:type="character" w:customStyle="1" w:styleId="articlebadge">
    <w:name w:val="_articlebadge"/>
    <w:basedOn w:val="Fontepargpadro"/>
    <w:rsid w:val="00EE3346"/>
  </w:style>
  <w:style w:type="character" w:customStyle="1" w:styleId="separator">
    <w:name w:val="_separator"/>
    <w:basedOn w:val="Fontepargpadro"/>
    <w:rsid w:val="00EE3346"/>
  </w:style>
  <w:style w:type="character" w:customStyle="1" w:styleId="editionmeta">
    <w:name w:val="_editionmeta"/>
    <w:basedOn w:val="Fontepargpadro"/>
    <w:rsid w:val="00EE3346"/>
  </w:style>
  <w:style w:type="character" w:customStyle="1" w:styleId="dropdown">
    <w:name w:val="dropdown"/>
    <w:basedOn w:val="Fontepargpadro"/>
    <w:rsid w:val="00EE3346"/>
  </w:style>
  <w:style w:type="character" w:customStyle="1" w:styleId="A6">
    <w:name w:val="A6"/>
    <w:uiPriority w:val="99"/>
    <w:rsid w:val="00EE3346"/>
    <w:rPr>
      <w:rFonts w:cs="Garamond"/>
      <w:color w:val="000000"/>
      <w:sz w:val="22"/>
      <w:szCs w:val="22"/>
    </w:rPr>
  </w:style>
  <w:style w:type="character" w:customStyle="1" w:styleId="A0">
    <w:name w:val="A0"/>
    <w:uiPriority w:val="99"/>
    <w:rsid w:val="00EE3346"/>
    <w:rPr>
      <w:rFonts w:cs="Garamond"/>
      <w:color w:val="000000"/>
      <w:sz w:val="20"/>
      <w:szCs w:val="20"/>
    </w:rPr>
  </w:style>
  <w:style w:type="paragraph" w:customStyle="1" w:styleId="Pa11">
    <w:name w:val="Pa11"/>
    <w:basedOn w:val="Default"/>
    <w:next w:val="Default"/>
    <w:uiPriority w:val="99"/>
    <w:rsid w:val="00EE3346"/>
    <w:pPr>
      <w:spacing w:line="261" w:lineRule="atLeast"/>
    </w:pPr>
    <w:rPr>
      <w:rFonts w:ascii="Garamond" w:eastAsiaTheme="minorHAnsi" w:hAnsi="Garamond" w:cstheme="minorBidi"/>
      <w:color w:val="auto"/>
      <w:lang w:eastAsia="en-US"/>
    </w:rPr>
  </w:style>
  <w:style w:type="character" w:customStyle="1" w:styleId="A9">
    <w:name w:val="A9"/>
    <w:uiPriority w:val="99"/>
    <w:rsid w:val="00EE3346"/>
    <w:rPr>
      <w:rFonts w:cs="Garamond"/>
      <w:b/>
      <w:bCs/>
      <w:color w:val="000000"/>
    </w:rPr>
  </w:style>
  <w:style w:type="paragraph" w:customStyle="1" w:styleId="Pa8">
    <w:name w:val="Pa8"/>
    <w:basedOn w:val="Default"/>
    <w:next w:val="Default"/>
    <w:uiPriority w:val="99"/>
    <w:rsid w:val="00EE3346"/>
    <w:pPr>
      <w:spacing w:line="241" w:lineRule="atLeast"/>
    </w:pPr>
    <w:rPr>
      <w:rFonts w:ascii="Garamond" w:eastAsiaTheme="minorHAnsi" w:hAnsi="Garamond" w:cstheme="minorBidi"/>
      <w:color w:val="auto"/>
      <w:lang w:eastAsia="en-US"/>
    </w:rPr>
  </w:style>
  <w:style w:type="character" w:customStyle="1" w:styleId="texto">
    <w:name w:val="texto"/>
    <w:basedOn w:val="Fontepargpadro"/>
    <w:rsid w:val="00EE334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59962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emf"/><Relationship Id="rId26" Type="http://schemas.openxmlformats.org/officeDocument/2006/relationships/image" Target="media/image14.emf"/><Relationship Id="rId21" Type="http://schemas.openxmlformats.org/officeDocument/2006/relationships/image" Target="media/image9.emf"/><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image" Target="media/image20.emf"/><Relationship Id="rId2" Type="http://schemas.openxmlformats.org/officeDocument/2006/relationships/customXml" Target="../customXml/item2.xml"/><Relationship Id="rId16" Type="http://schemas.openxmlformats.org/officeDocument/2006/relationships/hyperlink" Target="https://fia.com.br/blog/educacao-stem/" TargetMode="External"/><Relationship Id="rId20" Type="http://schemas.openxmlformats.org/officeDocument/2006/relationships/image" Target="media/image8.emf"/><Relationship Id="rId29"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2.emf"/><Relationship Id="rId32" Type="http://schemas.openxmlformats.org/officeDocument/2006/relationships/hyperlink" Target="https://inteli.edu.br/gradua&#227;o/" TargetMode="External"/><Relationship Id="rId37" Type="http://schemas.microsoft.com/office/2016/09/relationships/commentsIds" Target="commentsIds.xml"/><Relationship Id="rId5" Type="http://schemas.openxmlformats.org/officeDocument/2006/relationships/numbering" Target="numbering.xml"/><Relationship Id="rId15" Type="http://schemas.openxmlformats.org/officeDocument/2006/relationships/hyperlink" Target="https://www.revistas.usp.br/ee/article/view/125387" TargetMode="External"/><Relationship Id="rId23" Type="http://schemas.openxmlformats.org/officeDocument/2006/relationships/image" Target="media/image11.emf"/><Relationship Id="rId28" Type="http://schemas.openxmlformats.org/officeDocument/2006/relationships/image" Target="media/image16.emf"/><Relationship Id="rId36" Type="http://schemas.microsoft.com/office/2018/08/relationships/commentsExtensible" Target="commentsExtensible.xml"/><Relationship Id="rId10" Type="http://schemas.openxmlformats.org/officeDocument/2006/relationships/endnotes" Target="endnotes.xml"/><Relationship Id="rId19" Type="http://schemas.openxmlformats.org/officeDocument/2006/relationships/image" Target="media/image7.emf"/><Relationship Id="rId31" Type="http://schemas.openxmlformats.org/officeDocument/2006/relationships/image" Target="media/image19.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cebraspe.org" TargetMode="External"/><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 Id="rId4" Type="http://schemas.openxmlformats.org/officeDocument/2006/relationships/image" Target="media/image6.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riana.carvalho\Desktop\Modelo%20Documento%20Azul.dotx" TargetMode="External"/></Relationships>
</file>

<file path=word/theme/theme1.xml><?xml version="1.0" encoding="utf-8"?>
<a:theme xmlns:a="http://schemas.openxmlformats.org/drawingml/2006/main" name="Cebraspe">
  <a:themeElements>
    <a:clrScheme name="Cebraspe azul">
      <a:dk1>
        <a:srgbClr val="4875BD"/>
      </a:dk1>
      <a:lt1>
        <a:sysClr val="window" lastClr="FFFFFF"/>
      </a:lt1>
      <a:dk2>
        <a:srgbClr val="0E194A"/>
      </a:dk2>
      <a:lt2>
        <a:srgbClr val="FFFFFF"/>
      </a:lt2>
      <a:accent1>
        <a:srgbClr val="4875BD"/>
      </a:accent1>
      <a:accent2>
        <a:srgbClr val="0C4A87"/>
      </a:accent2>
      <a:accent3>
        <a:srgbClr val="1C407A"/>
      </a:accent3>
      <a:accent4>
        <a:srgbClr val="7F7981"/>
      </a:accent4>
      <a:accent5>
        <a:srgbClr val="3C3C3C"/>
      </a:accent5>
      <a:accent6>
        <a:srgbClr val="181818"/>
      </a:accent6>
      <a:hlink>
        <a:srgbClr val="4875BD"/>
      </a:hlink>
      <a:folHlink>
        <a:srgbClr val="7F7981"/>
      </a:folHlink>
    </a:clrScheme>
    <a:fontScheme name="Cebraspe">
      <a:majorFont>
        <a:latin typeface="Calibri"/>
        <a:ea typeface=""/>
        <a:cs typeface=""/>
      </a:majorFont>
      <a:minorFont>
        <a:latin typeface="Calibri Light"/>
        <a:ea typeface=""/>
        <a:cs typeface=""/>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0036F59C04359847920275F1F2E00336" ma:contentTypeVersion="0" ma:contentTypeDescription="Crie um novo documento." ma:contentTypeScope="" ma:versionID="98648ca29038437fffa277e2319b52d2">
  <xsd:schema xmlns:xsd="http://www.w3.org/2001/XMLSchema" xmlns:xs="http://www.w3.org/2001/XMLSchema" xmlns:p="http://schemas.microsoft.com/office/2006/metadata/properties" targetNamespace="http://schemas.microsoft.com/office/2006/metadata/properties" ma:root="true" ma:fieldsID="acb358bd3c4937f8c29cf3e1e721863a">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559477-34BA-44A9-8E78-154A2F796578}">
  <ds:schemaRefs>
    <ds:schemaRef ds:uri="http://schemas.microsoft.com/office/2006/documentManagement/types"/>
    <ds:schemaRef ds:uri="http://schemas.openxmlformats.org/package/2006/metadata/core-properties"/>
    <ds:schemaRef ds:uri="http://purl.org/dc/dcmitype/"/>
    <ds:schemaRef ds:uri="http://purl.org/dc/elements/1.1/"/>
    <ds:schemaRef ds:uri="http://schemas.microsoft.com/office/2006/metadata/properties"/>
    <ds:schemaRef ds:uri="http://schemas.microsoft.com/office/infopath/2007/PartnerControls"/>
    <ds:schemaRef ds:uri="http://www.w3.org/XML/1998/namespace"/>
    <ds:schemaRef ds:uri="http://purl.org/dc/terms/"/>
  </ds:schemaRefs>
</ds:datastoreItem>
</file>

<file path=customXml/itemProps2.xml><?xml version="1.0" encoding="utf-8"?>
<ds:datastoreItem xmlns:ds="http://schemas.openxmlformats.org/officeDocument/2006/customXml" ds:itemID="{351572A7-2E36-4779-8753-C470023A829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3BFDFAFE-919E-4462-8CC5-09D9A76BC3B0}">
  <ds:schemaRefs>
    <ds:schemaRef ds:uri="http://schemas.microsoft.com/sharepoint/v3/contenttype/forms"/>
  </ds:schemaRefs>
</ds:datastoreItem>
</file>

<file path=customXml/itemProps4.xml><?xml version="1.0" encoding="utf-8"?>
<ds:datastoreItem xmlns:ds="http://schemas.openxmlformats.org/officeDocument/2006/customXml" ds:itemID="{90537B8A-8528-4019-A19E-8AD2FB604C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Modelo Documento Azul</Template>
  <TotalTime>1</TotalTime>
  <Pages>133</Pages>
  <Words>44788</Words>
  <Characters>241860</Characters>
  <Application>Microsoft Office Word</Application>
  <DocSecurity>0</DocSecurity>
  <Lines>2015</Lines>
  <Paragraphs>572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286076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Mariana Carvalho</dc:creator>
  <cp:lastModifiedBy>Camila Gomes Diógenes</cp:lastModifiedBy>
  <cp:revision>2</cp:revision>
  <cp:lastPrinted>2019-09-30T17:55:00Z</cp:lastPrinted>
  <dcterms:created xsi:type="dcterms:W3CDTF">2022-05-10T12:06:00Z</dcterms:created>
  <dcterms:modified xsi:type="dcterms:W3CDTF">2022-05-10T12:06:00Z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0x0101000036F59C04359847920275F1F2E00336</vt:lpwstr>
  </property>
</Properties>
</file>