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DF0E4" w14:textId="77777777" w:rsidR="004254B5" w:rsidRPr="00EA16B0" w:rsidRDefault="004254B5" w:rsidP="00AA431F">
      <w:pPr>
        <w:tabs>
          <w:tab w:val="clear" w:pos="1615"/>
        </w:tabs>
        <w:spacing w:line="360" w:lineRule="auto"/>
        <w:jc w:val="center"/>
        <w:rPr>
          <w:rFonts w:asciiTheme="majorHAnsi" w:hAnsiTheme="majorHAnsi" w:cstheme="majorHAnsi"/>
          <w:b/>
          <w:sz w:val="32"/>
        </w:rPr>
      </w:pPr>
      <w:bookmarkStart w:id="0" w:name="_Hlk101252800"/>
      <w:r w:rsidRPr="00EA16B0">
        <w:rPr>
          <w:rFonts w:asciiTheme="majorHAnsi" w:hAnsiTheme="majorHAnsi" w:cstheme="majorHAnsi"/>
          <w:b/>
          <w:noProof/>
          <w:sz w:val="32"/>
        </w:rPr>
        <w:drawing>
          <wp:inline distT="0" distB="0" distL="0" distR="0" wp14:anchorId="411C4C49" wp14:editId="75A76EAC">
            <wp:extent cx="3988676" cy="1537856"/>
            <wp:effectExtent l="0" t="0" r="0" b="5715"/>
            <wp:docPr id="3" name="Picture 2"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tipo&#10;&#10;Descrição gerad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4005374" cy="1544294"/>
                    </a:xfrm>
                    <a:prstGeom prst="rect">
                      <a:avLst/>
                    </a:prstGeom>
                  </pic:spPr>
                </pic:pic>
              </a:graphicData>
            </a:graphic>
          </wp:inline>
        </w:drawing>
      </w:r>
    </w:p>
    <w:p w14:paraId="475F1127" w14:textId="77777777" w:rsidR="004254B5" w:rsidRPr="00EA16B0" w:rsidRDefault="004254B5" w:rsidP="00AA431F">
      <w:pPr>
        <w:pStyle w:val="PargrafodaLista"/>
        <w:tabs>
          <w:tab w:val="clear" w:pos="1615"/>
        </w:tabs>
        <w:spacing w:line="360" w:lineRule="auto"/>
        <w:ind w:left="0"/>
        <w:jc w:val="center"/>
        <w:rPr>
          <w:rFonts w:asciiTheme="majorHAnsi" w:hAnsiTheme="majorHAnsi" w:cstheme="majorHAnsi"/>
          <w:b/>
          <w:color w:val="4875BD" w:themeColor="text1"/>
          <w:sz w:val="36"/>
        </w:rPr>
      </w:pPr>
    </w:p>
    <w:p w14:paraId="2521D318" w14:textId="77777777" w:rsidR="004254B5" w:rsidRPr="00EA16B0" w:rsidRDefault="004254B5" w:rsidP="00AA431F">
      <w:pPr>
        <w:tabs>
          <w:tab w:val="clear" w:pos="1615"/>
        </w:tabs>
        <w:jc w:val="center"/>
        <w:rPr>
          <w:rFonts w:asciiTheme="majorHAnsi" w:hAnsiTheme="majorHAnsi" w:cstheme="majorHAnsi"/>
          <w:b/>
          <w:sz w:val="56"/>
        </w:rPr>
      </w:pPr>
      <w:r w:rsidRPr="00EA16B0">
        <w:rPr>
          <w:rFonts w:asciiTheme="majorHAnsi" w:hAnsiTheme="majorHAnsi" w:cstheme="majorHAnsi"/>
          <w:b/>
          <w:sz w:val="56"/>
        </w:rPr>
        <w:t>Estudo de Viabilidade de uma Universidade Distrital</w:t>
      </w:r>
    </w:p>
    <w:p w14:paraId="1DAC15F7" w14:textId="77777777" w:rsidR="004254B5" w:rsidRPr="00EA16B0" w:rsidRDefault="004254B5" w:rsidP="00AA431F">
      <w:pPr>
        <w:tabs>
          <w:tab w:val="clear" w:pos="1615"/>
        </w:tabs>
        <w:spacing w:after="0"/>
        <w:rPr>
          <w:rFonts w:asciiTheme="majorHAnsi" w:hAnsiTheme="majorHAnsi" w:cstheme="majorHAnsi"/>
          <w:b/>
          <w:color w:val="4875BD" w:themeColor="text1"/>
          <w:sz w:val="40"/>
          <w:szCs w:val="14"/>
        </w:rPr>
      </w:pPr>
    </w:p>
    <w:p w14:paraId="60505666" w14:textId="4509F30C" w:rsidR="004254B5" w:rsidRPr="00EA16B0" w:rsidRDefault="004D6417" w:rsidP="00504EBB">
      <w:pPr>
        <w:tabs>
          <w:tab w:val="clear" w:pos="1615"/>
        </w:tabs>
        <w:ind w:left="709" w:right="282"/>
        <w:jc w:val="center"/>
        <w:rPr>
          <w:rFonts w:asciiTheme="majorHAnsi" w:hAnsiTheme="majorHAnsi" w:cstheme="majorHAnsi"/>
          <w:bCs/>
          <w:sz w:val="40"/>
          <w:szCs w:val="14"/>
        </w:rPr>
      </w:pPr>
      <w:r w:rsidRPr="00EA16B0">
        <w:rPr>
          <w:rFonts w:asciiTheme="majorHAnsi" w:hAnsiTheme="majorHAnsi" w:cstheme="majorHAnsi"/>
          <w:bCs/>
          <w:sz w:val="40"/>
          <w:szCs w:val="14"/>
        </w:rPr>
        <w:t xml:space="preserve">Políticas </w:t>
      </w:r>
      <w:r w:rsidR="00504EBB" w:rsidRPr="00EA16B0">
        <w:rPr>
          <w:rFonts w:asciiTheme="majorHAnsi" w:hAnsiTheme="majorHAnsi" w:cstheme="majorHAnsi"/>
          <w:bCs/>
          <w:sz w:val="40"/>
          <w:szCs w:val="14"/>
        </w:rPr>
        <w:t>e ações de ensino para os cursos de graduação e pós-graduação, presencial e a distância</w:t>
      </w:r>
    </w:p>
    <w:p w14:paraId="050F69BD" w14:textId="77777777" w:rsidR="004254B5" w:rsidRPr="00EA16B0" w:rsidRDefault="004254B5" w:rsidP="00AA431F">
      <w:pPr>
        <w:tabs>
          <w:tab w:val="clear" w:pos="1615"/>
        </w:tabs>
        <w:spacing w:line="276" w:lineRule="auto"/>
        <w:jc w:val="center"/>
        <w:rPr>
          <w:rFonts w:asciiTheme="majorHAnsi" w:hAnsiTheme="majorHAnsi" w:cstheme="majorHAnsi"/>
          <w:bCs/>
          <w:sz w:val="40"/>
          <w:szCs w:val="14"/>
        </w:rPr>
      </w:pPr>
    </w:p>
    <w:tbl>
      <w:tblPr>
        <w:tblStyle w:val="Tabelacomgrade"/>
        <w:tblpPr w:leftFromText="141" w:rightFromText="141" w:vertAnchor="text" w:horzAnchor="page" w:tblpX="1766" w:tblpY="93"/>
        <w:tblOverlap w:val="nev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84"/>
        <w:gridCol w:w="6697"/>
      </w:tblGrid>
      <w:tr w:rsidR="004254B5" w:rsidRPr="00EA16B0" w14:paraId="41C080C6" w14:textId="77777777" w:rsidTr="00E01E20">
        <w:trPr>
          <w:trHeight w:val="454"/>
        </w:trPr>
        <w:tc>
          <w:tcPr>
            <w:tcW w:w="878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3B58339A" w14:textId="77777777" w:rsidR="004254B5" w:rsidRPr="00EA16B0" w:rsidRDefault="004254B5" w:rsidP="00AA431F">
            <w:pPr>
              <w:tabs>
                <w:tab w:val="clear" w:pos="1615"/>
              </w:tabs>
              <w:spacing w:line="276" w:lineRule="auto"/>
              <w:jc w:val="center"/>
              <w:rPr>
                <w:rFonts w:asciiTheme="majorHAnsi" w:hAnsiTheme="majorHAnsi" w:cstheme="majorHAnsi"/>
                <w:b/>
                <w:bCs/>
                <w:sz w:val="28"/>
                <w:szCs w:val="28"/>
              </w:rPr>
            </w:pPr>
            <w:r w:rsidRPr="00EA16B0">
              <w:rPr>
                <w:rFonts w:asciiTheme="majorHAnsi" w:hAnsiTheme="majorHAnsi" w:cstheme="majorHAnsi"/>
                <w:b/>
                <w:bCs/>
                <w:sz w:val="28"/>
                <w:szCs w:val="28"/>
              </w:rPr>
              <w:t>Identificação do Projeto</w:t>
            </w:r>
          </w:p>
        </w:tc>
      </w:tr>
      <w:tr w:rsidR="001E3720" w:rsidRPr="00EA16B0" w14:paraId="3789ABF8" w14:textId="77777777" w:rsidTr="00E01E20">
        <w:trPr>
          <w:trHeight w:val="323"/>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1190001" w14:textId="20478B3A" w:rsidR="001E3720" w:rsidRPr="00EA16B0" w:rsidRDefault="001E3720" w:rsidP="00AA431F">
            <w:pPr>
              <w:tabs>
                <w:tab w:val="clear" w:pos="1615"/>
              </w:tabs>
              <w:spacing w:line="276" w:lineRule="auto"/>
              <w:rPr>
                <w:rFonts w:asciiTheme="majorHAnsi" w:hAnsiTheme="majorHAnsi" w:cstheme="majorHAnsi"/>
              </w:rPr>
            </w:pP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21D233" w14:textId="414C1ED4" w:rsidR="001E3720" w:rsidRPr="00EA16B0" w:rsidRDefault="001E3720" w:rsidP="00AA431F">
            <w:pPr>
              <w:tabs>
                <w:tab w:val="clear" w:pos="1615"/>
              </w:tabs>
              <w:spacing w:line="276" w:lineRule="auto"/>
              <w:rPr>
                <w:rFonts w:asciiTheme="majorHAnsi" w:eastAsia="Calibri" w:hAnsiTheme="majorHAnsi" w:cstheme="majorHAnsi"/>
              </w:rPr>
            </w:pPr>
          </w:p>
        </w:tc>
      </w:tr>
      <w:tr w:rsidR="004254B5" w:rsidRPr="00EA16B0" w14:paraId="3BE6D897"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79720D6" w14:textId="77777777" w:rsidR="004254B5" w:rsidRPr="00EA16B0" w:rsidRDefault="004254B5" w:rsidP="00AA431F">
            <w:pPr>
              <w:tabs>
                <w:tab w:val="clear" w:pos="1615"/>
              </w:tabs>
              <w:spacing w:line="276" w:lineRule="auto"/>
              <w:rPr>
                <w:rFonts w:asciiTheme="majorHAnsi" w:hAnsiTheme="majorHAnsi" w:cstheme="majorHAnsi"/>
              </w:rPr>
            </w:pPr>
            <w:r w:rsidRPr="00EA16B0">
              <w:rPr>
                <w:rFonts w:asciiTheme="majorHAnsi" w:hAnsiTheme="majorHAnsi" w:cstheme="majorHAnsi"/>
              </w:rPr>
              <w:t>Nome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BD3801E" w14:textId="5BD49DAE" w:rsidR="004254B5" w:rsidRPr="00EA16B0" w:rsidRDefault="001E3720" w:rsidP="00AA431F">
            <w:pPr>
              <w:tabs>
                <w:tab w:val="clear" w:pos="1615"/>
              </w:tabs>
              <w:spacing w:line="276" w:lineRule="auto"/>
              <w:rPr>
                <w:rFonts w:asciiTheme="majorHAnsi" w:eastAsia="Calibri" w:hAnsiTheme="majorHAnsi" w:cstheme="majorHAnsi"/>
              </w:rPr>
            </w:pPr>
            <w:r w:rsidRPr="00EA16B0">
              <w:rPr>
                <w:rFonts w:asciiTheme="majorHAnsi" w:hAnsiTheme="majorHAnsi" w:cstheme="majorHAnsi"/>
              </w:rPr>
              <w:t>Desenvolvimento de projeto de pesquisa de uma Universidade do Distrito Federal</w:t>
            </w:r>
          </w:p>
        </w:tc>
      </w:tr>
      <w:tr w:rsidR="004254B5" w:rsidRPr="00EA16B0" w14:paraId="54317EE3"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20FDC98" w14:textId="77777777" w:rsidR="004254B5" w:rsidRPr="00EA16B0" w:rsidRDefault="004254B5" w:rsidP="00AA431F">
            <w:pPr>
              <w:tabs>
                <w:tab w:val="clear" w:pos="1615"/>
              </w:tabs>
              <w:spacing w:line="276" w:lineRule="auto"/>
              <w:rPr>
                <w:rFonts w:asciiTheme="majorHAnsi" w:hAnsiTheme="majorHAnsi" w:cstheme="majorHAnsi"/>
              </w:rPr>
            </w:pPr>
            <w:r w:rsidRPr="00EA16B0">
              <w:rPr>
                <w:rFonts w:asciiTheme="majorHAnsi" w:hAnsiTheme="majorHAnsi" w:cstheme="majorHAnsi"/>
              </w:rPr>
              <w:t>Produto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58E6E7C" w14:textId="077ACEA3" w:rsidR="004254B5" w:rsidRPr="00EA16B0" w:rsidRDefault="00504EBB" w:rsidP="00AA431F">
            <w:pPr>
              <w:tabs>
                <w:tab w:val="clear" w:pos="1615"/>
              </w:tabs>
              <w:spacing w:line="276" w:lineRule="auto"/>
              <w:rPr>
                <w:rFonts w:asciiTheme="majorHAnsi" w:hAnsiTheme="majorHAnsi" w:cstheme="majorHAnsi"/>
              </w:rPr>
            </w:pPr>
            <w:r w:rsidRPr="00EA16B0">
              <w:rPr>
                <w:rFonts w:asciiTheme="majorHAnsi" w:hAnsiTheme="majorHAnsi" w:cstheme="majorHAnsi"/>
              </w:rPr>
              <w:t>Proposição de políticas e ações de ensino para os cursos de graduação e pós-graduação, presencial e a distância</w:t>
            </w:r>
          </w:p>
        </w:tc>
      </w:tr>
      <w:tr w:rsidR="004254B5" w:rsidRPr="00EA16B0" w14:paraId="557F4265"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9DD9D44" w14:textId="77777777" w:rsidR="004254B5" w:rsidRPr="00EA16B0" w:rsidRDefault="004254B5" w:rsidP="00AA431F">
            <w:pPr>
              <w:tabs>
                <w:tab w:val="clear" w:pos="1615"/>
              </w:tabs>
              <w:spacing w:line="276" w:lineRule="auto"/>
              <w:rPr>
                <w:rFonts w:asciiTheme="majorHAnsi" w:hAnsiTheme="majorHAnsi" w:cstheme="majorHAnsi"/>
              </w:rPr>
            </w:pPr>
            <w:r w:rsidRPr="00EA16B0">
              <w:rPr>
                <w:rFonts w:asciiTheme="majorHAnsi" w:hAnsiTheme="majorHAnsi" w:cstheme="majorHAnsi"/>
              </w:rPr>
              <w:t>Diretoria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5E6E22B" w14:textId="77777777" w:rsidR="004254B5" w:rsidRPr="00EA16B0" w:rsidRDefault="004254B5" w:rsidP="00AA431F">
            <w:pPr>
              <w:tabs>
                <w:tab w:val="clear" w:pos="1615"/>
              </w:tabs>
              <w:spacing w:line="276" w:lineRule="auto"/>
              <w:rPr>
                <w:rFonts w:asciiTheme="majorHAnsi" w:hAnsiTheme="majorHAnsi" w:cstheme="majorHAnsi"/>
              </w:rPr>
            </w:pPr>
            <w:r w:rsidRPr="00EA16B0">
              <w:rPr>
                <w:rFonts w:asciiTheme="majorHAnsi" w:hAnsiTheme="majorHAnsi" w:cstheme="majorHAnsi"/>
              </w:rPr>
              <w:t>Executiva</w:t>
            </w:r>
          </w:p>
        </w:tc>
      </w:tr>
      <w:tr w:rsidR="004254B5" w:rsidRPr="00EA16B0" w14:paraId="29ADC803"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E22EE11" w14:textId="77777777" w:rsidR="004254B5" w:rsidRPr="00EA16B0" w:rsidRDefault="004254B5" w:rsidP="00AA431F">
            <w:pPr>
              <w:tabs>
                <w:tab w:val="clear" w:pos="1615"/>
              </w:tabs>
              <w:spacing w:line="276" w:lineRule="auto"/>
              <w:rPr>
                <w:rFonts w:asciiTheme="majorHAnsi" w:hAnsiTheme="majorHAnsi" w:cstheme="majorHAnsi"/>
              </w:rPr>
            </w:pPr>
            <w:r w:rsidRPr="00EA16B0">
              <w:rPr>
                <w:rFonts w:asciiTheme="majorHAnsi" w:hAnsiTheme="majorHAnsi" w:cstheme="majorHAnsi"/>
              </w:rPr>
              <w:t>Coordenação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D13BFB1" w14:textId="77777777" w:rsidR="004254B5" w:rsidRPr="00EA16B0" w:rsidRDefault="004254B5" w:rsidP="00AA431F">
            <w:pPr>
              <w:tabs>
                <w:tab w:val="clear" w:pos="1615"/>
              </w:tabs>
              <w:spacing w:line="276" w:lineRule="auto"/>
              <w:rPr>
                <w:rFonts w:asciiTheme="majorHAnsi" w:eastAsia="Calibri" w:hAnsiTheme="majorHAnsi" w:cstheme="majorHAnsi"/>
              </w:rPr>
            </w:pPr>
            <w:r w:rsidRPr="00EA16B0">
              <w:rPr>
                <w:rFonts w:asciiTheme="majorHAnsi" w:eastAsia="Calibri" w:hAnsiTheme="majorHAnsi" w:cstheme="majorHAnsi"/>
              </w:rPr>
              <w:t xml:space="preserve">Claudia </w:t>
            </w:r>
            <w:proofErr w:type="spellStart"/>
            <w:r w:rsidRPr="00EA16B0">
              <w:rPr>
                <w:rFonts w:asciiTheme="majorHAnsi" w:eastAsia="Calibri" w:hAnsiTheme="majorHAnsi" w:cstheme="majorHAnsi"/>
              </w:rPr>
              <w:t>Maffini</w:t>
            </w:r>
            <w:proofErr w:type="spellEnd"/>
            <w:r w:rsidRPr="00EA16B0">
              <w:rPr>
                <w:rFonts w:asciiTheme="majorHAnsi" w:eastAsia="Calibri" w:hAnsiTheme="majorHAnsi" w:cstheme="majorHAnsi"/>
              </w:rPr>
              <w:t xml:space="preserve"> </w:t>
            </w:r>
            <w:proofErr w:type="spellStart"/>
            <w:r w:rsidRPr="00EA16B0">
              <w:rPr>
                <w:rFonts w:asciiTheme="majorHAnsi" w:eastAsia="Calibri" w:hAnsiTheme="majorHAnsi" w:cstheme="majorHAnsi"/>
              </w:rPr>
              <w:t>Griboski</w:t>
            </w:r>
            <w:proofErr w:type="spellEnd"/>
          </w:p>
        </w:tc>
      </w:tr>
      <w:tr w:rsidR="004254B5" w:rsidRPr="00EA16B0" w14:paraId="4412887C"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ADEE559" w14:textId="77777777" w:rsidR="004254B5" w:rsidRPr="00EA16B0" w:rsidRDefault="004254B5" w:rsidP="00AA431F">
            <w:pPr>
              <w:tabs>
                <w:tab w:val="clear" w:pos="1615"/>
              </w:tabs>
              <w:spacing w:line="276" w:lineRule="auto"/>
              <w:jc w:val="both"/>
              <w:rPr>
                <w:rFonts w:asciiTheme="majorHAnsi" w:hAnsiTheme="majorHAnsi" w:cstheme="majorHAnsi"/>
              </w:rPr>
            </w:pPr>
            <w:r w:rsidRPr="00EA16B0">
              <w:rPr>
                <w:rFonts w:asciiTheme="majorHAnsi" w:hAnsiTheme="majorHAnsi" w:cstheme="majorHAnsi"/>
              </w:rPr>
              <w:t xml:space="preserve">Consultor </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4113B09" w14:textId="2C168F8A" w:rsidR="004254B5" w:rsidRPr="00EA16B0" w:rsidRDefault="00504EBB" w:rsidP="00AA431F">
            <w:pPr>
              <w:tabs>
                <w:tab w:val="clear" w:pos="1615"/>
              </w:tabs>
              <w:spacing w:line="276" w:lineRule="auto"/>
              <w:rPr>
                <w:rFonts w:asciiTheme="majorHAnsi" w:eastAsia="Calibri" w:hAnsiTheme="majorHAnsi" w:cstheme="majorHAnsi"/>
              </w:rPr>
            </w:pPr>
            <w:proofErr w:type="spellStart"/>
            <w:r w:rsidRPr="00EA16B0">
              <w:rPr>
                <w:rFonts w:asciiTheme="majorHAnsi" w:eastAsia="Calibri" w:hAnsiTheme="majorHAnsi" w:cstheme="majorHAnsi"/>
              </w:rPr>
              <w:t>Angelo</w:t>
            </w:r>
            <w:proofErr w:type="spellEnd"/>
            <w:r w:rsidRPr="00EA16B0">
              <w:rPr>
                <w:rFonts w:asciiTheme="majorHAnsi" w:eastAsia="Calibri" w:hAnsiTheme="majorHAnsi" w:cstheme="majorHAnsi"/>
              </w:rPr>
              <w:t xml:space="preserve"> Luiz </w:t>
            </w:r>
            <w:proofErr w:type="spellStart"/>
            <w:r w:rsidRPr="00EA16B0">
              <w:rPr>
                <w:rFonts w:asciiTheme="majorHAnsi" w:eastAsia="Calibri" w:hAnsiTheme="majorHAnsi" w:cstheme="majorHAnsi"/>
              </w:rPr>
              <w:t>Cortelazzo</w:t>
            </w:r>
            <w:proofErr w:type="spellEnd"/>
          </w:p>
        </w:tc>
      </w:tr>
      <w:tr w:rsidR="004254B5" w:rsidRPr="00EA16B0" w14:paraId="3E5120CD"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160ACA13" w14:textId="77777777" w:rsidR="004254B5" w:rsidRPr="00EA16B0" w:rsidRDefault="004254B5" w:rsidP="00AA431F">
            <w:pPr>
              <w:tabs>
                <w:tab w:val="clear" w:pos="1615"/>
              </w:tabs>
              <w:spacing w:line="276" w:lineRule="auto"/>
              <w:rPr>
                <w:rFonts w:asciiTheme="majorHAnsi" w:hAnsiTheme="majorHAnsi" w:cstheme="majorHAnsi"/>
              </w:rPr>
            </w:pPr>
            <w:r w:rsidRPr="00EA16B0">
              <w:rPr>
                <w:rFonts w:asciiTheme="majorHAnsi" w:hAnsiTheme="majorHAnsi" w:cstheme="majorHAnsi"/>
              </w:rPr>
              <w:t>Data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36F70A41" w14:textId="33B0016F" w:rsidR="004254B5" w:rsidRPr="00EA16B0" w:rsidRDefault="00504EBB" w:rsidP="00AA431F">
            <w:pPr>
              <w:tabs>
                <w:tab w:val="clear" w:pos="1615"/>
              </w:tabs>
              <w:spacing w:line="276" w:lineRule="auto"/>
              <w:rPr>
                <w:rFonts w:asciiTheme="majorHAnsi" w:eastAsia="Calibri" w:hAnsiTheme="majorHAnsi" w:cstheme="majorHAnsi"/>
              </w:rPr>
            </w:pPr>
            <w:r w:rsidRPr="00EA16B0">
              <w:rPr>
                <w:rFonts w:asciiTheme="majorHAnsi" w:eastAsia="Calibri" w:hAnsiTheme="majorHAnsi" w:cstheme="majorHAnsi"/>
              </w:rPr>
              <w:t>22/02/2022</w:t>
            </w:r>
          </w:p>
        </w:tc>
      </w:tr>
    </w:tbl>
    <w:p w14:paraId="4964335C" w14:textId="77777777" w:rsidR="004254B5" w:rsidRPr="00EA16B0" w:rsidRDefault="004254B5" w:rsidP="00AA431F">
      <w:pPr>
        <w:tabs>
          <w:tab w:val="clear" w:pos="1615"/>
        </w:tabs>
        <w:jc w:val="center"/>
        <w:rPr>
          <w:rFonts w:asciiTheme="majorHAnsi" w:hAnsiTheme="majorHAnsi" w:cstheme="majorHAnsi"/>
          <w:bCs/>
          <w:noProof/>
          <w:lang w:eastAsia="pt-BR"/>
        </w:rPr>
      </w:pPr>
    </w:p>
    <w:p w14:paraId="241336ED" w14:textId="77777777" w:rsidR="004254B5" w:rsidRPr="00EA16B0" w:rsidRDefault="004254B5" w:rsidP="00AA431F">
      <w:pPr>
        <w:tabs>
          <w:tab w:val="clear" w:pos="1615"/>
        </w:tabs>
        <w:jc w:val="center"/>
        <w:rPr>
          <w:rFonts w:asciiTheme="majorHAnsi" w:hAnsiTheme="majorHAnsi" w:cstheme="majorHAnsi"/>
          <w:bCs/>
          <w:noProof/>
          <w:lang w:eastAsia="pt-BR"/>
        </w:rPr>
      </w:pPr>
    </w:p>
    <w:p w14:paraId="102EE829" w14:textId="77777777" w:rsidR="004254B5" w:rsidRPr="00EA16B0" w:rsidRDefault="004254B5" w:rsidP="00AA431F">
      <w:pPr>
        <w:tabs>
          <w:tab w:val="clear" w:pos="1615"/>
        </w:tabs>
        <w:jc w:val="center"/>
        <w:rPr>
          <w:rFonts w:asciiTheme="majorHAnsi" w:hAnsiTheme="majorHAnsi" w:cstheme="majorHAnsi"/>
          <w:bCs/>
          <w:noProof/>
          <w:lang w:eastAsia="pt-BR"/>
        </w:rPr>
      </w:pPr>
    </w:p>
    <w:p w14:paraId="728D1A00" w14:textId="77777777" w:rsidR="004254B5" w:rsidRPr="00EA16B0" w:rsidRDefault="004254B5" w:rsidP="00AA431F">
      <w:pPr>
        <w:tabs>
          <w:tab w:val="clear" w:pos="1615"/>
        </w:tabs>
        <w:jc w:val="center"/>
        <w:rPr>
          <w:rFonts w:asciiTheme="majorHAnsi" w:hAnsiTheme="majorHAnsi" w:cstheme="majorHAnsi"/>
          <w:bCs/>
          <w:noProof/>
          <w:lang w:eastAsia="pt-BR"/>
        </w:rPr>
      </w:pPr>
    </w:p>
    <w:p w14:paraId="2A2B592E" w14:textId="77777777" w:rsidR="004254B5" w:rsidRPr="00EA16B0" w:rsidRDefault="004254B5" w:rsidP="00AA431F">
      <w:pPr>
        <w:tabs>
          <w:tab w:val="clear" w:pos="1615"/>
        </w:tabs>
        <w:jc w:val="center"/>
        <w:rPr>
          <w:rFonts w:asciiTheme="majorHAnsi" w:hAnsiTheme="majorHAnsi" w:cstheme="majorHAnsi"/>
          <w:bCs/>
          <w:noProof/>
          <w:lang w:eastAsia="pt-BR"/>
        </w:rPr>
      </w:pPr>
    </w:p>
    <w:p w14:paraId="5C08F1D5" w14:textId="77777777" w:rsidR="004254B5" w:rsidRPr="00EA16B0" w:rsidRDefault="004254B5" w:rsidP="00AA431F">
      <w:pPr>
        <w:tabs>
          <w:tab w:val="clear" w:pos="1615"/>
        </w:tabs>
        <w:jc w:val="center"/>
        <w:rPr>
          <w:rFonts w:asciiTheme="majorHAnsi" w:hAnsiTheme="majorHAnsi" w:cstheme="majorHAnsi"/>
          <w:bCs/>
          <w:noProof/>
          <w:lang w:eastAsia="pt-BR"/>
        </w:rPr>
      </w:pPr>
    </w:p>
    <w:p w14:paraId="5E325417" w14:textId="77777777" w:rsidR="004254B5" w:rsidRPr="00EA16B0" w:rsidRDefault="004254B5" w:rsidP="00AA431F">
      <w:pPr>
        <w:tabs>
          <w:tab w:val="clear" w:pos="1615"/>
        </w:tabs>
        <w:jc w:val="center"/>
        <w:rPr>
          <w:rFonts w:asciiTheme="majorHAnsi" w:hAnsiTheme="majorHAnsi" w:cstheme="majorHAnsi"/>
          <w:bCs/>
          <w:noProof/>
          <w:lang w:eastAsia="pt-BR"/>
        </w:rPr>
      </w:pPr>
    </w:p>
    <w:p w14:paraId="4BD0DCC8" w14:textId="77777777" w:rsidR="004254B5" w:rsidRPr="00EA16B0" w:rsidRDefault="004254B5" w:rsidP="00AA431F">
      <w:pPr>
        <w:tabs>
          <w:tab w:val="clear" w:pos="1615"/>
        </w:tabs>
        <w:jc w:val="center"/>
        <w:rPr>
          <w:rFonts w:asciiTheme="majorHAnsi" w:hAnsiTheme="majorHAnsi" w:cstheme="majorHAnsi"/>
          <w:bCs/>
          <w:noProof/>
          <w:lang w:eastAsia="pt-BR"/>
        </w:rPr>
      </w:pPr>
    </w:p>
    <w:p w14:paraId="26B2CA1C" w14:textId="77777777" w:rsidR="004254B5" w:rsidRPr="00EA16B0" w:rsidRDefault="004254B5" w:rsidP="00AA431F">
      <w:pPr>
        <w:tabs>
          <w:tab w:val="clear" w:pos="1615"/>
        </w:tabs>
        <w:jc w:val="center"/>
        <w:rPr>
          <w:rFonts w:asciiTheme="majorHAnsi" w:hAnsiTheme="majorHAnsi" w:cstheme="majorHAnsi"/>
          <w:bCs/>
          <w:noProof/>
          <w:lang w:eastAsia="pt-BR"/>
        </w:rPr>
      </w:pPr>
    </w:p>
    <w:p w14:paraId="34006BC4" w14:textId="77777777" w:rsidR="004254B5" w:rsidRPr="00EA16B0" w:rsidRDefault="004254B5" w:rsidP="00AA431F">
      <w:pPr>
        <w:tabs>
          <w:tab w:val="clear" w:pos="1615"/>
        </w:tabs>
        <w:jc w:val="center"/>
        <w:rPr>
          <w:rFonts w:asciiTheme="majorHAnsi" w:hAnsiTheme="majorHAnsi" w:cstheme="majorHAnsi"/>
          <w:bCs/>
          <w:noProof/>
          <w:lang w:eastAsia="pt-BR"/>
        </w:rPr>
      </w:pPr>
    </w:p>
    <w:p w14:paraId="0F32FEA5" w14:textId="77777777" w:rsidR="004254B5" w:rsidRPr="00EA16B0" w:rsidRDefault="004254B5" w:rsidP="00AA431F">
      <w:pPr>
        <w:tabs>
          <w:tab w:val="clear" w:pos="1615"/>
        </w:tabs>
        <w:jc w:val="center"/>
        <w:rPr>
          <w:rFonts w:asciiTheme="majorHAnsi" w:hAnsiTheme="majorHAnsi" w:cstheme="majorHAnsi"/>
          <w:bCs/>
          <w:noProof/>
          <w:lang w:eastAsia="pt-BR"/>
        </w:rPr>
      </w:pPr>
    </w:p>
    <w:p w14:paraId="325FBB83" w14:textId="77777777" w:rsidR="004254B5" w:rsidRPr="00EA16B0" w:rsidRDefault="004254B5" w:rsidP="00AA431F">
      <w:pPr>
        <w:pStyle w:val="PargrafodaLista"/>
        <w:tabs>
          <w:tab w:val="clear" w:pos="1615"/>
        </w:tabs>
        <w:spacing w:after="0" w:line="360" w:lineRule="auto"/>
        <w:ind w:left="0" w:right="-149"/>
        <w:jc w:val="both"/>
        <w:rPr>
          <w:rFonts w:asciiTheme="majorHAnsi" w:hAnsiTheme="majorHAnsi" w:cstheme="majorHAnsi"/>
          <w:b/>
          <w:color w:val="4875BD" w:themeColor="accent1"/>
          <w:sz w:val="44"/>
          <w:szCs w:val="36"/>
        </w:rPr>
      </w:pPr>
      <w:r w:rsidRPr="00EA16B0">
        <w:rPr>
          <w:rFonts w:asciiTheme="majorHAnsi" w:hAnsiTheme="majorHAnsi" w:cstheme="majorHAnsi"/>
          <w:bCs/>
          <w:noProof/>
          <w:lang w:eastAsia="pt-BR"/>
        </w:rPr>
        <w:br w:type="column"/>
      </w:r>
      <w:bookmarkStart w:id="1" w:name="_Toc82099826"/>
      <w:r w:rsidRPr="00EA16B0">
        <w:rPr>
          <w:rFonts w:asciiTheme="majorHAnsi" w:hAnsiTheme="majorHAnsi" w:cstheme="majorHAnsi"/>
          <w:b/>
          <w:color w:val="4875BD" w:themeColor="accent1"/>
          <w:sz w:val="44"/>
          <w:szCs w:val="36"/>
        </w:rPr>
        <w:lastRenderedPageBreak/>
        <w:t>SUMÁRIO</w:t>
      </w:r>
    </w:p>
    <w:p w14:paraId="1DA95394" w14:textId="77777777" w:rsidR="004254B5" w:rsidRPr="00EA16B0" w:rsidRDefault="004254B5" w:rsidP="00AA431F">
      <w:pPr>
        <w:pStyle w:val="PargrafodaLista"/>
        <w:tabs>
          <w:tab w:val="clear" w:pos="1615"/>
        </w:tabs>
        <w:spacing w:after="0" w:line="360" w:lineRule="auto"/>
        <w:ind w:left="0" w:right="-149"/>
        <w:jc w:val="both"/>
        <w:rPr>
          <w:rFonts w:asciiTheme="majorHAnsi" w:hAnsiTheme="majorHAnsi" w:cstheme="majorHAnsi"/>
          <w:b/>
          <w:color w:val="4875BD" w:themeColor="accent1"/>
        </w:rPr>
      </w:pPr>
    </w:p>
    <w:tbl>
      <w:tblPr>
        <w:tblStyle w:val="Tabelacomgrade"/>
        <w:tblW w:w="906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gridCol w:w="1417"/>
      </w:tblGrid>
      <w:tr w:rsidR="00EA16B0" w:rsidRPr="00EA16B0" w14:paraId="3860B1E8" w14:textId="77777777" w:rsidTr="00162468">
        <w:trPr>
          <w:trHeight w:val="391"/>
        </w:trPr>
        <w:tc>
          <w:tcPr>
            <w:tcW w:w="7650" w:type="dxa"/>
          </w:tcPr>
          <w:p w14:paraId="03F81715" w14:textId="687B469D" w:rsidR="00EA16B0" w:rsidRPr="00EA16B0" w:rsidRDefault="00EA16B0" w:rsidP="00EA16B0">
            <w:pPr>
              <w:tabs>
                <w:tab w:val="clear" w:pos="1615"/>
              </w:tabs>
              <w:outlineLvl w:val="0"/>
              <w:rPr>
                <w:rFonts w:asciiTheme="majorHAnsi" w:hAnsiTheme="majorHAnsi" w:cstheme="majorHAnsi"/>
                <w:b/>
                <w:bCs/>
              </w:rPr>
            </w:pPr>
            <w:bookmarkStart w:id="2" w:name="_Hlk102559118"/>
            <w:r w:rsidRPr="00EA16B0">
              <w:rPr>
                <w:rFonts w:asciiTheme="majorHAnsi" w:hAnsiTheme="majorHAnsi" w:cstheme="majorHAnsi"/>
                <w:b/>
                <w:bCs/>
              </w:rPr>
              <w:t>APRESENTAÇÃO</w:t>
            </w:r>
          </w:p>
        </w:tc>
        <w:tc>
          <w:tcPr>
            <w:tcW w:w="1417" w:type="dxa"/>
          </w:tcPr>
          <w:p w14:paraId="5F9A2A96" w14:textId="09F62C10" w:rsidR="00EA16B0" w:rsidRPr="00EA16B0" w:rsidRDefault="00EA16B0" w:rsidP="00EA16B0">
            <w:pPr>
              <w:pStyle w:val="PargrafodaLista"/>
              <w:tabs>
                <w:tab w:val="clear" w:pos="1615"/>
              </w:tabs>
              <w:ind w:left="0"/>
              <w:outlineLvl w:val="0"/>
              <w:rPr>
                <w:rFonts w:asciiTheme="majorHAnsi" w:hAnsiTheme="majorHAnsi" w:cstheme="majorHAnsi"/>
                <w:b/>
                <w:bCs/>
              </w:rPr>
            </w:pPr>
            <w:r w:rsidRPr="00EA16B0">
              <w:rPr>
                <w:rFonts w:asciiTheme="majorHAnsi" w:hAnsiTheme="majorHAnsi" w:cstheme="majorHAnsi"/>
              </w:rPr>
              <w:t>6</w:t>
            </w:r>
          </w:p>
        </w:tc>
      </w:tr>
      <w:tr w:rsidR="00EA16B0" w:rsidRPr="00EA16B0" w14:paraId="0744DDF5" w14:textId="77777777" w:rsidTr="00162468">
        <w:trPr>
          <w:trHeight w:val="391"/>
        </w:trPr>
        <w:tc>
          <w:tcPr>
            <w:tcW w:w="7650" w:type="dxa"/>
          </w:tcPr>
          <w:p w14:paraId="7095DCF5" w14:textId="77777777" w:rsidR="00EA16B0" w:rsidRPr="00EA16B0" w:rsidRDefault="00EA16B0" w:rsidP="00EA16B0">
            <w:pPr>
              <w:pStyle w:val="PargrafodaLista"/>
              <w:tabs>
                <w:tab w:val="clear" w:pos="1615"/>
              </w:tabs>
              <w:ind w:left="0"/>
              <w:outlineLvl w:val="0"/>
              <w:rPr>
                <w:rFonts w:asciiTheme="majorHAnsi" w:hAnsiTheme="majorHAnsi" w:cstheme="majorHAnsi"/>
                <w:b/>
                <w:bCs/>
              </w:rPr>
            </w:pPr>
          </w:p>
        </w:tc>
        <w:tc>
          <w:tcPr>
            <w:tcW w:w="1417" w:type="dxa"/>
          </w:tcPr>
          <w:p w14:paraId="404A8E60" w14:textId="77777777" w:rsidR="00EA16B0" w:rsidRPr="00EA16B0" w:rsidRDefault="00EA16B0" w:rsidP="00EA16B0">
            <w:pPr>
              <w:pStyle w:val="PargrafodaLista"/>
              <w:tabs>
                <w:tab w:val="clear" w:pos="1615"/>
              </w:tabs>
              <w:ind w:left="0"/>
              <w:outlineLvl w:val="0"/>
              <w:rPr>
                <w:rFonts w:asciiTheme="majorHAnsi" w:hAnsiTheme="majorHAnsi" w:cstheme="majorHAnsi"/>
                <w:b/>
                <w:bCs/>
              </w:rPr>
            </w:pPr>
          </w:p>
        </w:tc>
      </w:tr>
      <w:tr w:rsidR="00EA16B0" w:rsidRPr="00EA16B0" w14:paraId="6EB04FA9" w14:textId="77777777" w:rsidTr="00162468">
        <w:trPr>
          <w:trHeight w:val="391"/>
        </w:trPr>
        <w:tc>
          <w:tcPr>
            <w:tcW w:w="7650" w:type="dxa"/>
          </w:tcPr>
          <w:p w14:paraId="7803B4C0" w14:textId="2B91E3F8"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1. CONSIDERAÇÕES INICIAIS</w:t>
            </w:r>
          </w:p>
        </w:tc>
        <w:tc>
          <w:tcPr>
            <w:tcW w:w="1417" w:type="dxa"/>
          </w:tcPr>
          <w:p w14:paraId="413A2528" w14:textId="44050EFF" w:rsidR="00EA16B0" w:rsidRPr="00EA16B0" w:rsidRDefault="00EA16B0" w:rsidP="00EA16B0">
            <w:pPr>
              <w:pStyle w:val="PargrafodaLista"/>
              <w:tabs>
                <w:tab w:val="clear" w:pos="1615"/>
              </w:tabs>
              <w:ind w:left="0"/>
              <w:rPr>
                <w:rFonts w:asciiTheme="majorHAnsi" w:hAnsiTheme="majorHAnsi" w:cstheme="majorHAnsi"/>
                <w:b/>
                <w:bCs/>
              </w:rPr>
            </w:pPr>
            <w:r w:rsidRPr="00EA16B0">
              <w:rPr>
                <w:rFonts w:asciiTheme="majorHAnsi" w:hAnsiTheme="majorHAnsi" w:cstheme="majorHAnsi"/>
              </w:rPr>
              <w:t>7</w:t>
            </w:r>
          </w:p>
        </w:tc>
      </w:tr>
      <w:tr w:rsidR="00EA16B0" w:rsidRPr="00EA16B0" w14:paraId="3B4DF34E" w14:textId="77777777" w:rsidTr="00162468">
        <w:trPr>
          <w:trHeight w:val="391"/>
        </w:trPr>
        <w:tc>
          <w:tcPr>
            <w:tcW w:w="7650" w:type="dxa"/>
          </w:tcPr>
          <w:p w14:paraId="7CED0851" w14:textId="77777777" w:rsidR="00EA16B0" w:rsidRPr="00EA16B0" w:rsidRDefault="00EA16B0" w:rsidP="00EA16B0">
            <w:pPr>
              <w:pStyle w:val="PargrafodaLista"/>
              <w:tabs>
                <w:tab w:val="clear" w:pos="1615"/>
              </w:tabs>
              <w:ind w:left="0"/>
              <w:rPr>
                <w:rFonts w:asciiTheme="majorHAnsi" w:hAnsiTheme="majorHAnsi" w:cstheme="majorHAnsi"/>
                <w:b/>
                <w:bCs/>
              </w:rPr>
            </w:pPr>
          </w:p>
        </w:tc>
        <w:tc>
          <w:tcPr>
            <w:tcW w:w="1417" w:type="dxa"/>
          </w:tcPr>
          <w:p w14:paraId="2C650A6E" w14:textId="77777777" w:rsidR="00EA16B0" w:rsidRPr="00EA16B0" w:rsidRDefault="00EA16B0" w:rsidP="00EA16B0">
            <w:pPr>
              <w:pStyle w:val="PargrafodaLista"/>
              <w:tabs>
                <w:tab w:val="clear" w:pos="1615"/>
              </w:tabs>
              <w:ind w:left="0"/>
              <w:rPr>
                <w:rFonts w:asciiTheme="majorHAnsi" w:hAnsiTheme="majorHAnsi" w:cstheme="majorHAnsi"/>
                <w:b/>
                <w:bCs/>
              </w:rPr>
            </w:pPr>
          </w:p>
        </w:tc>
      </w:tr>
      <w:tr w:rsidR="00EA16B0" w:rsidRPr="00EA16B0" w14:paraId="7C5F6E6F" w14:textId="77777777" w:rsidTr="00162468">
        <w:trPr>
          <w:trHeight w:val="391"/>
        </w:trPr>
        <w:tc>
          <w:tcPr>
            <w:tcW w:w="7650" w:type="dxa"/>
          </w:tcPr>
          <w:p w14:paraId="387BCCE8" w14:textId="2BEAE2CC"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1.1 A EDUCAÇÃO SUPERIOR NA LEI N. 9.394/96</w:t>
            </w:r>
          </w:p>
        </w:tc>
        <w:tc>
          <w:tcPr>
            <w:tcW w:w="1417" w:type="dxa"/>
          </w:tcPr>
          <w:p w14:paraId="0070A465" w14:textId="111D146C" w:rsidR="00EA16B0" w:rsidRPr="00EA16B0" w:rsidRDefault="00EA16B0" w:rsidP="00EA16B0">
            <w:pPr>
              <w:pStyle w:val="PargrafodaLista"/>
              <w:tabs>
                <w:tab w:val="clear" w:pos="1615"/>
              </w:tabs>
              <w:ind w:left="0"/>
              <w:rPr>
                <w:rFonts w:asciiTheme="majorHAnsi" w:hAnsiTheme="majorHAnsi" w:cstheme="majorHAnsi"/>
                <w:b/>
                <w:bCs/>
              </w:rPr>
            </w:pPr>
            <w:r w:rsidRPr="00EA16B0">
              <w:rPr>
                <w:rFonts w:asciiTheme="majorHAnsi" w:hAnsiTheme="majorHAnsi" w:cstheme="majorHAnsi"/>
              </w:rPr>
              <w:t>8</w:t>
            </w:r>
          </w:p>
        </w:tc>
      </w:tr>
      <w:tr w:rsidR="00EA16B0" w:rsidRPr="00EA16B0" w14:paraId="12284E08" w14:textId="77777777" w:rsidTr="00162468">
        <w:trPr>
          <w:trHeight w:val="391"/>
        </w:trPr>
        <w:tc>
          <w:tcPr>
            <w:tcW w:w="7650" w:type="dxa"/>
          </w:tcPr>
          <w:p w14:paraId="741C9DEB" w14:textId="77777777" w:rsidR="00EA16B0" w:rsidRPr="00EA16B0" w:rsidRDefault="00EA16B0" w:rsidP="00EA16B0">
            <w:pPr>
              <w:tabs>
                <w:tab w:val="clear" w:pos="1615"/>
              </w:tabs>
              <w:rPr>
                <w:rFonts w:asciiTheme="majorHAnsi" w:hAnsiTheme="majorHAnsi" w:cstheme="majorHAnsi"/>
                <w:b/>
                <w:bCs/>
              </w:rPr>
            </w:pPr>
          </w:p>
        </w:tc>
        <w:tc>
          <w:tcPr>
            <w:tcW w:w="1417" w:type="dxa"/>
          </w:tcPr>
          <w:p w14:paraId="08E34705" w14:textId="77777777" w:rsidR="00EA16B0" w:rsidRPr="00EA16B0" w:rsidRDefault="00EA16B0" w:rsidP="00EA16B0">
            <w:pPr>
              <w:tabs>
                <w:tab w:val="clear" w:pos="1615"/>
              </w:tabs>
              <w:rPr>
                <w:rFonts w:asciiTheme="majorHAnsi" w:hAnsiTheme="majorHAnsi" w:cstheme="majorHAnsi"/>
                <w:b/>
                <w:bCs/>
              </w:rPr>
            </w:pPr>
          </w:p>
        </w:tc>
      </w:tr>
      <w:tr w:rsidR="00EA16B0" w:rsidRPr="00EA16B0" w14:paraId="320BD5A6" w14:textId="77777777" w:rsidTr="00162468">
        <w:trPr>
          <w:trHeight w:val="391"/>
        </w:trPr>
        <w:tc>
          <w:tcPr>
            <w:tcW w:w="7650" w:type="dxa"/>
          </w:tcPr>
          <w:p w14:paraId="2F4639C3" w14:textId="6AEE31AD"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1.1.1 OS CURSOS SEQUENCIAIS</w:t>
            </w:r>
          </w:p>
        </w:tc>
        <w:tc>
          <w:tcPr>
            <w:tcW w:w="1417" w:type="dxa"/>
          </w:tcPr>
          <w:p w14:paraId="3422B1CD" w14:textId="23A52729"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11</w:t>
            </w:r>
          </w:p>
        </w:tc>
      </w:tr>
      <w:tr w:rsidR="00EA16B0" w:rsidRPr="00EA16B0" w14:paraId="3C5AAE02" w14:textId="77777777" w:rsidTr="00162468">
        <w:trPr>
          <w:trHeight w:val="391"/>
        </w:trPr>
        <w:tc>
          <w:tcPr>
            <w:tcW w:w="7650" w:type="dxa"/>
          </w:tcPr>
          <w:p w14:paraId="0B10026C" w14:textId="77777777" w:rsidR="00EA16B0" w:rsidRPr="00EA16B0" w:rsidRDefault="00EA16B0" w:rsidP="00EA16B0">
            <w:pPr>
              <w:tabs>
                <w:tab w:val="clear" w:pos="1615"/>
              </w:tabs>
              <w:rPr>
                <w:rFonts w:asciiTheme="majorHAnsi" w:hAnsiTheme="majorHAnsi" w:cstheme="majorHAnsi"/>
                <w:b/>
                <w:bCs/>
              </w:rPr>
            </w:pPr>
          </w:p>
        </w:tc>
        <w:tc>
          <w:tcPr>
            <w:tcW w:w="1417" w:type="dxa"/>
          </w:tcPr>
          <w:p w14:paraId="003996CC" w14:textId="77777777" w:rsidR="00EA16B0" w:rsidRPr="00EA16B0" w:rsidRDefault="00EA16B0" w:rsidP="00EA16B0">
            <w:pPr>
              <w:tabs>
                <w:tab w:val="clear" w:pos="1615"/>
              </w:tabs>
              <w:rPr>
                <w:rFonts w:asciiTheme="majorHAnsi" w:hAnsiTheme="majorHAnsi" w:cstheme="majorHAnsi"/>
                <w:b/>
                <w:bCs/>
              </w:rPr>
            </w:pPr>
          </w:p>
        </w:tc>
      </w:tr>
      <w:tr w:rsidR="00EA16B0" w:rsidRPr="00EA16B0" w14:paraId="75AFEA60" w14:textId="77777777" w:rsidTr="00162468">
        <w:trPr>
          <w:trHeight w:val="391"/>
        </w:trPr>
        <w:tc>
          <w:tcPr>
            <w:tcW w:w="7650" w:type="dxa"/>
          </w:tcPr>
          <w:p w14:paraId="7DD24868" w14:textId="1AB27794"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1.1.2 OS CURSOS DE GRADUAÇÃO</w:t>
            </w:r>
          </w:p>
        </w:tc>
        <w:tc>
          <w:tcPr>
            <w:tcW w:w="1417" w:type="dxa"/>
          </w:tcPr>
          <w:p w14:paraId="0730C987" w14:textId="11DC2504"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13</w:t>
            </w:r>
          </w:p>
        </w:tc>
      </w:tr>
      <w:tr w:rsidR="00EA16B0" w:rsidRPr="00EA16B0" w14:paraId="791DAC88" w14:textId="77777777" w:rsidTr="00162468">
        <w:trPr>
          <w:trHeight w:val="391"/>
        </w:trPr>
        <w:tc>
          <w:tcPr>
            <w:tcW w:w="7650" w:type="dxa"/>
          </w:tcPr>
          <w:p w14:paraId="78BF56C3" w14:textId="77777777" w:rsidR="00EA16B0" w:rsidRPr="00EA16B0" w:rsidRDefault="00EA16B0" w:rsidP="00EA16B0">
            <w:pPr>
              <w:tabs>
                <w:tab w:val="clear" w:pos="1615"/>
              </w:tabs>
              <w:outlineLvl w:val="0"/>
              <w:rPr>
                <w:rFonts w:asciiTheme="majorHAnsi" w:hAnsiTheme="majorHAnsi" w:cstheme="majorHAnsi"/>
                <w:b/>
                <w:bCs/>
              </w:rPr>
            </w:pPr>
          </w:p>
        </w:tc>
        <w:tc>
          <w:tcPr>
            <w:tcW w:w="1417" w:type="dxa"/>
          </w:tcPr>
          <w:p w14:paraId="5F707AA3" w14:textId="77777777" w:rsidR="00EA16B0" w:rsidRPr="00EA16B0" w:rsidRDefault="00EA16B0" w:rsidP="00EA16B0">
            <w:pPr>
              <w:tabs>
                <w:tab w:val="clear" w:pos="1615"/>
              </w:tabs>
              <w:outlineLvl w:val="0"/>
              <w:rPr>
                <w:rFonts w:asciiTheme="majorHAnsi" w:hAnsiTheme="majorHAnsi" w:cstheme="majorHAnsi"/>
                <w:b/>
                <w:bCs/>
              </w:rPr>
            </w:pPr>
          </w:p>
        </w:tc>
      </w:tr>
      <w:tr w:rsidR="00EA16B0" w:rsidRPr="00EA16B0" w14:paraId="7B655D55" w14:textId="77777777" w:rsidTr="00162468">
        <w:trPr>
          <w:trHeight w:val="391"/>
        </w:trPr>
        <w:tc>
          <w:tcPr>
            <w:tcW w:w="7650" w:type="dxa"/>
          </w:tcPr>
          <w:p w14:paraId="0270DE23" w14:textId="28FC3BD7"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1.1.3 OS CURSOS DE EXTENSÃO</w:t>
            </w:r>
          </w:p>
        </w:tc>
        <w:tc>
          <w:tcPr>
            <w:tcW w:w="1417" w:type="dxa"/>
          </w:tcPr>
          <w:p w14:paraId="3F069A97" w14:textId="4584CB1E"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19</w:t>
            </w:r>
          </w:p>
        </w:tc>
      </w:tr>
      <w:tr w:rsidR="00EA16B0" w:rsidRPr="00EA16B0" w14:paraId="051E2E06" w14:textId="77777777" w:rsidTr="00162468">
        <w:trPr>
          <w:trHeight w:val="391"/>
        </w:trPr>
        <w:tc>
          <w:tcPr>
            <w:tcW w:w="7650" w:type="dxa"/>
          </w:tcPr>
          <w:p w14:paraId="7ABA8BD9" w14:textId="01F7A41A" w:rsidR="00EA16B0" w:rsidRPr="00EA16B0" w:rsidRDefault="00EA16B0" w:rsidP="00EA16B0">
            <w:pPr>
              <w:tabs>
                <w:tab w:val="clear" w:pos="1615"/>
              </w:tabs>
              <w:outlineLvl w:val="0"/>
              <w:rPr>
                <w:rFonts w:asciiTheme="majorHAnsi" w:hAnsiTheme="majorHAnsi" w:cstheme="majorHAnsi"/>
                <w:b/>
                <w:bCs/>
              </w:rPr>
            </w:pPr>
          </w:p>
        </w:tc>
        <w:tc>
          <w:tcPr>
            <w:tcW w:w="1417" w:type="dxa"/>
          </w:tcPr>
          <w:p w14:paraId="6193FB57" w14:textId="77777777" w:rsidR="00EA16B0" w:rsidRPr="00EA16B0" w:rsidRDefault="00EA16B0" w:rsidP="00EA16B0">
            <w:pPr>
              <w:tabs>
                <w:tab w:val="clear" w:pos="1615"/>
              </w:tabs>
              <w:outlineLvl w:val="0"/>
              <w:rPr>
                <w:rFonts w:asciiTheme="majorHAnsi" w:hAnsiTheme="majorHAnsi" w:cstheme="majorHAnsi"/>
                <w:b/>
                <w:bCs/>
              </w:rPr>
            </w:pPr>
          </w:p>
        </w:tc>
      </w:tr>
      <w:tr w:rsidR="00EA16B0" w:rsidRPr="00EA16B0" w14:paraId="37D5F285" w14:textId="77777777" w:rsidTr="00162468">
        <w:trPr>
          <w:trHeight w:val="391"/>
        </w:trPr>
        <w:tc>
          <w:tcPr>
            <w:tcW w:w="7650" w:type="dxa"/>
          </w:tcPr>
          <w:p w14:paraId="71D8417E" w14:textId="10C1AE5D"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1.1.4 OS CURSOS E PROGRAMAS DE PÓS-GRADUAÇÃO</w:t>
            </w:r>
          </w:p>
        </w:tc>
        <w:tc>
          <w:tcPr>
            <w:tcW w:w="1417" w:type="dxa"/>
          </w:tcPr>
          <w:p w14:paraId="10556A26" w14:textId="12710E60"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19</w:t>
            </w:r>
          </w:p>
        </w:tc>
      </w:tr>
      <w:tr w:rsidR="00EA16B0" w:rsidRPr="00EA16B0" w14:paraId="7919FE6B" w14:textId="77777777" w:rsidTr="00162468">
        <w:trPr>
          <w:trHeight w:val="391"/>
        </w:trPr>
        <w:tc>
          <w:tcPr>
            <w:tcW w:w="7650" w:type="dxa"/>
          </w:tcPr>
          <w:p w14:paraId="25C5B36E" w14:textId="63DEDB90" w:rsidR="00EA16B0" w:rsidRPr="00EA16B0" w:rsidRDefault="00EA16B0" w:rsidP="00EA16B0">
            <w:pPr>
              <w:tabs>
                <w:tab w:val="clear" w:pos="1615"/>
              </w:tabs>
              <w:outlineLvl w:val="0"/>
              <w:rPr>
                <w:rFonts w:asciiTheme="majorHAnsi" w:hAnsiTheme="majorHAnsi" w:cstheme="majorHAnsi"/>
                <w:b/>
                <w:bCs/>
              </w:rPr>
            </w:pPr>
          </w:p>
        </w:tc>
        <w:tc>
          <w:tcPr>
            <w:tcW w:w="1417" w:type="dxa"/>
          </w:tcPr>
          <w:p w14:paraId="2C815802" w14:textId="77777777" w:rsidR="00EA16B0" w:rsidRPr="00EA16B0" w:rsidRDefault="00EA16B0" w:rsidP="00EA16B0">
            <w:pPr>
              <w:tabs>
                <w:tab w:val="clear" w:pos="1615"/>
              </w:tabs>
              <w:outlineLvl w:val="0"/>
              <w:rPr>
                <w:rFonts w:asciiTheme="majorHAnsi" w:hAnsiTheme="majorHAnsi" w:cstheme="majorHAnsi"/>
                <w:b/>
                <w:bCs/>
              </w:rPr>
            </w:pPr>
          </w:p>
        </w:tc>
      </w:tr>
      <w:tr w:rsidR="00EA16B0" w:rsidRPr="00EA16B0" w14:paraId="12349565" w14:textId="77777777" w:rsidTr="00162468">
        <w:trPr>
          <w:trHeight w:val="391"/>
        </w:trPr>
        <w:tc>
          <w:tcPr>
            <w:tcW w:w="7650" w:type="dxa"/>
          </w:tcPr>
          <w:p w14:paraId="754249D3" w14:textId="6058272E"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1.2 NATUREZA JURÍDICA E ABRANGÊNCIA DAS IES BRASILEIRAS</w:t>
            </w:r>
          </w:p>
        </w:tc>
        <w:tc>
          <w:tcPr>
            <w:tcW w:w="1417" w:type="dxa"/>
          </w:tcPr>
          <w:p w14:paraId="0B1726B5" w14:textId="16412F80"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23</w:t>
            </w:r>
          </w:p>
        </w:tc>
      </w:tr>
      <w:tr w:rsidR="00EA16B0" w:rsidRPr="00EA16B0" w14:paraId="6DB1F9B7" w14:textId="77777777" w:rsidTr="001E4214">
        <w:trPr>
          <w:trHeight w:val="391"/>
        </w:trPr>
        <w:tc>
          <w:tcPr>
            <w:tcW w:w="7650" w:type="dxa"/>
          </w:tcPr>
          <w:p w14:paraId="0653FA8B" w14:textId="77777777" w:rsidR="00EA16B0" w:rsidRPr="00EA16B0" w:rsidRDefault="00EA16B0" w:rsidP="00EA16B0">
            <w:pPr>
              <w:tabs>
                <w:tab w:val="clear" w:pos="1615"/>
              </w:tabs>
              <w:outlineLvl w:val="0"/>
              <w:rPr>
                <w:rFonts w:asciiTheme="majorHAnsi" w:hAnsiTheme="majorHAnsi" w:cstheme="majorHAnsi"/>
                <w:b/>
                <w:bCs/>
              </w:rPr>
            </w:pPr>
          </w:p>
        </w:tc>
        <w:tc>
          <w:tcPr>
            <w:tcW w:w="1417" w:type="dxa"/>
          </w:tcPr>
          <w:p w14:paraId="5EBF5879" w14:textId="77777777" w:rsidR="00EA16B0" w:rsidRPr="00EA16B0" w:rsidRDefault="00EA16B0" w:rsidP="00EA16B0">
            <w:pPr>
              <w:tabs>
                <w:tab w:val="clear" w:pos="1615"/>
              </w:tabs>
              <w:outlineLvl w:val="0"/>
              <w:rPr>
                <w:rFonts w:asciiTheme="majorHAnsi" w:hAnsiTheme="majorHAnsi" w:cstheme="majorHAnsi"/>
                <w:b/>
                <w:bCs/>
              </w:rPr>
            </w:pPr>
          </w:p>
        </w:tc>
      </w:tr>
      <w:tr w:rsidR="00EA16B0" w:rsidRPr="00EA16B0" w14:paraId="06D1FE7A" w14:textId="77777777" w:rsidTr="00162468">
        <w:trPr>
          <w:trHeight w:val="391"/>
        </w:trPr>
        <w:tc>
          <w:tcPr>
            <w:tcW w:w="7650" w:type="dxa"/>
          </w:tcPr>
          <w:p w14:paraId="5FC5C090" w14:textId="37466110"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1.3 DIRETRIZES CURRICULARES NACIONAIS (DCN)</w:t>
            </w:r>
          </w:p>
        </w:tc>
        <w:tc>
          <w:tcPr>
            <w:tcW w:w="1417" w:type="dxa"/>
          </w:tcPr>
          <w:p w14:paraId="4079417C" w14:textId="5DC804EF"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24</w:t>
            </w:r>
          </w:p>
        </w:tc>
      </w:tr>
      <w:tr w:rsidR="00EA16B0" w:rsidRPr="00EA16B0" w14:paraId="2D52673E" w14:textId="77777777" w:rsidTr="00162468">
        <w:trPr>
          <w:trHeight w:val="391"/>
        </w:trPr>
        <w:tc>
          <w:tcPr>
            <w:tcW w:w="7650" w:type="dxa"/>
          </w:tcPr>
          <w:p w14:paraId="1F2C43BB" w14:textId="77777777" w:rsidR="00EA16B0" w:rsidRPr="00EA16B0" w:rsidRDefault="00EA16B0" w:rsidP="00EA16B0">
            <w:pPr>
              <w:tabs>
                <w:tab w:val="clear" w:pos="1615"/>
              </w:tabs>
              <w:rPr>
                <w:rFonts w:asciiTheme="majorHAnsi" w:hAnsiTheme="majorHAnsi" w:cstheme="majorHAnsi"/>
                <w:b/>
                <w:bCs/>
              </w:rPr>
            </w:pPr>
          </w:p>
        </w:tc>
        <w:tc>
          <w:tcPr>
            <w:tcW w:w="1417" w:type="dxa"/>
          </w:tcPr>
          <w:p w14:paraId="002F3009" w14:textId="77777777" w:rsidR="00EA16B0" w:rsidRPr="00EA16B0" w:rsidRDefault="00EA16B0" w:rsidP="00EA16B0">
            <w:pPr>
              <w:tabs>
                <w:tab w:val="clear" w:pos="1615"/>
              </w:tabs>
              <w:rPr>
                <w:rFonts w:asciiTheme="majorHAnsi" w:hAnsiTheme="majorHAnsi" w:cstheme="majorHAnsi"/>
                <w:b/>
                <w:bCs/>
              </w:rPr>
            </w:pPr>
          </w:p>
        </w:tc>
      </w:tr>
      <w:tr w:rsidR="00EA16B0" w:rsidRPr="00EA16B0" w14:paraId="7DC1BA7B" w14:textId="77777777" w:rsidTr="00162468">
        <w:trPr>
          <w:trHeight w:val="391"/>
        </w:trPr>
        <w:tc>
          <w:tcPr>
            <w:tcW w:w="7650" w:type="dxa"/>
          </w:tcPr>
          <w:p w14:paraId="3F45E04E" w14:textId="6AB2C953"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1.3.1 DCN DAS CIÊNCIAS DA COMPUTAÇÃO</w:t>
            </w:r>
          </w:p>
        </w:tc>
        <w:tc>
          <w:tcPr>
            <w:tcW w:w="1417" w:type="dxa"/>
          </w:tcPr>
          <w:p w14:paraId="76BAF7CF" w14:textId="5D7230F2"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28</w:t>
            </w:r>
          </w:p>
        </w:tc>
      </w:tr>
      <w:tr w:rsidR="00EA16B0" w:rsidRPr="00EA16B0" w14:paraId="5526FCE1" w14:textId="77777777" w:rsidTr="00162468">
        <w:trPr>
          <w:trHeight w:val="391"/>
        </w:trPr>
        <w:tc>
          <w:tcPr>
            <w:tcW w:w="7650" w:type="dxa"/>
          </w:tcPr>
          <w:p w14:paraId="4B09A8F9" w14:textId="77777777" w:rsidR="00EA16B0" w:rsidRPr="00EA16B0" w:rsidRDefault="00EA16B0" w:rsidP="00EA16B0">
            <w:pPr>
              <w:tabs>
                <w:tab w:val="clear" w:pos="1615"/>
              </w:tabs>
              <w:rPr>
                <w:rFonts w:asciiTheme="majorHAnsi" w:hAnsiTheme="majorHAnsi" w:cstheme="majorHAnsi"/>
                <w:b/>
                <w:bCs/>
              </w:rPr>
            </w:pPr>
          </w:p>
        </w:tc>
        <w:tc>
          <w:tcPr>
            <w:tcW w:w="1417" w:type="dxa"/>
          </w:tcPr>
          <w:p w14:paraId="4CA4463A" w14:textId="77777777" w:rsidR="00EA16B0" w:rsidRPr="00EA16B0" w:rsidRDefault="00EA16B0" w:rsidP="00EA16B0">
            <w:pPr>
              <w:tabs>
                <w:tab w:val="clear" w:pos="1615"/>
              </w:tabs>
              <w:rPr>
                <w:rFonts w:asciiTheme="majorHAnsi" w:hAnsiTheme="majorHAnsi" w:cstheme="majorHAnsi"/>
                <w:b/>
                <w:bCs/>
              </w:rPr>
            </w:pPr>
          </w:p>
        </w:tc>
      </w:tr>
      <w:tr w:rsidR="00EA16B0" w:rsidRPr="00EA16B0" w14:paraId="25C55AC1" w14:textId="77777777" w:rsidTr="00162468">
        <w:trPr>
          <w:trHeight w:val="391"/>
        </w:trPr>
        <w:tc>
          <w:tcPr>
            <w:tcW w:w="7650" w:type="dxa"/>
          </w:tcPr>
          <w:p w14:paraId="353DBAE6" w14:textId="741388DE"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1.3.2 FORMAÇÕES INTERDISCIPLINARES</w:t>
            </w:r>
          </w:p>
        </w:tc>
        <w:tc>
          <w:tcPr>
            <w:tcW w:w="1417" w:type="dxa"/>
          </w:tcPr>
          <w:p w14:paraId="1C37DA7B" w14:textId="00CC91E1"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29</w:t>
            </w:r>
          </w:p>
        </w:tc>
      </w:tr>
      <w:tr w:rsidR="00EA16B0" w:rsidRPr="00EA16B0" w14:paraId="3EDDFABB" w14:textId="77777777" w:rsidTr="00162468">
        <w:trPr>
          <w:trHeight w:val="391"/>
        </w:trPr>
        <w:tc>
          <w:tcPr>
            <w:tcW w:w="7650" w:type="dxa"/>
          </w:tcPr>
          <w:p w14:paraId="28CE7A3F" w14:textId="77777777" w:rsidR="00EA16B0" w:rsidRPr="00EA16B0" w:rsidRDefault="00EA16B0" w:rsidP="00EA16B0">
            <w:pPr>
              <w:tabs>
                <w:tab w:val="clear" w:pos="1615"/>
              </w:tabs>
              <w:rPr>
                <w:rFonts w:asciiTheme="majorHAnsi" w:hAnsiTheme="majorHAnsi" w:cstheme="majorHAnsi"/>
                <w:b/>
                <w:bCs/>
              </w:rPr>
            </w:pPr>
          </w:p>
        </w:tc>
        <w:tc>
          <w:tcPr>
            <w:tcW w:w="1417" w:type="dxa"/>
          </w:tcPr>
          <w:p w14:paraId="14348BA5" w14:textId="77777777" w:rsidR="00EA16B0" w:rsidRPr="00EA16B0" w:rsidRDefault="00EA16B0" w:rsidP="00EA16B0">
            <w:pPr>
              <w:tabs>
                <w:tab w:val="clear" w:pos="1615"/>
              </w:tabs>
              <w:rPr>
                <w:rFonts w:asciiTheme="majorHAnsi" w:hAnsiTheme="majorHAnsi" w:cstheme="majorHAnsi"/>
                <w:b/>
                <w:bCs/>
              </w:rPr>
            </w:pPr>
          </w:p>
        </w:tc>
      </w:tr>
      <w:tr w:rsidR="00EA16B0" w:rsidRPr="00EA16B0" w14:paraId="6A745331" w14:textId="77777777" w:rsidTr="00162468">
        <w:trPr>
          <w:trHeight w:val="391"/>
        </w:trPr>
        <w:tc>
          <w:tcPr>
            <w:tcW w:w="7650" w:type="dxa"/>
          </w:tcPr>
          <w:p w14:paraId="4757486B" w14:textId="5F2B4071"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1.3.3 NOVOS CURSOS E CONCEPÇÕES</w:t>
            </w:r>
          </w:p>
        </w:tc>
        <w:tc>
          <w:tcPr>
            <w:tcW w:w="1417" w:type="dxa"/>
          </w:tcPr>
          <w:p w14:paraId="7A820E87" w14:textId="43050FAC"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31</w:t>
            </w:r>
          </w:p>
        </w:tc>
      </w:tr>
      <w:tr w:rsidR="00EA16B0" w:rsidRPr="00EA16B0" w14:paraId="6F8B136A" w14:textId="77777777" w:rsidTr="00162468">
        <w:trPr>
          <w:trHeight w:val="391"/>
        </w:trPr>
        <w:tc>
          <w:tcPr>
            <w:tcW w:w="7650" w:type="dxa"/>
          </w:tcPr>
          <w:p w14:paraId="78DF98FD" w14:textId="77777777" w:rsidR="00EA16B0" w:rsidRPr="00EA16B0" w:rsidRDefault="00EA16B0" w:rsidP="00EA16B0">
            <w:pPr>
              <w:tabs>
                <w:tab w:val="clear" w:pos="1615"/>
              </w:tabs>
              <w:rPr>
                <w:rFonts w:asciiTheme="majorHAnsi" w:hAnsiTheme="majorHAnsi" w:cstheme="majorHAnsi"/>
                <w:b/>
                <w:bCs/>
              </w:rPr>
            </w:pPr>
          </w:p>
        </w:tc>
        <w:tc>
          <w:tcPr>
            <w:tcW w:w="1417" w:type="dxa"/>
          </w:tcPr>
          <w:p w14:paraId="34FD2BEE" w14:textId="77777777" w:rsidR="00EA16B0" w:rsidRPr="00EA16B0" w:rsidRDefault="00EA16B0" w:rsidP="00EA16B0">
            <w:pPr>
              <w:tabs>
                <w:tab w:val="clear" w:pos="1615"/>
              </w:tabs>
              <w:rPr>
                <w:rFonts w:asciiTheme="majorHAnsi" w:hAnsiTheme="majorHAnsi" w:cstheme="majorHAnsi"/>
                <w:b/>
                <w:bCs/>
              </w:rPr>
            </w:pPr>
          </w:p>
        </w:tc>
      </w:tr>
      <w:tr w:rsidR="00EA16B0" w:rsidRPr="00EA16B0" w14:paraId="6C576787" w14:textId="77777777" w:rsidTr="00162468">
        <w:trPr>
          <w:trHeight w:val="391"/>
        </w:trPr>
        <w:tc>
          <w:tcPr>
            <w:tcW w:w="7650" w:type="dxa"/>
          </w:tcPr>
          <w:p w14:paraId="30C368DC" w14:textId="4A3329FD"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1.4 CRIAÇÃO E COMPOSIÇÃO DA UNDF</w:t>
            </w:r>
          </w:p>
        </w:tc>
        <w:tc>
          <w:tcPr>
            <w:tcW w:w="1417" w:type="dxa"/>
          </w:tcPr>
          <w:p w14:paraId="539A951D" w14:textId="34371666"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32</w:t>
            </w:r>
          </w:p>
        </w:tc>
      </w:tr>
      <w:tr w:rsidR="00EA16B0" w:rsidRPr="00EA16B0" w14:paraId="5BB5ACCE" w14:textId="77777777" w:rsidTr="00162468">
        <w:trPr>
          <w:trHeight w:val="391"/>
        </w:trPr>
        <w:tc>
          <w:tcPr>
            <w:tcW w:w="7650" w:type="dxa"/>
          </w:tcPr>
          <w:p w14:paraId="5C5802F7" w14:textId="77777777" w:rsidR="00EA16B0" w:rsidRPr="00EA16B0" w:rsidRDefault="00EA16B0" w:rsidP="00EA16B0">
            <w:pPr>
              <w:tabs>
                <w:tab w:val="clear" w:pos="1615"/>
              </w:tabs>
              <w:rPr>
                <w:rFonts w:asciiTheme="majorHAnsi" w:hAnsiTheme="majorHAnsi" w:cstheme="majorHAnsi"/>
                <w:b/>
                <w:bCs/>
              </w:rPr>
            </w:pPr>
          </w:p>
        </w:tc>
        <w:tc>
          <w:tcPr>
            <w:tcW w:w="1417" w:type="dxa"/>
          </w:tcPr>
          <w:p w14:paraId="37769818" w14:textId="77777777" w:rsidR="00EA16B0" w:rsidRPr="00EA16B0" w:rsidRDefault="00EA16B0" w:rsidP="00EA16B0">
            <w:pPr>
              <w:tabs>
                <w:tab w:val="clear" w:pos="1615"/>
              </w:tabs>
              <w:rPr>
                <w:rFonts w:asciiTheme="majorHAnsi" w:hAnsiTheme="majorHAnsi" w:cstheme="majorHAnsi"/>
                <w:b/>
                <w:bCs/>
              </w:rPr>
            </w:pPr>
          </w:p>
        </w:tc>
      </w:tr>
      <w:tr w:rsidR="00EA16B0" w:rsidRPr="00EA16B0" w14:paraId="65FF7653" w14:textId="77777777" w:rsidTr="00162468">
        <w:trPr>
          <w:trHeight w:val="391"/>
        </w:trPr>
        <w:tc>
          <w:tcPr>
            <w:tcW w:w="7650" w:type="dxa"/>
          </w:tcPr>
          <w:p w14:paraId="38C7AE7A" w14:textId="6F8B33E7"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1.5 FINALIDADE E DIRETRIZES NA CRIAÇÃO DA UNDF</w:t>
            </w:r>
          </w:p>
        </w:tc>
        <w:tc>
          <w:tcPr>
            <w:tcW w:w="1417" w:type="dxa"/>
          </w:tcPr>
          <w:p w14:paraId="5F7D53A9" w14:textId="40630EFC"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33</w:t>
            </w:r>
          </w:p>
        </w:tc>
      </w:tr>
      <w:tr w:rsidR="00EA16B0" w:rsidRPr="00EA16B0" w14:paraId="7724CADA" w14:textId="77777777" w:rsidTr="00162468">
        <w:trPr>
          <w:trHeight w:val="391"/>
        </w:trPr>
        <w:tc>
          <w:tcPr>
            <w:tcW w:w="7650" w:type="dxa"/>
          </w:tcPr>
          <w:p w14:paraId="680F4D07" w14:textId="77777777" w:rsidR="00EA16B0" w:rsidRPr="00EA16B0" w:rsidRDefault="00EA16B0" w:rsidP="00EA16B0">
            <w:pPr>
              <w:tabs>
                <w:tab w:val="clear" w:pos="1615"/>
              </w:tabs>
              <w:rPr>
                <w:rFonts w:asciiTheme="majorHAnsi" w:hAnsiTheme="majorHAnsi" w:cstheme="majorHAnsi"/>
                <w:b/>
                <w:bCs/>
              </w:rPr>
            </w:pPr>
          </w:p>
        </w:tc>
        <w:tc>
          <w:tcPr>
            <w:tcW w:w="1417" w:type="dxa"/>
          </w:tcPr>
          <w:p w14:paraId="2E0B00A7" w14:textId="77777777" w:rsidR="00EA16B0" w:rsidRPr="00EA16B0" w:rsidRDefault="00EA16B0" w:rsidP="00EA16B0">
            <w:pPr>
              <w:tabs>
                <w:tab w:val="clear" w:pos="1615"/>
              </w:tabs>
              <w:rPr>
                <w:rFonts w:asciiTheme="majorHAnsi" w:hAnsiTheme="majorHAnsi" w:cstheme="majorHAnsi"/>
                <w:b/>
                <w:bCs/>
              </w:rPr>
            </w:pPr>
          </w:p>
        </w:tc>
      </w:tr>
      <w:tr w:rsidR="00EA16B0" w:rsidRPr="00EA16B0" w14:paraId="21960D9A" w14:textId="77777777" w:rsidTr="00162468">
        <w:trPr>
          <w:trHeight w:val="391"/>
        </w:trPr>
        <w:tc>
          <w:tcPr>
            <w:tcW w:w="7650" w:type="dxa"/>
          </w:tcPr>
          <w:p w14:paraId="634D8369" w14:textId="6E20BD7E"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1.6 O SISTEMA DE ENSINO DISTRITAL E A UNDF</w:t>
            </w:r>
          </w:p>
        </w:tc>
        <w:tc>
          <w:tcPr>
            <w:tcW w:w="1417" w:type="dxa"/>
          </w:tcPr>
          <w:p w14:paraId="2FB72F15" w14:textId="3342C1C6"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36</w:t>
            </w:r>
          </w:p>
        </w:tc>
      </w:tr>
      <w:tr w:rsidR="00EA16B0" w:rsidRPr="00EA16B0" w14:paraId="4E74312E" w14:textId="77777777" w:rsidTr="00162468">
        <w:trPr>
          <w:trHeight w:val="391"/>
        </w:trPr>
        <w:tc>
          <w:tcPr>
            <w:tcW w:w="7650" w:type="dxa"/>
          </w:tcPr>
          <w:p w14:paraId="3F10FAC4" w14:textId="77777777" w:rsidR="00EA16B0" w:rsidRPr="00EA16B0" w:rsidRDefault="00EA16B0" w:rsidP="00EA16B0">
            <w:pPr>
              <w:tabs>
                <w:tab w:val="clear" w:pos="1615"/>
              </w:tabs>
              <w:rPr>
                <w:rFonts w:asciiTheme="majorHAnsi" w:hAnsiTheme="majorHAnsi" w:cstheme="majorHAnsi"/>
                <w:b/>
                <w:bCs/>
              </w:rPr>
            </w:pPr>
          </w:p>
        </w:tc>
        <w:tc>
          <w:tcPr>
            <w:tcW w:w="1417" w:type="dxa"/>
          </w:tcPr>
          <w:p w14:paraId="0970FBAF" w14:textId="77777777" w:rsidR="00EA16B0" w:rsidRPr="00EA16B0" w:rsidRDefault="00EA16B0" w:rsidP="00EA16B0">
            <w:pPr>
              <w:tabs>
                <w:tab w:val="clear" w:pos="1615"/>
              </w:tabs>
              <w:rPr>
                <w:rFonts w:asciiTheme="majorHAnsi" w:hAnsiTheme="majorHAnsi" w:cstheme="majorHAnsi"/>
                <w:b/>
                <w:bCs/>
              </w:rPr>
            </w:pPr>
          </w:p>
        </w:tc>
      </w:tr>
      <w:tr w:rsidR="00EA16B0" w:rsidRPr="00EA16B0" w14:paraId="61EF2CBB" w14:textId="77777777" w:rsidTr="00162468">
        <w:trPr>
          <w:trHeight w:val="391"/>
        </w:trPr>
        <w:tc>
          <w:tcPr>
            <w:tcW w:w="7650" w:type="dxa"/>
          </w:tcPr>
          <w:p w14:paraId="71234908" w14:textId="55C99D65"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1.6.1 ENSINO A DISTÂNCIA, UNDF E CEDF</w:t>
            </w:r>
          </w:p>
        </w:tc>
        <w:tc>
          <w:tcPr>
            <w:tcW w:w="1417" w:type="dxa"/>
          </w:tcPr>
          <w:p w14:paraId="71B5AE5D" w14:textId="231095CF"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39</w:t>
            </w:r>
          </w:p>
        </w:tc>
      </w:tr>
      <w:tr w:rsidR="00EA16B0" w:rsidRPr="00EA16B0" w14:paraId="3132492D" w14:textId="77777777" w:rsidTr="00162468">
        <w:trPr>
          <w:trHeight w:val="391"/>
        </w:trPr>
        <w:tc>
          <w:tcPr>
            <w:tcW w:w="7650" w:type="dxa"/>
          </w:tcPr>
          <w:p w14:paraId="58283DAE" w14:textId="77777777" w:rsidR="00EA16B0" w:rsidRPr="00EA16B0" w:rsidRDefault="00EA16B0" w:rsidP="00EA16B0">
            <w:pPr>
              <w:tabs>
                <w:tab w:val="clear" w:pos="1615"/>
              </w:tabs>
              <w:rPr>
                <w:rFonts w:asciiTheme="majorHAnsi" w:hAnsiTheme="majorHAnsi" w:cstheme="majorHAnsi"/>
                <w:b/>
                <w:bCs/>
              </w:rPr>
            </w:pPr>
          </w:p>
        </w:tc>
        <w:tc>
          <w:tcPr>
            <w:tcW w:w="1417" w:type="dxa"/>
          </w:tcPr>
          <w:p w14:paraId="1AD324AA" w14:textId="77777777" w:rsidR="00EA16B0" w:rsidRPr="00EA16B0" w:rsidRDefault="00EA16B0" w:rsidP="00EA16B0">
            <w:pPr>
              <w:tabs>
                <w:tab w:val="clear" w:pos="1615"/>
              </w:tabs>
              <w:rPr>
                <w:rFonts w:asciiTheme="majorHAnsi" w:hAnsiTheme="majorHAnsi" w:cstheme="majorHAnsi"/>
                <w:b/>
                <w:bCs/>
              </w:rPr>
            </w:pPr>
          </w:p>
        </w:tc>
      </w:tr>
      <w:tr w:rsidR="00EA16B0" w:rsidRPr="00EA16B0" w14:paraId="4C308787" w14:textId="77777777" w:rsidTr="00162468">
        <w:trPr>
          <w:trHeight w:val="391"/>
        </w:trPr>
        <w:tc>
          <w:tcPr>
            <w:tcW w:w="7650" w:type="dxa"/>
          </w:tcPr>
          <w:p w14:paraId="012C9758" w14:textId="728188BB"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lastRenderedPageBreak/>
              <w:t>2. POLÍTICAS PARA O ENSINO NA UNDF</w:t>
            </w:r>
          </w:p>
        </w:tc>
        <w:tc>
          <w:tcPr>
            <w:tcW w:w="1417" w:type="dxa"/>
          </w:tcPr>
          <w:p w14:paraId="26B6C1AB" w14:textId="4E4FE79C"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41</w:t>
            </w:r>
          </w:p>
        </w:tc>
      </w:tr>
      <w:tr w:rsidR="00EA16B0" w:rsidRPr="00EA16B0" w14:paraId="787656D6" w14:textId="77777777" w:rsidTr="00162468">
        <w:trPr>
          <w:trHeight w:val="391"/>
        </w:trPr>
        <w:tc>
          <w:tcPr>
            <w:tcW w:w="7650" w:type="dxa"/>
          </w:tcPr>
          <w:p w14:paraId="35A0E311" w14:textId="77777777" w:rsidR="00EA16B0" w:rsidRPr="00EA16B0" w:rsidRDefault="00EA16B0" w:rsidP="00EA16B0">
            <w:pPr>
              <w:tabs>
                <w:tab w:val="clear" w:pos="1615"/>
              </w:tabs>
              <w:rPr>
                <w:rFonts w:asciiTheme="majorHAnsi" w:hAnsiTheme="majorHAnsi" w:cstheme="majorHAnsi"/>
                <w:b/>
                <w:bCs/>
              </w:rPr>
            </w:pPr>
          </w:p>
        </w:tc>
        <w:tc>
          <w:tcPr>
            <w:tcW w:w="1417" w:type="dxa"/>
          </w:tcPr>
          <w:p w14:paraId="7833DB70" w14:textId="77777777" w:rsidR="00EA16B0" w:rsidRPr="00EA16B0" w:rsidRDefault="00EA16B0" w:rsidP="00EA16B0">
            <w:pPr>
              <w:tabs>
                <w:tab w:val="clear" w:pos="1615"/>
              </w:tabs>
              <w:rPr>
                <w:rFonts w:asciiTheme="majorHAnsi" w:hAnsiTheme="majorHAnsi" w:cstheme="majorHAnsi"/>
                <w:b/>
                <w:bCs/>
              </w:rPr>
            </w:pPr>
          </w:p>
        </w:tc>
      </w:tr>
      <w:tr w:rsidR="00EA16B0" w:rsidRPr="00EA16B0" w14:paraId="6F0AABDA" w14:textId="77777777" w:rsidTr="00162468">
        <w:trPr>
          <w:trHeight w:val="391"/>
        </w:trPr>
        <w:tc>
          <w:tcPr>
            <w:tcW w:w="7650" w:type="dxa"/>
          </w:tcPr>
          <w:p w14:paraId="062FFA0E" w14:textId="10245009"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2.1 ESTATUTOS E OUTROS INSTRUMENTOS INTERNOS</w:t>
            </w:r>
          </w:p>
        </w:tc>
        <w:tc>
          <w:tcPr>
            <w:tcW w:w="1417" w:type="dxa"/>
          </w:tcPr>
          <w:p w14:paraId="79989EA2" w14:textId="6A753B76"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48</w:t>
            </w:r>
          </w:p>
        </w:tc>
      </w:tr>
      <w:tr w:rsidR="00EA16B0" w:rsidRPr="00EA16B0" w14:paraId="32616C09" w14:textId="77777777" w:rsidTr="00162468">
        <w:trPr>
          <w:trHeight w:val="391"/>
        </w:trPr>
        <w:tc>
          <w:tcPr>
            <w:tcW w:w="7650" w:type="dxa"/>
          </w:tcPr>
          <w:p w14:paraId="5CA3D364" w14:textId="77777777" w:rsidR="00EA16B0" w:rsidRPr="00EA16B0" w:rsidRDefault="00EA16B0" w:rsidP="00EA16B0">
            <w:pPr>
              <w:tabs>
                <w:tab w:val="clear" w:pos="1615"/>
              </w:tabs>
              <w:rPr>
                <w:rFonts w:asciiTheme="majorHAnsi" w:hAnsiTheme="majorHAnsi" w:cstheme="majorHAnsi"/>
                <w:b/>
                <w:bCs/>
              </w:rPr>
            </w:pPr>
          </w:p>
        </w:tc>
        <w:tc>
          <w:tcPr>
            <w:tcW w:w="1417" w:type="dxa"/>
          </w:tcPr>
          <w:p w14:paraId="13F17D52" w14:textId="77777777" w:rsidR="00EA16B0" w:rsidRPr="00EA16B0" w:rsidRDefault="00EA16B0" w:rsidP="00EA16B0">
            <w:pPr>
              <w:tabs>
                <w:tab w:val="clear" w:pos="1615"/>
              </w:tabs>
              <w:rPr>
                <w:rFonts w:asciiTheme="majorHAnsi" w:hAnsiTheme="majorHAnsi" w:cstheme="majorHAnsi"/>
                <w:b/>
                <w:bCs/>
              </w:rPr>
            </w:pPr>
          </w:p>
        </w:tc>
      </w:tr>
      <w:tr w:rsidR="00EA16B0" w:rsidRPr="00EA16B0" w14:paraId="159BB1C2" w14:textId="77777777" w:rsidTr="00162468">
        <w:trPr>
          <w:trHeight w:val="391"/>
        </w:trPr>
        <w:tc>
          <w:tcPr>
            <w:tcW w:w="7650" w:type="dxa"/>
          </w:tcPr>
          <w:p w14:paraId="61F97A8A" w14:textId="3150D50B"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2.2 SUSTENTABILIDADE E RESPONSABILIDADE SOCIAL</w:t>
            </w:r>
          </w:p>
        </w:tc>
        <w:tc>
          <w:tcPr>
            <w:tcW w:w="1417" w:type="dxa"/>
          </w:tcPr>
          <w:p w14:paraId="3ADEEFA0" w14:textId="2E771E5F"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50</w:t>
            </w:r>
          </w:p>
        </w:tc>
      </w:tr>
      <w:tr w:rsidR="00EA16B0" w:rsidRPr="00EA16B0" w14:paraId="197A8E34" w14:textId="77777777" w:rsidTr="00162468">
        <w:trPr>
          <w:trHeight w:val="391"/>
        </w:trPr>
        <w:tc>
          <w:tcPr>
            <w:tcW w:w="7650" w:type="dxa"/>
          </w:tcPr>
          <w:p w14:paraId="692A939F" w14:textId="77777777" w:rsidR="00EA16B0" w:rsidRPr="00EA16B0" w:rsidRDefault="00EA16B0" w:rsidP="00EA16B0">
            <w:pPr>
              <w:tabs>
                <w:tab w:val="clear" w:pos="1615"/>
              </w:tabs>
              <w:rPr>
                <w:rFonts w:asciiTheme="majorHAnsi" w:hAnsiTheme="majorHAnsi" w:cstheme="majorHAnsi"/>
                <w:b/>
                <w:bCs/>
              </w:rPr>
            </w:pPr>
          </w:p>
        </w:tc>
        <w:tc>
          <w:tcPr>
            <w:tcW w:w="1417" w:type="dxa"/>
          </w:tcPr>
          <w:p w14:paraId="216E247D" w14:textId="77777777" w:rsidR="00EA16B0" w:rsidRPr="00EA16B0" w:rsidRDefault="00EA16B0" w:rsidP="00EA16B0">
            <w:pPr>
              <w:tabs>
                <w:tab w:val="clear" w:pos="1615"/>
              </w:tabs>
              <w:rPr>
                <w:rFonts w:asciiTheme="majorHAnsi" w:hAnsiTheme="majorHAnsi" w:cstheme="majorHAnsi"/>
                <w:b/>
                <w:bCs/>
              </w:rPr>
            </w:pPr>
          </w:p>
        </w:tc>
      </w:tr>
      <w:tr w:rsidR="00EA16B0" w:rsidRPr="00EA16B0" w14:paraId="39842BE7" w14:textId="77777777" w:rsidTr="00162468">
        <w:trPr>
          <w:trHeight w:val="391"/>
        </w:trPr>
        <w:tc>
          <w:tcPr>
            <w:tcW w:w="7650" w:type="dxa"/>
          </w:tcPr>
          <w:p w14:paraId="02EF70A8" w14:textId="63266FE6" w:rsidR="00EA16B0" w:rsidRPr="00EA16B0" w:rsidRDefault="00EA16B0" w:rsidP="00EA16B0">
            <w:pPr>
              <w:tabs>
                <w:tab w:val="clear" w:pos="1615"/>
              </w:tabs>
              <w:rPr>
                <w:rFonts w:asciiTheme="majorHAnsi" w:hAnsiTheme="majorHAnsi" w:cstheme="majorHAnsi"/>
                <w:b/>
                <w:bCs/>
              </w:rPr>
            </w:pPr>
            <w:proofErr w:type="gramStart"/>
            <w:r w:rsidRPr="00EA16B0">
              <w:rPr>
                <w:rFonts w:asciiTheme="majorHAnsi" w:hAnsiTheme="majorHAnsi" w:cstheme="majorHAnsi"/>
                <w:b/>
                <w:bCs/>
              </w:rPr>
              <w:t>2.3  ESTRUTURA</w:t>
            </w:r>
            <w:proofErr w:type="gramEnd"/>
            <w:r w:rsidRPr="00EA16B0">
              <w:rPr>
                <w:rFonts w:asciiTheme="majorHAnsi" w:hAnsiTheme="majorHAnsi" w:cstheme="majorHAnsi"/>
                <w:b/>
                <w:bCs/>
              </w:rPr>
              <w:t xml:space="preserve"> MULTICÂMPUS E MULTIESPACIAL</w:t>
            </w:r>
          </w:p>
        </w:tc>
        <w:tc>
          <w:tcPr>
            <w:tcW w:w="1417" w:type="dxa"/>
          </w:tcPr>
          <w:p w14:paraId="36C187D1" w14:textId="2AD4E9B2"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52</w:t>
            </w:r>
          </w:p>
        </w:tc>
      </w:tr>
      <w:tr w:rsidR="00EA16B0" w:rsidRPr="00EA16B0" w14:paraId="2328F962" w14:textId="77777777" w:rsidTr="00162468">
        <w:trPr>
          <w:trHeight w:val="391"/>
        </w:trPr>
        <w:tc>
          <w:tcPr>
            <w:tcW w:w="7650" w:type="dxa"/>
          </w:tcPr>
          <w:p w14:paraId="744EFC75" w14:textId="77777777" w:rsidR="00EA16B0" w:rsidRPr="00EA16B0" w:rsidRDefault="00EA16B0" w:rsidP="00EA16B0">
            <w:pPr>
              <w:tabs>
                <w:tab w:val="clear" w:pos="1615"/>
              </w:tabs>
              <w:rPr>
                <w:rFonts w:asciiTheme="majorHAnsi" w:hAnsiTheme="majorHAnsi" w:cstheme="majorHAnsi"/>
                <w:b/>
                <w:bCs/>
              </w:rPr>
            </w:pPr>
          </w:p>
        </w:tc>
        <w:tc>
          <w:tcPr>
            <w:tcW w:w="1417" w:type="dxa"/>
          </w:tcPr>
          <w:p w14:paraId="15381276" w14:textId="77777777" w:rsidR="00EA16B0" w:rsidRPr="00EA16B0" w:rsidRDefault="00EA16B0" w:rsidP="00EA16B0">
            <w:pPr>
              <w:tabs>
                <w:tab w:val="clear" w:pos="1615"/>
              </w:tabs>
              <w:rPr>
                <w:rFonts w:asciiTheme="majorHAnsi" w:hAnsiTheme="majorHAnsi" w:cstheme="majorHAnsi"/>
                <w:b/>
                <w:bCs/>
              </w:rPr>
            </w:pPr>
          </w:p>
        </w:tc>
      </w:tr>
      <w:tr w:rsidR="00EA16B0" w:rsidRPr="00EA16B0" w14:paraId="17674616" w14:textId="77777777" w:rsidTr="00162468">
        <w:trPr>
          <w:trHeight w:val="391"/>
        </w:trPr>
        <w:tc>
          <w:tcPr>
            <w:tcW w:w="7650" w:type="dxa"/>
          </w:tcPr>
          <w:p w14:paraId="29051CAD" w14:textId="10DC0A08"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2.4 EXTERNALIZAÇÃO E INTERNACIONALIZAÇÂO</w:t>
            </w:r>
          </w:p>
        </w:tc>
        <w:tc>
          <w:tcPr>
            <w:tcW w:w="1417" w:type="dxa"/>
          </w:tcPr>
          <w:p w14:paraId="4429EC9E" w14:textId="45161A92"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53</w:t>
            </w:r>
          </w:p>
        </w:tc>
      </w:tr>
      <w:tr w:rsidR="00EA16B0" w:rsidRPr="00EA16B0" w14:paraId="3B4058D0" w14:textId="77777777" w:rsidTr="00162468">
        <w:trPr>
          <w:trHeight w:val="391"/>
        </w:trPr>
        <w:tc>
          <w:tcPr>
            <w:tcW w:w="7650" w:type="dxa"/>
          </w:tcPr>
          <w:p w14:paraId="3C541B92" w14:textId="77777777" w:rsidR="00EA16B0" w:rsidRPr="00EA16B0" w:rsidRDefault="00EA16B0" w:rsidP="00EA16B0">
            <w:pPr>
              <w:tabs>
                <w:tab w:val="clear" w:pos="1615"/>
              </w:tabs>
              <w:rPr>
                <w:rFonts w:asciiTheme="majorHAnsi" w:hAnsiTheme="majorHAnsi" w:cstheme="majorHAnsi"/>
                <w:b/>
                <w:bCs/>
              </w:rPr>
            </w:pPr>
          </w:p>
        </w:tc>
        <w:tc>
          <w:tcPr>
            <w:tcW w:w="1417" w:type="dxa"/>
          </w:tcPr>
          <w:p w14:paraId="01B29665" w14:textId="77777777" w:rsidR="00EA16B0" w:rsidRPr="00EA16B0" w:rsidRDefault="00EA16B0" w:rsidP="00EA16B0">
            <w:pPr>
              <w:tabs>
                <w:tab w:val="clear" w:pos="1615"/>
              </w:tabs>
              <w:rPr>
                <w:rFonts w:asciiTheme="majorHAnsi" w:hAnsiTheme="majorHAnsi" w:cstheme="majorHAnsi"/>
                <w:b/>
                <w:bCs/>
              </w:rPr>
            </w:pPr>
          </w:p>
        </w:tc>
      </w:tr>
      <w:tr w:rsidR="00EA16B0" w:rsidRPr="00EA16B0" w14:paraId="133BD744" w14:textId="77777777" w:rsidTr="00162468">
        <w:trPr>
          <w:trHeight w:val="391"/>
        </w:trPr>
        <w:tc>
          <w:tcPr>
            <w:tcW w:w="7650" w:type="dxa"/>
          </w:tcPr>
          <w:p w14:paraId="738F5D4E" w14:textId="26A85B4F"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2.5 DIVERSIDADE E FLEXIBILIDADE FORMATIVAS</w:t>
            </w:r>
          </w:p>
        </w:tc>
        <w:tc>
          <w:tcPr>
            <w:tcW w:w="1417" w:type="dxa"/>
          </w:tcPr>
          <w:p w14:paraId="5DFB781D" w14:textId="7C0622C2"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54</w:t>
            </w:r>
          </w:p>
        </w:tc>
      </w:tr>
      <w:tr w:rsidR="00EA16B0" w:rsidRPr="00EA16B0" w14:paraId="14902DAE" w14:textId="77777777" w:rsidTr="00162468">
        <w:trPr>
          <w:trHeight w:val="391"/>
        </w:trPr>
        <w:tc>
          <w:tcPr>
            <w:tcW w:w="7650" w:type="dxa"/>
          </w:tcPr>
          <w:p w14:paraId="70D9126C" w14:textId="77777777" w:rsidR="00EA16B0" w:rsidRPr="00EA16B0" w:rsidRDefault="00EA16B0" w:rsidP="00EA16B0">
            <w:pPr>
              <w:tabs>
                <w:tab w:val="clear" w:pos="1615"/>
              </w:tabs>
              <w:rPr>
                <w:rFonts w:asciiTheme="majorHAnsi" w:hAnsiTheme="majorHAnsi" w:cstheme="majorHAnsi"/>
                <w:b/>
                <w:bCs/>
              </w:rPr>
            </w:pPr>
          </w:p>
        </w:tc>
        <w:tc>
          <w:tcPr>
            <w:tcW w:w="1417" w:type="dxa"/>
          </w:tcPr>
          <w:p w14:paraId="52A4BA69" w14:textId="77777777" w:rsidR="00EA16B0" w:rsidRPr="00EA16B0" w:rsidRDefault="00EA16B0" w:rsidP="00EA16B0">
            <w:pPr>
              <w:tabs>
                <w:tab w:val="clear" w:pos="1615"/>
              </w:tabs>
              <w:rPr>
                <w:rFonts w:asciiTheme="majorHAnsi" w:hAnsiTheme="majorHAnsi" w:cstheme="majorHAnsi"/>
                <w:b/>
                <w:bCs/>
              </w:rPr>
            </w:pPr>
          </w:p>
        </w:tc>
      </w:tr>
      <w:tr w:rsidR="00EA16B0" w:rsidRPr="00EA16B0" w14:paraId="5A185015" w14:textId="77777777" w:rsidTr="00162468">
        <w:trPr>
          <w:trHeight w:val="391"/>
        </w:trPr>
        <w:tc>
          <w:tcPr>
            <w:tcW w:w="7650" w:type="dxa"/>
          </w:tcPr>
          <w:p w14:paraId="1B96B302" w14:textId="24114B6A"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2.6 EMPREENDEDORISMO E INOVAÇÃO</w:t>
            </w:r>
          </w:p>
        </w:tc>
        <w:tc>
          <w:tcPr>
            <w:tcW w:w="1417" w:type="dxa"/>
          </w:tcPr>
          <w:p w14:paraId="7F5E2758" w14:textId="127076DF"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55</w:t>
            </w:r>
          </w:p>
        </w:tc>
      </w:tr>
      <w:tr w:rsidR="00EA16B0" w:rsidRPr="00EA16B0" w14:paraId="54D3A9BC" w14:textId="77777777" w:rsidTr="00162468">
        <w:trPr>
          <w:trHeight w:val="391"/>
        </w:trPr>
        <w:tc>
          <w:tcPr>
            <w:tcW w:w="7650" w:type="dxa"/>
          </w:tcPr>
          <w:p w14:paraId="5B4D6F7D" w14:textId="77777777" w:rsidR="00EA16B0" w:rsidRPr="00EA16B0" w:rsidRDefault="00EA16B0" w:rsidP="00EA16B0">
            <w:pPr>
              <w:tabs>
                <w:tab w:val="clear" w:pos="1615"/>
              </w:tabs>
              <w:rPr>
                <w:rFonts w:asciiTheme="majorHAnsi" w:hAnsiTheme="majorHAnsi" w:cstheme="majorHAnsi"/>
                <w:b/>
                <w:bCs/>
              </w:rPr>
            </w:pPr>
          </w:p>
        </w:tc>
        <w:tc>
          <w:tcPr>
            <w:tcW w:w="1417" w:type="dxa"/>
          </w:tcPr>
          <w:p w14:paraId="44BAFEF4" w14:textId="77777777" w:rsidR="00EA16B0" w:rsidRPr="00EA16B0" w:rsidRDefault="00EA16B0" w:rsidP="00EA16B0">
            <w:pPr>
              <w:tabs>
                <w:tab w:val="clear" w:pos="1615"/>
              </w:tabs>
              <w:rPr>
                <w:rFonts w:asciiTheme="majorHAnsi" w:hAnsiTheme="majorHAnsi" w:cstheme="majorHAnsi"/>
                <w:b/>
                <w:bCs/>
              </w:rPr>
            </w:pPr>
          </w:p>
        </w:tc>
      </w:tr>
      <w:tr w:rsidR="00EA16B0" w:rsidRPr="00EA16B0" w14:paraId="15972560" w14:textId="77777777" w:rsidTr="00162468">
        <w:trPr>
          <w:trHeight w:val="391"/>
        </w:trPr>
        <w:tc>
          <w:tcPr>
            <w:tcW w:w="7650" w:type="dxa"/>
          </w:tcPr>
          <w:p w14:paraId="70BC93C0" w14:textId="41C769A1"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2.7 ORGANIZAÇÃO CURRICULAR</w:t>
            </w:r>
          </w:p>
        </w:tc>
        <w:tc>
          <w:tcPr>
            <w:tcW w:w="1417" w:type="dxa"/>
          </w:tcPr>
          <w:p w14:paraId="0D7D28E9" w14:textId="7F8D0F5E"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56</w:t>
            </w:r>
          </w:p>
        </w:tc>
      </w:tr>
      <w:tr w:rsidR="00EA16B0" w:rsidRPr="00EA16B0" w14:paraId="4E5C66A4" w14:textId="77777777" w:rsidTr="00162468">
        <w:trPr>
          <w:trHeight w:val="391"/>
        </w:trPr>
        <w:tc>
          <w:tcPr>
            <w:tcW w:w="7650" w:type="dxa"/>
          </w:tcPr>
          <w:p w14:paraId="167B102E" w14:textId="77777777" w:rsidR="00EA16B0" w:rsidRPr="00EA16B0" w:rsidRDefault="00EA16B0" w:rsidP="00EA16B0">
            <w:pPr>
              <w:tabs>
                <w:tab w:val="clear" w:pos="1615"/>
              </w:tabs>
              <w:rPr>
                <w:rFonts w:asciiTheme="majorHAnsi" w:hAnsiTheme="majorHAnsi" w:cstheme="majorHAnsi"/>
                <w:b/>
                <w:bCs/>
              </w:rPr>
            </w:pPr>
          </w:p>
        </w:tc>
        <w:tc>
          <w:tcPr>
            <w:tcW w:w="1417" w:type="dxa"/>
          </w:tcPr>
          <w:p w14:paraId="0A287D52" w14:textId="77777777" w:rsidR="00EA16B0" w:rsidRPr="00EA16B0" w:rsidRDefault="00EA16B0" w:rsidP="00EA16B0">
            <w:pPr>
              <w:tabs>
                <w:tab w:val="clear" w:pos="1615"/>
              </w:tabs>
              <w:rPr>
                <w:rFonts w:asciiTheme="majorHAnsi" w:hAnsiTheme="majorHAnsi" w:cstheme="majorHAnsi"/>
                <w:b/>
                <w:bCs/>
              </w:rPr>
            </w:pPr>
          </w:p>
        </w:tc>
      </w:tr>
      <w:tr w:rsidR="00EA16B0" w:rsidRPr="00EA16B0" w14:paraId="7437E07D" w14:textId="77777777" w:rsidTr="00162468">
        <w:trPr>
          <w:trHeight w:val="391"/>
        </w:trPr>
        <w:tc>
          <w:tcPr>
            <w:tcW w:w="7650" w:type="dxa"/>
          </w:tcPr>
          <w:p w14:paraId="1869EBF2" w14:textId="7EE05FDE"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3. DIRETRIZES PARA O ENSINO</w:t>
            </w:r>
          </w:p>
        </w:tc>
        <w:tc>
          <w:tcPr>
            <w:tcW w:w="1417" w:type="dxa"/>
          </w:tcPr>
          <w:p w14:paraId="328D5D0F" w14:textId="6193787D"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60</w:t>
            </w:r>
          </w:p>
        </w:tc>
      </w:tr>
      <w:tr w:rsidR="00EA16B0" w:rsidRPr="00EA16B0" w14:paraId="5495263D" w14:textId="77777777" w:rsidTr="00162468">
        <w:trPr>
          <w:trHeight w:val="391"/>
        </w:trPr>
        <w:tc>
          <w:tcPr>
            <w:tcW w:w="7650" w:type="dxa"/>
          </w:tcPr>
          <w:p w14:paraId="6FEAB1EB" w14:textId="77777777" w:rsidR="00EA16B0" w:rsidRPr="00EA16B0" w:rsidRDefault="00EA16B0" w:rsidP="00EA16B0">
            <w:pPr>
              <w:tabs>
                <w:tab w:val="clear" w:pos="1615"/>
              </w:tabs>
              <w:rPr>
                <w:rFonts w:asciiTheme="majorHAnsi" w:hAnsiTheme="majorHAnsi" w:cstheme="majorHAnsi"/>
                <w:b/>
                <w:bCs/>
              </w:rPr>
            </w:pPr>
          </w:p>
        </w:tc>
        <w:tc>
          <w:tcPr>
            <w:tcW w:w="1417" w:type="dxa"/>
          </w:tcPr>
          <w:p w14:paraId="19B8760A" w14:textId="77777777" w:rsidR="00EA16B0" w:rsidRPr="00EA16B0" w:rsidRDefault="00EA16B0" w:rsidP="00EA16B0">
            <w:pPr>
              <w:tabs>
                <w:tab w:val="clear" w:pos="1615"/>
              </w:tabs>
              <w:rPr>
                <w:rFonts w:asciiTheme="majorHAnsi" w:hAnsiTheme="majorHAnsi" w:cstheme="majorHAnsi"/>
                <w:b/>
                <w:bCs/>
              </w:rPr>
            </w:pPr>
          </w:p>
        </w:tc>
      </w:tr>
      <w:tr w:rsidR="00EA16B0" w:rsidRPr="00EA16B0" w14:paraId="0FE17996" w14:textId="77777777" w:rsidTr="00162468">
        <w:trPr>
          <w:trHeight w:val="391"/>
        </w:trPr>
        <w:tc>
          <w:tcPr>
            <w:tcW w:w="7650" w:type="dxa"/>
          </w:tcPr>
          <w:p w14:paraId="7E98CA66" w14:textId="7F41FDDA"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3.1 INGRESSO</w:t>
            </w:r>
          </w:p>
        </w:tc>
        <w:tc>
          <w:tcPr>
            <w:tcW w:w="1417" w:type="dxa"/>
          </w:tcPr>
          <w:p w14:paraId="4699A87C" w14:textId="7182509D"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60</w:t>
            </w:r>
          </w:p>
        </w:tc>
      </w:tr>
      <w:tr w:rsidR="00EA16B0" w:rsidRPr="00EA16B0" w14:paraId="441121CA" w14:textId="77777777" w:rsidTr="00162468">
        <w:trPr>
          <w:trHeight w:val="391"/>
        </w:trPr>
        <w:tc>
          <w:tcPr>
            <w:tcW w:w="7650" w:type="dxa"/>
          </w:tcPr>
          <w:p w14:paraId="624A2D55" w14:textId="77777777" w:rsidR="00EA16B0" w:rsidRPr="00EA16B0" w:rsidRDefault="00EA16B0" w:rsidP="00EA16B0">
            <w:pPr>
              <w:tabs>
                <w:tab w:val="clear" w:pos="1615"/>
              </w:tabs>
              <w:rPr>
                <w:rFonts w:asciiTheme="majorHAnsi" w:hAnsiTheme="majorHAnsi" w:cstheme="majorHAnsi"/>
                <w:b/>
                <w:bCs/>
              </w:rPr>
            </w:pPr>
          </w:p>
        </w:tc>
        <w:tc>
          <w:tcPr>
            <w:tcW w:w="1417" w:type="dxa"/>
          </w:tcPr>
          <w:p w14:paraId="52B9FC4E" w14:textId="77777777" w:rsidR="00EA16B0" w:rsidRPr="00EA16B0" w:rsidRDefault="00EA16B0" w:rsidP="00EA16B0">
            <w:pPr>
              <w:tabs>
                <w:tab w:val="clear" w:pos="1615"/>
              </w:tabs>
              <w:rPr>
                <w:rFonts w:asciiTheme="majorHAnsi" w:hAnsiTheme="majorHAnsi" w:cstheme="majorHAnsi"/>
                <w:b/>
                <w:bCs/>
              </w:rPr>
            </w:pPr>
          </w:p>
        </w:tc>
      </w:tr>
      <w:tr w:rsidR="00EA16B0" w:rsidRPr="00EA16B0" w14:paraId="42F70B2A" w14:textId="77777777" w:rsidTr="00162468">
        <w:trPr>
          <w:trHeight w:val="391"/>
        </w:trPr>
        <w:tc>
          <w:tcPr>
            <w:tcW w:w="7650" w:type="dxa"/>
          </w:tcPr>
          <w:p w14:paraId="662161E8" w14:textId="267A581B"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3.2 POLÍTICAS E AÇÕES RELACIONADAS AO INGRESSO E PREENCHIMENTO DAS VAGAS OFERECIDAS</w:t>
            </w:r>
          </w:p>
        </w:tc>
        <w:tc>
          <w:tcPr>
            <w:tcW w:w="1417" w:type="dxa"/>
          </w:tcPr>
          <w:p w14:paraId="29B5EAA2" w14:textId="2F5B84E2"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65</w:t>
            </w:r>
          </w:p>
        </w:tc>
      </w:tr>
      <w:tr w:rsidR="00EA16B0" w:rsidRPr="00EA16B0" w14:paraId="1186BDFD" w14:textId="77777777" w:rsidTr="00162468">
        <w:trPr>
          <w:trHeight w:val="391"/>
        </w:trPr>
        <w:tc>
          <w:tcPr>
            <w:tcW w:w="7650" w:type="dxa"/>
          </w:tcPr>
          <w:p w14:paraId="1063D164" w14:textId="77777777" w:rsidR="00EA16B0" w:rsidRPr="00EA16B0" w:rsidRDefault="00EA16B0" w:rsidP="00EA16B0">
            <w:pPr>
              <w:tabs>
                <w:tab w:val="clear" w:pos="1615"/>
              </w:tabs>
              <w:rPr>
                <w:rFonts w:asciiTheme="majorHAnsi" w:hAnsiTheme="majorHAnsi" w:cstheme="majorHAnsi"/>
                <w:b/>
                <w:bCs/>
              </w:rPr>
            </w:pPr>
          </w:p>
        </w:tc>
        <w:tc>
          <w:tcPr>
            <w:tcW w:w="1417" w:type="dxa"/>
          </w:tcPr>
          <w:p w14:paraId="6064AE7C" w14:textId="77777777" w:rsidR="00EA16B0" w:rsidRPr="00EA16B0" w:rsidRDefault="00EA16B0" w:rsidP="00EA16B0">
            <w:pPr>
              <w:tabs>
                <w:tab w:val="clear" w:pos="1615"/>
              </w:tabs>
              <w:rPr>
                <w:rFonts w:asciiTheme="majorHAnsi" w:hAnsiTheme="majorHAnsi" w:cstheme="majorHAnsi"/>
                <w:b/>
                <w:bCs/>
              </w:rPr>
            </w:pPr>
          </w:p>
        </w:tc>
      </w:tr>
      <w:tr w:rsidR="00EA16B0" w:rsidRPr="00EA16B0" w14:paraId="6B34DCD0" w14:textId="77777777" w:rsidTr="00162468">
        <w:trPr>
          <w:trHeight w:val="391"/>
        </w:trPr>
        <w:tc>
          <w:tcPr>
            <w:tcW w:w="7650" w:type="dxa"/>
          </w:tcPr>
          <w:p w14:paraId="3A95BFF6" w14:textId="202BFF10"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3.2.1 POLÍTICA: ABERTURA PARA A COMUNIDADE LOCAL E REGIONAL</w:t>
            </w:r>
          </w:p>
        </w:tc>
        <w:tc>
          <w:tcPr>
            <w:tcW w:w="1417" w:type="dxa"/>
          </w:tcPr>
          <w:p w14:paraId="1DF215A3" w14:textId="650590AA"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65</w:t>
            </w:r>
          </w:p>
        </w:tc>
      </w:tr>
      <w:tr w:rsidR="00EA16B0" w:rsidRPr="00EA16B0" w14:paraId="5359DE00" w14:textId="77777777" w:rsidTr="00162468">
        <w:trPr>
          <w:trHeight w:val="391"/>
        </w:trPr>
        <w:tc>
          <w:tcPr>
            <w:tcW w:w="7650" w:type="dxa"/>
          </w:tcPr>
          <w:p w14:paraId="4053B575" w14:textId="77777777" w:rsidR="00EA16B0" w:rsidRPr="00EA16B0" w:rsidRDefault="00EA16B0" w:rsidP="00EA16B0">
            <w:pPr>
              <w:tabs>
                <w:tab w:val="clear" w:pos="1615"/>
              </w:tabs>
              <w:rPr>
                <w:rFonts w:asciiTheme="majorHAnsi" w:hAnsiTheme="majorHAnsi" w:cstheme="majorHAnsi"/>
                <w:b/>
                <w:bCs/>
              </w:rPr>
            </w:pPr>
          </w:p>
        </w:tc>
        <w:tc>
          <w:tcPr>
            <w:tcW w:w="1417" w:type="dxa"/>
          </w:tcPr>
          <w:p w14:paraId="666532C7" w14:textId="77777777" w:rsidR="00EA16B0" w:rsidRPr="00EA16B0" w:rsidRDefault="00EA16B0" w:rsidP="00EA16B0">
            <w:pPr>
              <w:tabs>
                <w:tab w:val="clear" w:pos="1615"/>
              </w:tabs>
              <w:rPr>
                <w:rFonts w:asciiTheme="majorHAnsi" w:hAnsiTheme="majorHAnsi" w:cstheme="majorHAnsi"/>
                <w:b/>
                <w:bCs/>
              </w:rPr>
            </w:pPr>
          </w:p>
        </w:tc>
      </w:tr>
      <w:tr w:rsidR="00EA16B0" w:rsidRPr="00EA16B0" w14:paraId="5FD59BA8" w14:textId="77777777" w:rsidTr="00162468">
        <w:trPr>
          <w:trHeight w:val="391"/>
        </w:trPr>
        <w:tc>
          <w:tcPr>
            <w:tcW w:w="7650" w:type="dxa"/>
          </w:tcPr>
          <w:p w14:paraId="168BDF8F" w14:textId="2BDBD746"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3.2.2 POLÍTICA: AÇÕES AFIRMATIVAS</w:t>
            </w:r>
          </w:p>
        </w:tc>
        <w:tc>
          <w:tcPr>
            <w:tcW w:w="1417" w:type="dxa"/>
          </w:tcPr>
          <w:p w14:paraId="0F0C2434" w14:textId="218BBD4D"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66</w:t>
            </w:r>
          </w:p>
        </w:tc>
      </w:tr>
      <w:tr w:rsidR="00EA16B0" w:rsidRPr="00EA16B0" w14:paraId="58FDE66D" w14:textId="77777777" w:rsidTr="00162468">
        <w:trPr>
          <w:trHeight w:val="391"/>
        </w:trPr>
        <w:tc>
          <w:tcPr>
            <w:tcW w:w="7650" w:type="dxa"/>
          </w:tcPr>
          <w:p w14:paraId="34236095" w14:textId="77777777" w:rsidR="00EA16B0" w:rsidRPr="00EA16B0" w:rsidRDefault="00EA16B0" w:rsidP="00EA16B0">
            <w:pPr>
              <w:tabs>
                <w:tab w:val="clear" w:pos="1615"/>
              </w:tabs>
              <w:rPr>
                <w:rFonts w:asciiTheme="majorHAnsi" w:hAnsiTheme="majorHAnsi" w:cstheme="majorHAnsi"/>
                <w:b/>
                <w:bCs/>
              </w:rPr>
            </w:pPr>
          </w:p>
        </w:tc>
        <w:tc>
          <w:tcPr>
            <w:tcW w:w="1417" w:type="dxa"/>
          </w:tcPr>
          <w:p w14:paraId="4C3CF132" w14:textId="77777777" w:rsidR="00EA16B0" w:rsidRPr="00EA16B0" w:rsidRDefault="00EA16B0" w:rsidP="00EA16B0">
            <w:pPr>
              <w:tabs>
                <w:tab w:val="clear" w:pos="1615"/>
              </w:tabs>
              <w:rPr>
                <w:rFonts w:asciiTheme="majorHAnsi" w:hAnsiTheme="majorHAnsi" w:cstheme="majorHAnsi"/>
                <w:b/>
                <w:bCs/>
              </w:rPr>
            </w:pPr>
          </w:p>
        </w:tc>
      </w:tr>
      <w:tr w:rsidR="00EA16B0" w:rsidRPr="00EA16B0" w14:paraId="7BDAAA4D" w14:textId="77777777" w:rsidTr="00162468">
        <w:trPr>
          <w:trHeight w:val="391"/>
        </w:trPr>
        <w:tc>
          <w:tcPr>
            <w:tcW w:w="7650" w:type="dxa"/>
          </w:tcPr>
          <w:p w14:paraId="78887078" w14:textId="0B7A24CA"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3.2.3 POLÍTICA: PREENCHIMENTO TOTAL DAS VAGAS</w:t>
            </w:r>
          </w:p>
        </w:tc>
        <w:tc>
          <w:tcPr>
            <w:tcW w:w="1417" w:type="dxa"/>
          </w:tcPr>
          <w:p w14:paraId="254FA787" w14:textId="08E9E9E6"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67</w:t>
            </w:r>
          </w:p>
        </w:tc>
      </w:tr>
      <w:tr w:rsidR="00EA16B0" w:rsidRPr="00EA16B0" w14:paraId="0CF2EC96" w14:textId="77777777" w:rsidTr="00162468">
        <w:trPr>
          <w:trHeight w:val="391"/>
        </w:trPr>
        <w:tc>
          <w:tcPr>
            <w:tcW w:w="7650" w:type="dxa"/>
          </w:tcPr>
          <w:p w14:paraId="30CD105C" w14:textId="77777777" w:rsidR="00EA16B0" w:rsidRPr="00EA16B0" w:rsidRDefault="00EA16B0" w:rsidP="00EA16B0">
            <w:pPr>
              <w:tabs>
                <w:tab w:val="clear" w:pos="1615"/>
              </w:tabs>
              <w:rPr>
                <w:rFonts w:asciiTheme="majorHAnsi" w:hAnsiTheme="majorHAnsi" w:cstheme="majorHAnsi"/>
                <w:b/>
                <w:bCs/>
              </w:rPr>
            </w:pPr>
          </w:p>
        </w:tc>
        <w:tc>
          <w:tcPr>
            <w:tcW w:w="1417" w:type="dxa"/>
          </w:tcPr>
          <w:p w14:paraId="45F96DB7" w14:textId="77777777" w:rsidR="00EA16B0" w:rsidRPr="00EA16B0" w:rsidRDefault="00EA16B0" w:rsidP="00EA16B0">
            <w:pPr>
              <w:tabs>
                <w:tab w:val="clear" w:pos="1615"/>
              </w:tabs>
              <w:rPr>
                <w:rFonts w:asciiTheme="majorHAnsi" w:hAnsiTheme="majorHAnsi" w:cstheme="majorHAnsi"/>
                <w:b/>
                <w:bCs/>
              </w:rPr>
            </w:pPr>
          </w:p>
        </w:tc>
      </w:tr>
      <w:tr w:rsidR="00EA16B0" w:rsidRPr="00EA16B0" w14:paraId="60A52E5B" w14:textId="77777777" w:rsidTr="00162468">
        <w:trPr>
          <w:trHeight w:val="391"/>
        </w:trPr>
        <w:tc>
          <w:tcPr>
            <w:tcW w:w="7650" w:type="dxa"/>
          </w:tcPr>
          <w:p w14:paraId="05BD1C18" w14:textId="13854618"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3.3 PERMANÊNCIA E SUCESSO</w:t>
            </w:r>
          </w:p>
        </w:tc>
        <w:tc>
          <w:tcPr>
            <w:tcW w:w="1417" w:type="dxa"/>
          </w:tcPr>
          <w:p w14:paraId="42EB86F5" w14:textId="10BED581"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69</w:t>
            </w:r>
          </w:p>
        </w:tc>
      </w:tr>
      <w:tr w:rsidR="00EA16B0" w:rsidRPr="00EA16B0" w14:paraId="076C438F" w14:textId="77777777" w:rsidTr="00162468">
        <w:trPr>
          <w:trHeight w:val="391"/>
        </w:trPr>
        <w:tc>
          <w:tcPr>
            <w:tcW w:w="7650" w:type="dxa"/>
          </w:tcPr>
          <w:p w14:paraId="68F34935" w14:textId="77777777" w:rsidR="00EA16B0" w:rsidRPr="00EA16B0" w:rsidRDefault="00EA16B0" w:rsidP="00EA16B0">
            <w:pPr>
              <w:tabs>
                <w:tab w:val="clear" w:pos="1615"/>
              </w:tabs>
              <w:rPr>
                <w:rFonts w:asciiTheme="majorHAnsi" w:hAnsiTheme="majorHAnsi" w:cstheme="majorHAnsi"/>
                <w:b/>
                <w:bCs/>
              </w:rPr>
            </w:pPr>
          </w:p>
        </w:tc>
        <w:tc>
          <w:tcPr>
            <w:tcW w:w="1417" w:type="dxa"/>
          </w:tcPr>
          <w:p w14:paraId="584C6FDD" w14:textId="77777777" w:rsidR="00EA16B0" w:rsidRPr="00EA16B0" w:rsidRDefault="00EA16B0" w:rsidP="00EA16B0">
            <w:pPr>
              <w:tabs>
                <w:tab w:val="clear" w:pos="1615"/>
              </w:tabs>
              <w:rPr>
                <w:rFonts w:asciiTheme="majorHAnsi" w:hAnsiTheme="majorHAnsi" w:cstheme="majorHAnsi"/>
                <w:b/>
                <w:bCs/>
              </w:rPr>
            </w:pPr>
          </w:p>
        </w:tc>
      </w:tr>
      <w:tr w:rsidR="00EA16B0" w:rsidRPr="00EA16B0" w14:paraId="63309C14" w14:textId="77777777" w:rsidTr="00162468">
        <w:trPr>
          <w:trHeight w:val="391"/>
        </w:trPr>
        <w:tc>
          <w:tcPr>
            <w:tcW w:w="7650" w:type="dxa"/>
          </w:tcPr>
          <w:p w14:paraId="34400EBF" w14:textId="4F406ED3"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3.4 POLÍTICAS E AÇÕES RELACIONADAS À PERMANÊNCIA E SUCESSO</w:t>
            </w:r>
          </w:p>
        </w:tc>
        <w:tc>
          <w:tcPr>
            <w:tcW w:w="1417" w:type="dxa"/>
          </w:tcPr>
          <w:p w14:paraId="18828B8F" w14:textId="04116B24"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74</w:t>
            </w:r>
          </w:p>
        </w:tc>
      </w:tr>
      <w:tr w:rsidR="00EA16B0" w:rsidRPr="00EA16B0" w14:paraId="37211D15" w14:textId="77777777" w:rsidTr="00162468">
        <w:trPr>
          <w:trHeight w:val="391"/>
        </w:trPr>
        <w:tc>
          <w:tcPr>
            <w:tcW w:w="7650" w:type="dxa"/>
          </w:tcPr>
          <w:p w14:paraId="5A0259F8" w14:textId="77777777" w:rsidR="00EA16B0" w:rsidRPr="00EA16B0" w:rsidRDefault="00EA16B0" w:rsidP="00EA16B0">
            <w:pPr>
              <w:tabs>
                <w:tab w:val="clear" w:pos="1615"/>
              </w:tabs>
              <w:rPr>
                <w:rFonts w:asciiTheme="majorHAnsi" w:hAnsiTheme="majorHAnsi" w:cstheme="majorHAnsi"/>
                <w:b/>
                <w:bCs/>
              </w:rPr>
            </w:pPr>
          </w:p>
        </w:tc>
        <w:tc>
          <w:tcPr>
            <w:tcW w:w="1417" w:type="dxa"/>
          </w:tcPr>
          <w:p w14:paraId="27425770" w14:textId="77777777" w:rsidR="00EA16B0" w:rsidRPr="00EA16B0" w:rsidRDefault="00EA16B0" w:rsidP="00EA16B0">
            <w:pPr>
              <w:tabs>
                <w:tab w:val="clear" w:pos="1615"/>
              </w:tabs>
              <w:rPr>
                <w:rFonts w:asciiTheme="majorHAnsi" w:hAnsiTheme="majorHAnsi" w:cstheme="majorHAnsi"/>
                <w:b/>
                <w:bCs/>
              </w:rPr>
            </w:pPr>
          </w:p>
        </w:tc>
      </w:tr>
      <w:tr w:rsidR="00EA16B0" w:rsidRPr="00EA16B0" w14:paraId="741BE47E" w14:textId="77777777" w:rsidTr="00162468">
        <w:trPr>
          <w:trHeight w:val="391"/>
        </w:trPr>
        <w:tc>
          <w:tcPr>
            <w:tcW w:w="7650" w:type="dxa"/>
          </w:tcPr>
          <w:p w14:paraId="58163F70" w14:textId="7208DC40"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3.4.1 POLÍTICA: AÇÕES AFIRMATIVAS PARA A PERMANÊNCIA</w:t>
            </w:r>
          </w:p>
        </w:tc>
        <w:tc>
          <w:tcPr>
            <w:tcW w:w="1417" w:type="dxa"/>
          </w:tcPr>
          <w:p w14:paraId="688C9423" w14:textId="2B47FD2D"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74</w:t>
            </w:r>
          </w:p>
        </w:tc>
      </w:tr>
      <w:tr w:rsidR="00EA16B0" w:rsidRPr="00EA16B0" w14:paraId="30418A71" w14:textId="77777777" w:rsidTr="00162468">
        <w:trPr>
          <w:trHeight w:val="391"/>
        </w:trPr>
        <w:tc>
          <w:tcPr>
            <w:tcW w:w="7650" w:type="dxa"/>
          </w:tcPr>
          <w:p w14:paraId="2DAAAFF1" w14:textId="77777777" w:rsidR="00EA16B0" w:rsidRPr="00EA16B0" w:rsidRDefault="00EA16B0" w:rsidP="00EA16B0">
            <w:pPr>
              <w:tabs>
                <w:tab w:val="clear" w:pos="1615"/>
              </w:tabs>
              <w:rPr>
                <w:rFonts w:asciiTheme="majorHAnsi" w:hAnsiTheme="majorHAnsi" w:cstheme="majorHAnsi"/>
                <w:b/>
                <w:bCs/>
              </w:rPr>
            </w:pPr>
          </w:p>
        </w:tc>
        <w:tc>
          <w:tcPr>
            <w:tcW w:w="1417" w:type="dxa"/>
          </w:tcPr>
          <w:p w14:paraId="082C8D9E" w14:textId="77777777" w:rsidR="00EA16B0" w:rsidRPr="00EA16B0" w:rsidRDefault="00EA16B0" w:rsidP="00EA16B0">
            <w:pPr>
              <w:tabs>
                <w:tab w:val="clear" w:pos="1615"/>
              </w:tabs>
              <w:rPr>
                <w:rFonts w:asciiTheme="majorHAnsi" w:hAnsiTheme="majorHAnsi" w:cstheme="majorHAnsi"/>
                <w:b/>
                <w:bCs/>
              </w:rPr>
            </w:pPr>
          </w:p>
        </w:tc>
      </w:tr>
      <w:tr w:rsidR="00EA16B0" w:rsidRPr="00EA16B0" w14:paraId="6B0E12A7" w14:textId="77777777" w:rsidTr="00162468">
        <w:trPr>
          <w:trHeight w:val="391"/>
        </w:trPr>
        <w:tc>
          <w:tcPr>
            <w:tcW w:w="7650" w:type="dxa"/>
          </w:tcPr>
          <w:p w14:paraId="33E3B335" w14:textId="044BC8D2" w:rsidR="00EA16B0" w:rsidRPr="00EA16B0" w:rsidRDefault="00EA16B0" w:rsidP="00EA16B0">
            <w:pPr>
              <w:tabs>
                <w:tab w:val="clear" w:pos="1615"/>
              </w:tabs>
              <w:rPr>
                <w:rFonts w:asciiTheme="majorHAnsi" w:hAnsiTheme="majorHAnsi" w:cstheme="majorHAnsi"/>
                <w:b/>
                <w:bCs/>
              </w:rPr>
            </w:pPr>
            <w:proofErr w:type="gramStart"/>
            <w:r w:rsidRPr="00EA16B0">
              <w:rPr>
                <w:rFonts w:asciiTheme="majorHAnsi" w:hAnsiTheme="majorHAnsi" w:cstheme="majorHAnsi"/>
                <w:b/>
                <w:bCs/>
              </w:rPr>
              <w:t>3.4.2  POLÍTICA</w:t>
            </w:r>
            <w:proofErr w:type="gramEnd"/>
            <w:r w:rsidRPr="00EA16B0">
              <w:rPr>
                <w:rFonts w:asciiTheme="majorHAnsi" w:hAnsiTheme="majorHAnsi" w:cstheme="majorHAnsi"/>
                <w:b/>
                <w:bCs/>
              </w:rPr>
              <w:t>: AÇÕES ACADÊMICAS NO INGRESSO</w:t>
            </w:r>
          </w:p>
        </w:tc>
        <w:tc>
          <w:tcPr>
            <w:tcW w:w="1417" w:type="dxa"/>
          </w:tcPr>
          <w:p w14:paraId="415EC08F" w14:textId="03C86A90"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76</w:t>
            </w:r>
          </w:p>
        </w:tc>
      </w:tr>
      <w:tr w:rsidR="00EA16B0" w:rsidRPr="00EA16B0" w14:paraId="619B7864" w14:textId="77777777" w:rsidTr="00162468">
        <w:trPr>
          <w:trHeight w:val="391"/>
        </w:trPr>
        <w:tc>
          <w:tcPr>
            <w:tcW w:w="7650" w:type="dxa"/>
          </w:tcPr>
          <w:p w14:paraId="25437FD2" w14:textId="77777777" w:rsidR="00EA16B0" w:rsidRPr="00EA16B0" w:rsidRDefault="00EA16B0" w:rsidP="00EA16B0">
            <w:pPr>
              <w:tabs>
                <w:tab w:val="clear" w:pos="1615"/>
              </w:tabs>
              <w:rPr>
                <w:rFonts w:asciiTheme="majorHAnsi" w:hAnsiTheme="majorHAnsi" w:cstheme="majorHAnsi"/>
                <w:b/>
                <w:bCs/>
              </w:rPr>
            </w:pPr>
          </w:p>
        </w:tc>
        <w:tc>
          <w:tcPr>
            <w:tcW w:w="1417" w:type="dxa"/>
          </w:tcPr>
          <w:p w14:paraId="298B5729" w14:textId="77777777" w:rsidR="00EA16B0" w:rsidRPr="00EA16B0" w:rsidRDefault="00EA16B0" w:rsidP="00EA16B0">
            <w:pPr>
              <w:tabs>
                <w:tab w:val="clear" w:pos="1615"/>
              </w:tabs>
              <w:rPr>
                <w:rFonts w:asciiTheme="majorHAnsi" w:hAnsiTheme="majorHAnsi" w:cstheme="majorHAnsi"/>
                <w:b/>
                <w:bCs/>
              </w:rPr>
            </w:pPr>
          </w:p>
        </w:tc>
      </w:tr>
      <w:tr w:rsidR="00EA16B0" w:rsidRPr="00EA16B0" w14:paraId="5F550AAF" w14:textId="77777777" w:rsidTr="00162468">
        <w:trPr>
          <w:trHeight w:val="391"/>
        </w:trPr>
        <w:tc>
          <w:tcPr>
            <w:tcW w:w="7650" w:type="dxa"/>
          </w:tcPr>
          <w:p w14:paraId="189EB20B" w14:textId="1557DA01"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3.4.3 POLÍTICA: AÇÕES ACADÊMICAS PARA MELHORIA DA QUALIDADE</w:t>
            </w:r>
          </w:p>
        </w:tc>
        <w:tc>
          <w:tcPr>
            <w:tcW w:w="1417" w:type="dxa"/>
          </w:tcPr>
          <w:p w14:paraId="1B2115FB" w14:textId="3AACC72B"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77</w:t>
            </w:r>
          </w:p>
        </w:tc>
      </w:tr>
      <w:tr w:rsidR="00EA16B0" w:rsidRPr="00EA16B0" w14:paraId="1FC1154A" w14:textId="77777777" w:rsidTr="00162468">
        <w:trPr>
          <w:trHeight w:val="391"/>
        </w:trPr>
        <w:tc>
          <w:tcPr>
            <w:tcW w:w="7650" w:type="dxa"/>
          </w:tcPr>
          <w:p w14:paraId="777D9F9F" w14:textId="77777777" w:rsidR="00EA16B0" w:rsidRPr="00EA16B0" w:rsidRDefault="00EA16B0" w:rsidP="00EA16B0">
            <w:pPr>
              <w:tabs>
                <w:tab w:val="clear" w:pos="1615"/>
              </w:tabs>
              <w:rPr>
                <w:rFonts w:asciiTheme="majorHAnsi" w:hAnsiTheme="majorHAnsi" w:cstheme="majorHAnsi"/>
                <w:b/>
                <w:bCs/>
              </w:rPr>
            </w:pPr>
          </w:p>
        </w:tc>
        <w:tc>
          <w:tcPr>
            <w:tcW w:w="1417" w:type="dxa"/>
          </w:tcPr>
          <w:p w14:paraId="296195EB" w14:textId="77777777" w:rsidR="00EA16B0" w:rsidRPr="00EA16B0" w:rsidRDefault="00EA16B0" w:rsidP="00EA16B0">
            <w:pPr>
              <w:tabs>
                <w:tab w:val="clear" w:pos="1615"/>
              </w:tabs>
              <w:rPr>
                <w:rFonts w:asciiTheme="majorHAnsi" w:hAnsiTheme="majorHAnsi" w:cstheme="majorHAnsi"/>
                <w:b/>
                <w:bCs/>
              </w:rPr>
            </w:pPr>
          </w:p>
        </w:tc>
      </w:tr>
      <w:tr w:rsidR="00EA16B0" w:rsidRPr="00EA16B0" w14:paraId="509A371C" w14:textId="77777777" w:rsidTr="00162468">
        <w:trPr>
          <w:trHeight w:val="391"/>
        </w:trPr>
        <w:tc>
          <w:tcPr>
            <w:tcW w:w="7650" w:type="dxa"/>
          </w:tcPr>
          <w:p w14:paraId="559E7863" w14:textId="1BF9DD45"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3.4.4 POLÍTICA: ACESSIBILIDADE FÍSICA, PEDAGÓGICA E ATITUDINAL</w:t>
            </w:r>
          </w:p>
        </w:tc>
        <w:tc>
          <w:tcPr>
            <w:tcW w:w="1417" w:type="dxa"/>
          </w:tcPr>
          <w:p w14:paraId="3B7D4A5A" w14:textId="11618096"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78</w:t>
            </w:r>
          </w:p>
        </w:tc>
      </w:tr>
      <w:tr w:rsidR="00EA16B0" w:rsidRPr="00EA16B0" w14:paraId="142DF09E" w14:textId="77777777" w:rsidTr="00162468">
        <w:trPr>
          <w:trHeight w:val="391"/>
        </w:trPr>
        <w:tc>
          <w:tcPr>
            <w:tcW w:w="7650" w:type="dxa"/>
          </w:tcPr>
          <w:p w14:paraId="2B9C6A6D" w14:textId="77777777" w:rsidR="00EA16B0" w:rsidRPr="00EA16B0" w:rsidRDefault="00EA16B0" w:rsidP="00EA16B0">
            <w:pPr>
              <w:tabs>
                <w:tab w:val="clear" w:pos="1615"/>
              </w:tabs>
              <w:rPr>
                <w:rFonts w:asciiTheme="majorHAnsi" w:hAnsiTheme="majorHAnsi" w:cstheme="majorHAnsi"/>
                <w:b/>
                <w:bCs/>
              </w:rPr>
            </w:pPr>
          </w:p>
        </w:tc>
        <w:tc>
          <w:tcPr>
            <w:tcW w:w="1417" w:type="dxa"/>
          </w:tcPr>
          <w:p w14:paraId="2AAB9989" w14:textId="77777777" w:rsidR="00EA16B0" w:rsidRPr="00EA16B0" w:rsidRDefault="00EA16B0" w:rsidP="00EA16B0">
            <w:pPr>
              <w:tabs>
                <w:tab w:val="clear" w:pos="1615"/>
              </w:tabs>
              <w:rPr>
                <w:rFonts w:asciiTheme="majorHAnsi" w:hAnsiTheme="majorHAnsi" w:cstheme="majorHAnsi"/>
                <w:b/>
                <w:bCs/>
              </w:rPr>
            </w:pPr>
          </w:p>
        </w:tc>
      </w:tr>
      <w:tr w:rsidR="00EA16B0" w:rsidRPr="00EA16B0" w14:paraId="6716EAE9" w14:textId="77777777" w:rsidTr="00162468">
        <w:trPr>
          <w:trHeight w:val="391"/>
        </w:trPr>
        <w:tc>
          <w:tcPr>
            <w:tcW w:w="7650" w:type="dxa"/>
          </w:tcPr>
          <w:p w14:paraId="2E77DC6D" w14:textId="32C950D9"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3.4.5 POLÍTICA: OFERTAS INTERNA E EXTERNA DE VAGAS REMANESCENTES</w:t>
            </w:r>
          </w:p>
        </w:tc>
        <w:tc>
          <w:tcPr>
            <w:tcW w:w="1417" w:type="dxa"/>
          </w:tcPr>
          <w:p w14:paraId="47501A8A" w14:textId="648EA44D"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78</w:t>
            </w:r>
          </w:p>
        </w:tc>
      </w:tr>
      <w:tr w:rsidR="00EA16B0" w:rsidRPr="00EA16B0" w14:paraId="7527B454" w14:textId="77777777" w:rsidTr="00162468">
        <w:trPr>
          <w:trHeight w:val="391"/>
        </w:trPr>
        <w:tc>
          <w:tcPr>
            <w:tcW w:w="7650" w:type="dxa"/>
          </w:tcPr>
          <w:p w14:paraId="6A3AACB5" w14:textId="77777777" w:rsidR="00EA16B0" w:rsidRPr="00EA16B0" w:rsidRDefault="00EA16B0" w:rsidP="00EA16B0">
            <w:pPr>
              <w:tabs>
                <w:tab w:val="clear" w:pos="1615"/>
              </w:tabs>
              <w:rPr>
                <w:rFonts w:asciiTheme="majorHAnsi" w:hAnsiTheme="majorHAnsi" w:cstheme="majorHAnsi"/>
                <w:b/>
                <w:bCs/>
              </w:rPr>
            </w:pPr>
          </w:p>
        </w:tc>
        <w:tc>
          <w:tcPr>
            <w:tcW w:w="1417" w:type="dxa"/>
          </w:tcPr>
          <w:p w14:paraId="680078D0" w14:textId="77777777" w:rsidR="00EA16B0" w:rsidRPr="00EA16B0" w:rsidRDefault="00EA16B0" w:rsidP="00EA16B0">
            <w:pPr>
              <w:tabs>
                <w:tab w:val="clear" w:pos="1615"/>
              </w:tabs>
              <w:rPr>
                <w:rFonts w:asciiTheme="majorHAnsi" w:hAnsiTheme="majorHAnsi" w:cstheme="majorHAnsi"/>
                <w:b/>
                <w:bCs/>
              </w:rPr>
            </w:pPr>
          </w:p>
        </w:tc>
      </w:tr>
      <w:tr w:rsidR="00EA16B0" w:rsidRPr="00EA16B0" w14:paraId="17DE4ABC" w14:textId="77777777" w:rsidTr="00162468">
        <w:trPr>
          <w:trHeight w:val="391"/>
        </w:trPr>
        <w:tc>
          <w:tcPr>
            <w:tcW w:w="7650" w:type="dxa"/>
          </w:tcPr>
          <w:p w14:paraId="1408A4A9" w14:textId="639F11B8"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3.5 INTEGRALIZAÇÃO</w:t>
            </w:r>
          </w:p>
        </w:tc>
        <w:tc>
          <w:tcPr>
            <w:tcW w:w="1417" w:type="dxa"/>
          </w:tcPr>
          <w:p w14:paraId="2AA1AFB4" w14:textId="4F420573"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80</w:t>
            </w:r>
          </w:p>
        </w:tc>
      </w:tr>
      <w:tr w:rsidR="00EA16B0" w:rsidRPr="00EA16B0" w14:paraId="75D402F6" w14:textId="77777777" w:rsidTr="00162468">
        <w:trPr>
          <w:trHeight w:val="391"/>
        </w:trPr>
        <w:tc>
          <w:tcPr>
            <w:tcW w:w="7650" w:type="dxa"/>
          </w:tcPr>
          <w:p w14:paraId="599D5856" w14:textId="77777777" w:rsidR="00EA16B0" w:rsidRPr="00EA16B0" w:rsidRDefault="00EA16B0" w:rsidP="00EA16B0">
            <w:pPr>
              <w:tabs>
                <w:tab w:val="clear" w:pos="1615"/>
              </w:tabs>
              <w:rPr>
                <w:rFonts w:asciiTheme="majorHAnsi" w:hAnsiTheme="majorHAnsi" w:cstheme="majorHAnsi"/>
                <w:b/>
                <w:bCs/>
              </w:rPr>
            </w:pPr>
          </w:p>
        </w:tc>
        <w:tc>
          <w:tcPr>
            <w:tcW w:w="1417" w:type="dxa"/>
          </w:tcPr>
          <w:p w14:paraId="0452C173" w14:textId="77777777" w:rsidR="00EA16B0" w:rsidRPr="00EA16B0" w:rsidRDefault="00EA16B0" w:rsidP="00EA16B0">
            <w:pPr>
              <w:tabs>
                <w:tab w:val="clear" w:pos="1615"/>
              </w:tabs>
              <w:rPr>
                <w:rFonts w:asciiTheme="majorHAnsi" w:hAnsiTheme="majorHAnsi" w:cstheme="majorHAnsi"/>
                <w:b/>
                <w:bCs/>
              </w:rPr>
            </w:pPr>
          </w:p>
        </w:tc>
      </w:tr>
      <w:tr w:rsidR="00EA16B0" w:rsidRPr="00EA16B0" w14:paraId="75E9412F" w14:textId="77777777" w:rsidTr="00162468">
        <w:trPr>
          <w:trHeight w:val="391"/>
        </w:trPr>
        <w:tc>
          <w:tcPr>
            <w:tcW w:w="7650" w:type="dxa"/>
          </w:tcPr>
          <w:p w14:paraId="59862777" w14:textId="30E62B2C"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3.6 POLÍTICAS E AÇÕES RELACIONADAS À INTEGRALIZAÇÃO</w:t>
            </w:r>
          </w:p>
        </w:tc>
        <w:tc>
          <w:tcPr>
            <w:tcW w:w="1417" w:type="dxa"/>
          </w:tcPr>
          <w:p w14:paraId="0AA4F8CB" w14:textId="32D7E0B3"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83</w:t>
            </w:r>
          </w:p>
        </w:tc>
      </w:tr>
      <w:tr w:rsidR="00EA16B0" w:rsidRPr="00EA16B0" w14:paraId="6CFD0388" w14:textId="77777777" w:rsidTr="00162468">
        <w:trPr>
          <w:trHeight w:val="391"/>
        </w:trPr>
        <w:tc>
          <w:tcPr>
            <w:tcW w:w="7650" w:type="dxa"/>
          </w:tcPr>
          <w:p w14:paraId="3D83628D" w14:textId="77777777" w:rsidR="00EA16B0" w:rsidRPr="00EA16B0" w:rsidRDefault="00EA16B0" w:rsidP="00EA16B0">
            <w:pPr>
              <w:tabs>
                <w:tab w:val="clear" w:pos="1615"/>
              </w:tabs>
              <w:rPr>
                <w:rFonts w:asciiTheme="majorHAnsi" w:hAnsiTheme="majorHAnsi" w:cstheme="majorHAnsi"/>
                <w:b/>
                <w:bCs/>
              </w:rPr>
            </w:pPr>
          </w:p>
        </w:tc>
        <w:tc>
          <w:tcPr>
            <w:tcW w:w="1417" w:type="dxa"/>
          </w:tcPr>
          <w:p w14:paraId="7468A132" w14:textId="77777777" w:rsidR="00EA16B0" w:rsidRPr="00EA16B0" w:rsidRDefault="00EA16B0" w:rsidP="00EA16B0">
            <w:pPr>
              <w:tabs>
                <w:tab w:val="clear" w:pos="1615"/>
              </w:tabs>
              <w:rPr>
                <w:rFonts w:asciiTheme="majorHAnsi" w:hAnsiTheme="majorHAnsi" w:cstheme="majorHAnsi"/>
                <w:b/>
                <w:bCs/>
              </w:rPr>
            </w:pPr>
          </w:p>
        </w:tc>
      </w:tr>
      <w:tr w:rsidR="00EA16B0" w:rsidRPr="00EA16B0" w14:paraId="1AE4970A" w14:textId="77777777" w:rsidTr="00162468">
        <w:trPr>
          <w:trHeight w:val="391"/>
        </w:trPr>
        <w:tc>
          <w:tcPr>
            <w:tcW w:w="7650" w:type="dxa"/>
          </w:tcPr>
          <w:p w14:paraId="197A9A69" w14:textId="398AD692"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3.6.1 POLÍTICA RELACIONADA À APRENDIZAGEM BASEADA EM PROJETOS</w:t>
            </w:r>
          </w:p>
        </w:tc>
        <w:tc>
          <w:tcPr>
            <w:tcW w:w="1417" w:type="dxa"/>
          </w:tcPr>
          <w:p w14:paraId="0F82758F" w14:textId="1ED3F74A"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83</w:t>
            </w:r>
          </w:p>
        </w:tc>
      </w:tr>
      <w:tr w:rsidR="00EA16B0" w:rsidRPr="00EA16B0" w14:paraId="40ACA623" w14:textId="77777777" w:rsidTr="00162468">
        <w:trPr>
          <w:trHeight w:val="391"/>
        </w:trPr>
        <w:tc>
          <w:tcPr>
            <w:tcW w:w="7650" w:type="dxa"/>
          </w:tcPr>
          <w:p w14:paraId="0210F0EA" w14:textId="77777777" w:rsidR="00EA16B0" w:rsidRPr="00EA16B0" w:rsidRDefault="00EA16B0" w:rsidP="00EA16B0">
            <w:pPr>
              <w:tabs>
                <w:tab w:val="clear" w:pos="1615"/>
              </w:tabs>
              <w:rPr>
                <w:rFonts w:asciiTheme="majorHAnsi" w:hAnsiTheme="majorHAnsi" w:cstheme="majorHAnsi"/>
                <w:b/>
                <w:bCs/>
              </w:rPr>
            </w:pPr>
          </w:p>
        </w:tc>
        <w:tc>
          <w:tcPr>
            <w:tcW w:w="1417" w:type="dxa"/>
          </w:tcPr>
          <w:p w14:paraId="5EF6E499" w14:textId="77777777" w:rsidR="00EA16B0" w:rsidRPr="00EA16B0" w:rsidRDefault="00EA16B0" w:rsidP="00EA16B0">
            <w:pPr>
              <w:tabs>
                <w:tab w:val="clear" w:pos="1615"/>
              </w:tabs>
              <w:rPr>
                <w:rFonts w:asciiTheme="majorHAnsi" w:hAnsiTheme="majorHAnsi" w:cstheme="majorHAnsi"/>
                <w:b/>
                <w:bCs/>
              </w:rPr>
            </w:pPr>
          </w:p>
        </w:tc>
      </w:tr>
      <w:tr w:rsidR="00EA16B0" w:rsidRPr="00EA16B0" w14:paraId="72B4CDE4" w14:textId="77777777" w:rsidTr="00162468">
        <w:trPr>
          <w:trHeight w:val="391"/>
        </w:trPr>
        <w:tc>
          <w:tcPr>
            <w:tcW w:w="7650" w:type="dxa"/>
          </w:tcPr>
          <w:p w14:paraId="330E6E24" w14:textId="735484D8"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3.6.2 POLÍTICA PARA O ENVOLVIMENTO DISCENTE EM PROGRAMAS ESPECÍFICOS</w:t>
            </w:r>
          </w:p>
        </w:tc>
        <w:tc>
          <w:tcPr>
            <w:tcW w:w="1417" w:type="dxa"/>
          </w:tcPr>
          <w:p w14:paraId="4BA421E3" w14:textId="44C29791"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85</w:t>
            </w:r>
          </w:p>
        </w:tc>
      </w:tr>
      <w:tr w:rsidR="00EA16B0" w:rsidRPr="00EA16B0" w14:paraId="20AD8BFC" w14:textId="77777777" w:rsidTr="00162468">
        <w:trPr>
          <w:trHeight w:val="391"/>
        </w:trPr>
        <w:tc>
          <w:tcPr>
            <w:tcW w:w="7650" w:type="dxa"/>
          </w:tcPr>
          <w:p w14:paraId="79FB3FB2" w14:textId="77777777" w:rsidR="00EA16B0" w:rsidRPr="00EA16B0" w:rsidRDefault="00EA16B0" w:rsidP="00EA16B0">
            <w:pPr>
              <w:tabs>
                <w:tab w:val="clear" w:pos="1615"/>
              </w:tabs>
              <w:rPr>
                <w:rFonts w:asciiTheme="majorHAnsi" w:hAnsiTheme="majorHAnsi" w:cstheme="majorHAnsi"/>
                <w:b/>
                <w:bCs/>
              </w:rPr>
            </w:pPr>
          </w:p>
        </w:tc>
        <w:tc>
          <w:tcPr>
            <w:tcW w:w="1417" w:type="dxa"/>
          </w:tcPr>
          <w:p w14:paraId="36C78E5E" w14:textId="77777777" w:rsidR="00EA16B0" w:rsidRPr="00EA16B0" w:rsidRDefault="00EA16B0" w:rsidP="00EA16B0">
            <w:pPr>
              <w:tabs>
                <w:tab w:val="clear" w:pos="1615"/>
              </w:tabs>
              <w:rPr>
                <w:rFonts w:asciiTheme="majorHAnsi" w:hAnsiTheme="majorHAnsi" w:cstheme="majorHAnsi"/>
                <w:b/>
                <w:bCs/>
              </w:rPr>
            </w:pPr>
          </w:p>
        </w:tc>
      </w:tr>
      <w:tr w:rsidR="00EA16B0" w:rsidRPr="00EA16B0" w14:paraId="7B51B4BD" w14:textId="77777777" w:rsidTr="00162468">
        <w:trPr>
          <w:trHeight w:val="391"/>
        </w:trPr>
        <w:tc>
          <w:tcPr>
            <w:tcW w:w="7650" w:type="dxa"/>
          </w:tcPr>
          <w:p w14:paraId="5D9E91C3" w14:textId="22128884"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3.6.3 POLÍTICA DE CONTRATAÇÃO DOCENTE</w:t>
            </w:r>
          </w:p>
        </w:tc>
        <w:tc>
          <w:tcPr>
            <w:tcW w:w="1417" w:type="dxa"/>
          </w:tcPr>
          <w:p w14:paraId="274ACAC5" w14:textId="783D6CAA"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88</w:t>
            </w:r>
          </w:p>
        </w:tc>
      </w:tr>
      <w:tr w:rsidR="00EA16B0" w:rsidRPr="00EA16B0" w14:paraId="268E874D" w14:textId="77777777" w:rsidTr="00162468">
        <w:trPr>
          <w:trHeight w:val="391"/>
        </w:trPr>
        <w:tc>
          <w:tcPr>
            <w:tcW w:w="7650" w:type="dxa"/>
          </w:tcPr>
          <w:p w14:paraId="3939303C" w14:textId="77777777" w:rsidR="00EA16B0" w:rsidRPr="00EA16B0" w:rsidRDefault="00EA16B0" w:rsidP="00EA16B0">
            <w:pPr>
              <w:tabs>
                <w:tab w:val="clear" w:pos="1615"/>
              </w:tabs>
              <w:rPr>
                <w:rFonts w:asciiTheme="majorHAnsi" w:hAnsiTheme="majorHAnsi" w:cstheme="majorHAnsi"/>
                <w:b/>
                <w:bCs/>
              </w:rPr>
            </w:pPr>
          </w:p>
        </w:tc>
        <w:tc>
          <w:tcPr>
            <w:tcW w:w="1417" w:type="dxa"/>
          </w:tcPr>
          <w:p w14:paraId="61FC4922" w14:textId="77777777" w:rsidR="00EA16B0" w:rsidRPr="00EA16B0" w:rsidRDefault="00EA16B0" w:rsidP="00EA16B0">
            <w:pPr>
              <w:tabs>
                <w:tab w:val="clear" w:pos="1615"/>
              </w:tabs>
              <w:rPr>
                <w:rFonts w:asciiTheme="majorHAnsi" w:hAnsiTheme="majorHAnsi" w:cstheme="majorHAnsi"/>
                <w:b/>
                <w:bCs/>
              </w:rPr>
            </w:pPr>
          </w:p>
        </w:tc>
      </w:tr>
      <w:tr w:rsidR="00EA16B0" w:rsidRPr="00EA16B0" w14:paraId="70F87A40" w14:textId="77777777" w:rsidTr="00162468">
        <w:trPr>
          <w:trHeight w:val="391"/>
        </w:trPr>
        <w:tc>
          <w:tcPr>
            <w:tcW w:w="7650" w:type="dxa"/>
          </w:tcPr>
          <w:p w14:paraId="328E3327" w14:textId="2EEFE6D5"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3.7 AMPLIAÇÃO DA OFERTA DE CURSOS SUPERIORES</w:t>
            </w:r>
          </w:p>
        </w:tc>
        <w:tc>
          <w:tcPr>
            <w:tcW w:w="1417" w:type="dxa"/>
          </w:tcPr>
          <w:p w14:paraId="144D350A" w14:textId="677EB18A"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89</w:t>
            </w:r>
          </w:p>
        </w:tc>
      </w:tr>
      <w:tr w:rsidR="00EA16B0" w:rsidRPr="00EA16B0" w14:paraId="20733100" w14:textId="77777777" w:rsidTr="00162468">
        <w:trPr>
          <w:trHeight w:val="391"/>
        </w:trPr>
        <w:tc>
          <w:tcPr>
            <w:tcW w:w="7650" w:type="dxa"/>
          </w:tcPr>
          <w:p w14:paraId="374310C6" w14:textId="77777777" w:rsidR="00EA16B0" w:rsidRPr="00EA16B0" w:rsidRDefault="00EA16B0" w:rsidP="00EA16B0">
            <w:pPr>
              <w:tabs>
                <w:tab w:val="clear" w:pos="1615"/>
              </w:tabs>
              <w:rPr>
                <w:rFonts w:asciiTheme="majorHAnsi" w:hAnsiTheme="majorHAnsi" w:cstheme="majorHAnsi"/>
                <w:b/>
                <w:bCs/>
              </w:rPr>
            </w:pPr>
          </w:p>
        </w:tc>
        <w:tc>
          <w:tcPr>
            <w:tcW w:w="1417" w:type="dxa"/>
          </w:tcPr>
          <w:p w14:paraId="22E759F7" w14:textId="77777777" w:rsidR="00EA16B0" w:rsidRPr="00EA16B0" w:rsidRDefault="00EA16B0" w:rsidP="00EA16B0">
            <w:pPr>
              <w:tabs>
                <w:tab w:val="clear" w:pos="1615"/>
              </w:tabs>
              <w:rPr>
                <w:rFonts w:asciiTheme="majorHAnsi" w:hAnsiTheme="majorHAnsi" w:cstheme="majorHAnsi"/>
                <w:b/>
                <w:bCs/>
              </w:rPr>
            </w:pPr>
          </w:p>
        </w:tc>
      </w:tr>
      <w:tr w:rsidR="00EA16B0" w:rsidRPr="00EA16B0" w14:paraId="01FD8123" w14:textId="77777777" w:rsidTr="00162468">
        <w:trPr>
          <w:trHeight w:val="391"/>
        </w:trPr>
        <w:tc>
          <w:tcPr>
            <w:tcW w:w="7650" w:type="dxa"/>
          </w:tcPr>
          <w:p w14:paraId="3902B432" w14:textId="635BD86E"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3.7.1 POLÍTICAS PARA A FORMAÇÃO DE PROFESSORES</w:t>
            </w:r>
          </w:p>
        </w:tc>
        <w:tc>
          <w:tcPr>
            <w:tcW w:w="1417" w:type="dxa"/>
          </w:tcPr>
          <w:p w14:paraId="37C7AB25" w14:textId="026DD7AC"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89</w:t>
            </w:r>
          </w:p>
        </w:tc>
      </w:tr>
      <w:tr w:rsidR="00EA16B0" w:rsidRPr="00EA16B0" w14:paraId="70CE4E05" w14:textId="77777777" w:rsidTr="00162468">
        <w:trPr>
          <w:trHeight w:val="391"/>
        </w:trPr>
        <w:tc>
          <w:tcPr>
            <w:tcW w:w="7650" w:type="dxa"/>
          </w:tcPr>
          <w:p w14:paraId="4C4BFF7E" w14:textId="77777777" w:rsidR="00EA16B0" w:rsidRPr="00EA16B0" w:rsidRDefault="00EA16B0" w:rsidP="00EA16B0">
            <w:pPr>
              <w:tabs>
                <w:tab w:val="clear" w:pos="1615"/>
              </w:tabs>
              <w:rPr>
                <w:rFonts w:asciiTheme="majorHAnsi" w:hAnsiTheme="majorHAnsi" w:cstheme="majorHAnsi"/>
                <w:b/>
                <w:bCs/>
              </w:rPr>
            </w:pPr>
          </w:p>
        </w:tc>
        <w:tc>
          <w:tcPr>
            <w:tcW w:w="1417" w:type="dxa"/>
          </w:tcPr>
          <w:p w14:paraId="1A956848" w14:textId="77777777" w:rsidR="00EA16B0" w:rsidRPr="00EA16B0" w:rsidRDefault="00EA16B0" w:rsidP="00EA16B0">
            <w:pPr>
              <w:tabs>
                <w:tab w:val="clear" w:pos="1615"/>
              </w:tabs>
              <w:rPr>
                <w:rFonts w:asciiTheme="majorHAnsi" w:hAnsiTheme="majorHAnsi" w:cstheme="majorHAnsi"/>
                <w:b/>
                <w:bCs/>
              </w:rPr>
            </w:pPr>
          </w:p>
        </w:tc>
      </w:tr>
      <w:tr w:rsidR="00EA16B0" w:rsidRPr="00EA16B0" w14:paraId="70E749E8" w14:textId="77777777" w:rsidTr="00162468">
        <w:trPr>
          <w:trHeight w:val="391"/>
        </w:trPr>
        <w:tc>
          <w:tcPr>
            <w:tcW w:w="7650" w:type="dxa"/>
          </w:tcPr>
          <w:p w14:paraId="1E89FE38" w14:textId="4B112B9B"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3.7.2 DEMAIS ÁREAS</w:t>
            </w:r>
          </w:p>
        </w:tc>
        <w:tc>
          <w:tcPr>
            <w:tcW w:w="1417" w:type="dxa"/>
          </w:tcPr>
          <w:p w14:paraId="2EEA6311" w14:textId="4AF7A179"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92</w:t>
            </w:r>
          </w:p>
        </w:tc>
      </w:tr>
      <w:tr w:rsidR="00EA16B0" w:rsidRPr="00EA16B0" w14:paraId="5C4CF687" w14:textId="77777777" w:rsidTr="00162468">
        <w:trPr>
          <w:trHeight w:val="391"/>
        </w:trPr>
        <w:tc>
          <w:tcPr>
            <w:tcW w:w="7650" w:type="dxa"/>
          </w:tcPr>
          <w:p w14:paraId="5CA828EB" w14:textId="77777777" w:rsidR="00EA16B0" w:rsidRPr="00EA16B0" w:rsidRDefault="00EA16B0" w:rsidP="00EA16B0">
            <w:pPr>
              <w:tabs>
                <w:tab w:val="clear" w:pos="1615"/>
              </w:tabs>
              <w:rPr>
                <w:rFonts w:asciiTheme="majorHAnsi" w:hAnsiTheme="majorHAnsi" w:cstheme="majorHAnsi"/>
                <w:b/>
                <w:bCs/>
              </w:rPr>
            </w:pPr>
          </w:p>
        </w:tc>
        <w:tc>
          <w:tcPr>
            <w:tcW w:w="1417" w:type="dxa"/>
          </w:tcPr>
          <w:p w14:paraId="3A369DB5" w14:textId="77777777" w:rsidR="00EA16B0" w:rsidRPr="00EA16B0" w:rsidRDefault="00EA16B0" w:rsidP="00EA16B0">
            <w:pPr>
              <w:tabs>
                <w:tab w:val="clear" w:pos="1615"/>
              </w:tabs>
              <w:rPr>
                <w:rFonts w:asciiTheme="majorHAnsi" w:hAnsiTheme="majorHAnsi" w:cstheme="majorHAnsi"/>
                <w:b/>
                <w:bCs/>
              </w:rPr>
            </w:pPr>
          </w:p>
        </w:tc>
      </w:tr>
      <w:tr w:rsidR="00EA16B0" w:rsidRPr="00EA16B0" w14:paraId="318EE7F0" w14:textId="77777777" w:rsidTr="00162468">
        <w:trPr>
          <w:trHeight w:val="391"/>
        </w:trPr>
        <w:tc>
          <w:tcPr>
            <w:tcW w:w="7650" w:type="dxa"/>
          </w:tcPr>
          <w:p w14:paraId="7DFE97EC" w14:textId="06E36D83"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3.8 POLÍTICAS ASSOCIADAS À EXPANSÃO DA GRADUAÇÃO</w:t>
            </w:r>
          </w:p>
        </w:tc>
        <w:tc>
          <w:tcPr>
            <w:tcW w:w="1417" w:type="dxa"/>
          </w:tcPr>
          <w:p w14:paraId="2B172263" w14:textId="18FA7D72"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93</w:t>
            </w:r>
          </w:p>
        </w:tc>
      </w:tr>
      <w:tr w:rsidR="00EA16B0" w:rsidRPr="00EA16B0" w14:paraId="6D712F14" w14:textId="77777777" w:rsidTr="00162468">
        <w:trPr>
          <w:trHeight w:val="391"/>
        </w:trPr>
        <w:tc>
          <w:tcPr>
            <w:tcW w:w="7650" w:type="dxa"/>
          </w:tcPr>
          <w:p w14:paraId="77ADC0F8" w14:textId="77777777" w:rsidR="00EA16B0" w:rsidRPr="00EA16B0" w:rsidRDefault="00EA16B0" w:rsidP="00EA16B0">
            <w:pPr>
              <w:tabs>
                <w:tab w:val="clear" w:pos="1615"/>
              </w:tabs>
              <w:rPr>
                <w:rFonts w:asciiTheme="majorHAnsi" w:hAnsiTheme="majorHAnsi" w:cstheme="majorHAnsi"/>
                <w:b/>
                <w:bCs/>
              </w:rPr>
            </w:pPr>
          </w:p>
        </w:tc>
        <w:tc>
          <w:tcPr>
            <w:tcW w:w="1417" w:type="dxa"/>
          </w:tcPr>
          <w:p w14:paraId="5FD0EF17" w14:textId="77777777" w:rsidR="00EA16B0" w:rsidRPr="00EA16B0" w:rsidRDefault="00EA16B0" w:rsidP="00EA16B0">
            <w:pPr>
              <w:tabs>
                <w:tab w:val="clear" w:pos="1615"/>
              </w:tabs>
              <w:rPr>
                <w:rFonts w:asciiTheme="majorHAnsi" w:hAnsiTheme="majorHAnsi" w:cstheme="majorHAnsi"/>
                <w:b/>
                <w:bCs/>
              </w:rPr>
            </w:pPr>
          </w:p>
        </w:tc>
      </w:tr>
      <w:tr w:rsidR="00EA16B0" w:rsidRPr="00EA16B0" w14:paraId="234296DE" w14:textId="77777777" w:rsidTr="00162468">
        <w:trPr>
          <w:trHeight w:val="391"/>
        </w:trPr>
        <w:tc>
          <w:tcPr>
            <w:tcW w:w="7650" w:type="dxa"/>
          </w:tcPr>
          <w:p w14:paraId="2330124E" w14:textId="650E5880"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3.8.1 POLÍTICA: FORMAÇÃO DE PROFESSORES PARA A EDUCAÇÃO BÁSICA</w:t>
            </w:r>
          </w:p>
        </w:tc>
        <w:tc>
          <w:tcPr>
            <w:tcW w:w="1417" w:type="dxa"/>
          </w:tcPr>
          <w:p w14:paraId="063B1288" w14:textId="5CAB4AC4"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93</w:t>
            </w:r>
          </w:p>
        </w:tc>
      </w:tr>
      <w:tr w:rsidR="00EA16B0" w:rsidRPr="00EA16B0" w14:paraId="0B950D3F" w14:textId="77777777" w:rsidTr="00162468">
        <w:trPr>
          <w:trHeight w:val="391"/>
        </w:trPr>
        <w:tc>
          <w:tcPr>
            <w:tcW w:w="7650" w:type="dxa"/>
          </w:tcPr>
          <w:p w14:paraId="3DFB6052" w14:textId="77777777" w:rsidR="00EA16B0" w:rsidRPr="00EA16B0" w:rsidRDefault="00EA16B0" w:rsidP="00EA16B0">
            <w:pPr>
              <w:tabs>
                <w:tab w:val="clear" w:pos="1615"/>
              </w:tabs>
              <w:rPr>
                <w:rFonts w:asciiTheme="majorHAnsi" w:hAnsiTheme="majorHAnsi" w:cstheme="majorHAnsi"/>
                <w:b/>
                <w:bCs/>
              </w:rPr>
            </w:pPr>
          </w:p>
        </w:tc>
        <w:tc>
          <w:tcPr>
            <w:tcW w:w="1417" w:type="dxa"/>
          </w:tcPr>
          <w:p w14:paraId="6FAAEEB8" w14:textId="77777777" w:rsidR="00EA16B0" w:rsidRPr="00EA16B0" w:rsidRDefault="00EA16B0" w:rsidP="00EA16B0">
            <w:pPr>
              <w:tabs>
                <w:tab w:val="clear" w:pos="1615"/>
              </w:tabs>
              <w:rPr>
                <w:rFonts w:asciiTheme="majorHAnsi" w:hAnsiTheme="majorHAnsi" w:cstheme="majorHAnsi"/>
                <w:b/>
                <w:bCs/>
              </w:rPr>
            </w:pPr>
          </w:p>
        </w:tc>
      </w:tr>
      <w:tr w:rsidR="00EA16B0" w:rsidRPr="00EA16B0" w14:paraId="74AE7306" w14:textId="77777777" w:rsidTr="00162468">
        <w:trPr>
          <w:trHeight w:val="391"/>
        </w:trPr>
        <w:tc>
          <w:tcPr>
            <w:tcW w:w="7650" w:type="dxa"/>
          </w:tcPr>
          <w:p w14:paraId="2B03BE3B" w14:textId="5312E2A2"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3.8.2 POLÍTICA: FORMAÇÃO DE OUTROS PROFISSIONAIS PARA O DF E REGIÃO</w:t>
            </w:r>
          </w:p>
        </w:tc>
        <w:tc>
          <w:tcPr>
            <w:tcW w:w="1417" w:type="dxa"/>
          </w:tcPr>
          <w:p w14:paraId="49A5B21A" w14:textId="32601E91"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94</w:t>
            </w:r>
          </w:p>
        </w:tc>
      </w:tr>
      <w:tr w:rsidR="00EA16B0" w:rsidRPr="00EA16B0" w14:paraId="54B1036C" w14:textId="77777777" w:rsidTr="00162468">
        <w:trPr>
          <w:trHeight w:val="391"/>
        </w:trPr>
        <w:tc>
          <w:tcPr>
            <w:tcW w:w="7650" w:type="dxa"/>
          </w:tcPr>
          <w:p w14:paraId="3FC20C63" w14:textId="77777777" w:rsidR="00EA16B0" w:rsidRPr="00EA16B0" w:rsidRDefault="00EA16B0" w:rsidP="00EA16B0">
            <w:pPr>
              <w:tabs>
                <w:tab w:val="clear" w:pos="1615"/>
              </w:tabs>
              <w:rPr>
                <w:rFonts w:asciiTheme="majorHAnsi" w:hAnsiTheme="majorHAnsi" w:cstheme="majorHAnsi"/>
                <w:b/>
                <w:bCs/>
              </w:rPr>
            </w:pPr>
          </w:p>
        </w:tc>
        <w:tc>
          <w:tcPr>
            <w:tcW w:w="1417" w:type="dxa"/>
          </w:tcPr>
          <w:p w14:paraId="12620045" w14:textId="77777777" w:rsidR="00EA16B0" w:rsidRPr="00EA16B0" w:rsidRDefault="00EA16B0" w:rsidP="00EA16B0">
            <w:pPr>
              <w:tabs>
                <w:tab w:val="clear" w:pos="1615"/>
              </w:tabs>
              <w:rPr>
                <w:rFonts w:asciiTheme="majorHAnsi" w:hAnsiTheme="majorHAnsi" w:cstheme="majorHAnsi"/>
                <w:b/>
                <w:bCs/>
              </w:rPr>
            </w:pPr>
          </w:p>
        </w:tc>
      </w:tr>
      <w:tr w:rsidR="00EA16B0" w:rsidRPr="00EA16B0" w14:paraId="6087F793" w14:textId="77777777" w:rsidTr="00162468">
        <w:trPr>
          <w:trHeight w:val="391"/>
        </w:trPr>
        <w:tc>
          <w:tcPr>
            <w:tcW w:w="7650" w:type="dxa"/>
          </w:tcPr>
          <w:p w14:paraId="491E450D" w14:textId="42B56E1C"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3.9 PÓS-GRADUAÇÃO</w:t>
            </w:r>
          </w:p>
        </w:tc>
        <w:tc>
          <w:tcPr>
            <w:tcW w:w="1417" w:type="dxa"/>
          </w:tcPr>
          <w:p w14:paraId="294BEB20" w14:textId="2C816097"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94</w:t>
            </w:r>
          </w:p>
        </w:tc>
      </w:tr>
      <w:tr w:rsidR="00EA16B0" w:rsidRPr="00EA16B0" w14:paraId="39BC8744" w14:textId="77777777" w:rsidTr="00162468">
        <w:trPr>
          <w:trHeight w:val="391"/>
        </w:trPr>
        <w:tc>
          <w:tcPr>
            <w:tcW w:w="7650" w:type="dxa"/>
          </w:tcPr>
          <w:p w14:paraId="0721670D" w14:textId="77777777" w:rsidR="00EA16B0" w:rsidRPr="00EA16B0" w:rsidRDefault="00EA16B0" w:rsidP="00EA16B0">
            <w:pPr>
              <w:tabs>
                <w:tab w:val="clear" w:pos="1615"/>
              </w:tabs>
              <w:rPr>
                <w:rFonts w:asciiTheme="majorHAnsi" w:hAnsiTheme="majorHAnsi" w:cstheme="majorHAnsi"/>
                <w:b/>
                <w:bCs/>
              </w:rPr>
            </w:pPr>
          </w:p>
        </w:tc>
        <w:tc>
          <w:tcPr>
            <w:tcW w:w="1417" w:type="dxa"/>
          </w:tcPr>
          <w:p w14:paraId="277B2162" w14:textId="77777777" w:rsidR="00EA16B0" w:rsidRPr="00EA16B0" w:rsidRDefault="00EA16B0" w:rsidP="00EA16B0">
            <w:pPr>
              <w:tabs>
                <w:tab w:val="clear" w:pos="1615"/>
              </w:tabs>
              <w:rPr>
                <w:rFonts w:asciiTheme="majorHAnsi" w:hAnsiTheme="majorHAnsi" w:cstheme="majorHAnsi"/>
                <w:b/>
                <w:bCs/>
              </w:rPr>
            </w:pPr>
          </w:p>
        </w:tc>
      </w:tr>
      <w:tr w:rsidR="00EA16B0" w:rsidRPr="00EA16B0" w14:paraId="48BCC7E6" w14:textId="77777777" w:rsidTr="00162468">
        <w:trPr>
          <w:trHeight w:val="391"/>
        </w:trPr>
        <w:tc>
          <w:tcPr>
            <w:tcW w:w="7650" w:type="dxa"/>
          </w:tcPr>
          <w:p w14:paraId="02D78F28" w14:textId="5F22A291"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3.10 ORGANIZAÇÃO DAS POLÍTICAS DE PÓS-GRADUAÇÃO DA UNDF</w:t>
            </w:r>
          </w:p>
        </w:tc>
        <w:tc>
          <w:tcPr>
            <w:tcW w:w="1417" w:type="dxa"/>
          </w:tcPr>
          <w:p w14:paraId="229BA95B" w14:textId="7A63585E"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95</w:t>
            </w:r>
          </w:p>
        </w:tc>
      </w:tr>
      <w:tr w:rsidR="00EA16B0" w:rsidRPr="00EA16B0" w14:paraId="2AB794AF" w14:textId="77777777" w:rsidTr="00162468">
        <w:trPr>
          <w:trHeight w:val="391"/>
        </w:trPr>
        <w:tc>
          <w:tcPr>
            <w:tcW w:w="7650" w:type="dxa"/>
          </w:tcPr>
          <w:p w14:paraId="10EB9B2B" w14:textId="77777777" w:rsidR="00EA16B0" w:rsidRPr="00EA16B0" w:rsidRDefault="00EA16B0" w:rsidP="00EA16B0">
            <w:pPr>
              <w:tabs>
                <w:tab w:val="clear" w:pos="1615"/>
              </w:tabs>
              <w:rPr>
                <w:rFonts w:asciiTheme="majorHAnsi" w:hAnsiTheme="majorHAnsi" w:cstheme="majorHAnsi"/>
                <w:b/>
                <w:bCs/>
              </w:rPr>
            </w:pPr>
          </w:p>
        </w:tc>
        <w:tc>
          <w:tcPr>
            <w:tcW w:w="1417" w:type="dxa"/>
          </w:tcPr>
          <w:p w14:paraId="39AC86AE" w14:textId="77777777" w:rsidR="00EA16B0" w:rsidRPr="00EA16B0" w:rsidRDefault="00EA16B0" w:rsidP="00EA16B0">
            <w:pPr>
              <w:tabs>
                <w:tab w:val="clear" w:pos="1615"/>
              </w:tabs>
              <w:rPr>
                <w:rFonts w:asciiTheme="majorHAnsi" w:hAnsiTheme="majorHAnsi" w:cstheme="majorHAnsi"/>
                <w:b/>
                <w:bCs/>
              </w:rPr>
            </w:pPr>
          </w:p>
        </w:tc>
      </w:tr>
      <w:tr w:rsidR="00EA16B0" w:rsidRPr="00EA16B0" w14:paraId="6515D524" w14:textId="77777777" w:rsidTr="00162468">
        <w:trPr>
          <w:trHeight w:val="391"/>
        </w:trPr>
        <w:tc>
          <w:tcPr>
            <w:tcW w:w="7650" w:type="dxa"/>
          </w:tcPr>
          <w:p w14:paraId="6C45C99E" w14:textId="3DBAE9DD"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3.10.1 PARA O EXERCÍCIO DOCENTE NA PRÓPRIA INSTITUIÇÃO</w:t>
            </w:r>
          </w:p>
        </w:tc>
        <w:tc>
          <w:tcPr>
            <w:tcW w:w="1417" w:type="dxa"/>
          </w:tcPr>
          <w:p w14:paraId="4C549CF2" w14:textId="50421458"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96</w:t>
            </w:r>
          </w:p>
        </w:tc>
      </w:tr>
      <w:tr w:rsidR="00EA16B0" w:rsidRPr="00EA16B0" w14:paraId="11973276" w14:textId="77777777" w:rsidTr="00162468">
        <w:trPr>
          <w:trHeight w:val="391"/>
        </w:trPr>
        <w:tc>
          <w:tcPr>
            <w:tcW w:w="7650" w:type="dxa"/>
          </w:tcPr>
          <w:p w14:paraId="209B9331" w14:textId="77777777" w:rsidR="00EA16B0" w:rsidRPr="00EA16B0" w:rsidRDefault="00EA16B0" w:rsidP="00EA16B0">
            <w:pPr>
              <w:tabs>
                <w:tab w:val="clear" w:pos="1615"/>
              </w:tabs>
              <w:rPr>
                <w:rFonts w:asciiTheme="majorHAnsi" w:hAnsiTheme="majorHAnsi" w:cstheme="majorHAnsi"/>
                <w:b/>
                <w:bCs/>
              </w:rPr>
            </w:pPr>
          </w:p>
        </w:tc>
        <w:tc>
          <w:tcPr>
            <w:tcW w:w="1417" w:type="dxa"/>
          </w:tcPr>
          <w:p w14:paraId="0B6A8C5B" w14:textId="77777777" w:rsidR="00EA16B0" w:rsidRPr="00EA16B0" w:rsidRDefault="00EA16B0" w:rsidP="00EA16B0">
            <w:pPr>
              <w:tabs>
                <w:tab w:val="clear" w:pos="1615"/>
              </w:tabs>
              <w:rPr>
                <w:rFonts w:asciiTheme="majorHAnsi" w:hAnsiTheme="majorHAnsi" w:cstheme="majorHAnsi"/>
                <w:b/>
                <w:bCs/>
              </w:rPr>
            </w:pPr>
          </w:p>
        </w:tc>
      </w:tr>
      <w:tr w:rsidR="00EA16B0" w:rsidRPr="00EA16B0" w14:paraId="092A16EF" w14:textId="77777777" w:rsidTr="00162468">
        <w:trPr>
          <w:trHeight w:val="391"/>
        </w:trPr>
        <w:tc>
          <w:tcPr>
            <w:tcW w:w="7650" w:type="dxa"/>
          </w:tcPr>
          <w:p w14:paraId="5D3AF012" w14:textId="182CFF64"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lastRenderedPageBreak/>
              <w:t>3.10.2 PARA O DESENVOLVIMENTO CIENTÍFICO E TECNOLÓGICO DAS IES E DO PAÍS</w:t>
            </w:r>
          </w:p>
        </w:tc>
        <w:tc>
          <w:tcPr>
            <w:tcW w:w="1417" w:type="dxa"/>
          </w:tcPr>
          <w:p w14:paraId="3918D82D" w14:textId="12135A19"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100</w:t>
            </w:r>
          </w:p>
        </w:tc>
      </w:tr>
      <w:tr w:rsidR="00EA16B0" w:rsidRPr="00EA16B0" w14:paraId="61C3B705" w14:textId="77777777" w:rsidTr="00162468">
        <w:trPr>
          <w:trHeight w:val="391"/>
        </w:trPr>
        <w:tc>
          <w:tcPr>
            <w:tcW w:w="7650" w:type="dxa"/>
          </w:tcPr>
          <w:p w14:paraId="21093ECA" w14:textId="77777777" w:rsidR="00EA16B0" w:rsidRPr="00EA16B0" w:rsidRDefault="00EA16B0" w:rsidP="00EA16B0">
            <w:pPr>
              <w:tabs>
                <w:tab w:val="clear" w:pos="1615"/>
              </w:tabs>
              <w:rPr>
                <w:rFonts w:asciiTheme="majorHAnsi" w:hAnsiTheme="majorHAnsi" w:cstheme="majorHAnsi"/>
                <w:b/>
                <w:bCs/>
              </w:rPr>
            </w:pPr>
          </w:p>
        </w:tc>
        <w:tc>
          <w:tcPr>
            <w:tcW w:w="1417" w:type="dxa"/>
          </w:tcPr>
          <w:p w14:paraId="7ABA8D17" w14:textId="77777777" w:rsidR="00EA16B0" w:rsidRPr="00EA16B0" w:rsidRDefault="00EA16B0" w:rsidP="00EA16B0">
            <w:pPr>
              <w:tabs>
                <w:tab w:val="clear" w:pos="1615"/>
              </w:tabs>
              <w:rPr>
                <w:rFonts w:asciiTheme="majorHAnsi" w:hAnsiTheme="majorHAnsi" w:cstheme="majorHAnsi"/>
                <w:b/>
                <w:bCs/>
              </w:rPr>
            </w:pPr>
          </w:p>
        </w:tc>
      </w:tr>
      <w:tr w:rsidR="00EA16B0" w:rsidRPr="00EA16B0" w14:paraId="40CEC914" w14:textId="77777777" w:rsidTr="00162468">
        <w:trPr>
          <w:trHeight w:val="391"/>
        </w:trPr>
        <w:tc>
          <w:tcPr>
            <w:tcW w:w="7650" w:type="dxa"/>
          </w:tcPr>
          <w:p w14:paraId="30803C6B" w14:textId="03CE85E4"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3.10.3 PARA OS PROFESSORES DA EDUCAÇÃO BÁSICA</w:t>
            </w:r>
          </w:p>
        </w:tc>
        <w:tc>
          <w:tcPr>
            <w:tcW w:w="1417" w:type="dxa"/>
          </w:tcPr>
          <w:p w14:paraId="429A9EE7" w14:textId="0B743AAA"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103</w:t>
            </w:r>
          </w:p>
        </w:tc>
      </w:tr>
      <w:tr w:rsidR="00EA16B0" w:rsidRPr="00EA16B0" w14:paraId="3555976E" w14:textId="77777777" w:rsidTr="00162468">
        <w:trPr>
          <w:trHeight w:val="391"/>
        </w:trPr>
        <w:tc>
          <w:tcPr>
            <w:tcW w:w="7650" w:type="dxa"/>
          </w:tcPr>
          <w:p w14:paraId="0816A86E" w14:textId="77777777" w:rsidR="00EA16B0" w:rsidRPr="00EA16B0" w:rsidRDefault="00EA16B0" w:rsidP="00EA16B0">
            <w:pPr>
              <w:tabs>
                <w:tab w:val="clear" w:pos="1615"/>
              </w:tabs>
              <w:rPr>
                <w:rFonts w:asciiTheme="majorHAnsi" w:hAnsiTheme="majorHAnsi" w:cstheme="majorHAnsi"/>
                <w:b/>
                <w:bCs/>
              </w:rPr>
            </w:pPr>
          </w:p>
        </w:tc>
        <w:tc>
          <w:tcPr>
            <w:tcW w:w="1417" w:type="dxa"/>
          </w:tcPr>
          <w:p w14:paraId="6848363C" w14:textId="77777777" w:rsidR="00EA16B0" w:rsidRPr="00EA16B0" w:rsidRDefault="00EA16B0" w:rsidP="00EA16B0">
            <w:pPr>
              <w:tabs>
                <w:tab w:val="clear" w:pos="1615"/>
              </w:tabs>
              <w:rPr>
                <w:rFonts w:asciiTheme="majorHAnsi" w:hAnsiTheme="majorHAnsi" w:cstheme="majorHAnsi"/>
                <w:b/>
                <w:bCs/>
              </w:rPr>
            </w:pPr>
          </w:p>
        </w:tc>
      </w:tr>
      <w:tr w:rsidR="00EA16B0" w:rsidRPr="00EA16B0" w14:paraId="63CF6FB6" w14:textId="77777777" w:rsidTr="00162468">
        <w:trPr>
          <w:trHeight w:val="391"/>
        </w:trPr>
        <w:tc>
          <w:tcPr>
            <w:tcW w:w="7650" w:type="dxa"/>
          </w:tcPr>
          <w:p w14:paraId="0D8A2B3C" w14:textId="22F437C8"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4. CONSIDERAÇÕES FINAIS</w:t>
            </w:r>
          </w:p>
        </w:tc>
        <w:tc>
          <w:tcPr>
            <w:tcW w:w="1417" w:type="dxa"/>
          </w:tcPr>
          <w:p w14:paraId="08A95931" w14:textId="04FB4D79"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106</w:t>
            </w:r>
          </w:p>
        </w:tc>
      </w:tr>
      <w:tr w:rsidR="00EA16B0" w:rsidRPr="00EA16B0" w14:paraId="48981176" w14:textId="77777777" w:rsidTr="00162468">
        <w:trPr>
          <w:trHeight w:val="391"/>
        </w:trPr>
        <w:tc>
          <w:tcPr>
            <w:tcW w:w="7650" w:type="dxa"/>
          </w:tcPr>
          <w:p w14:paraId="225F1EC2" w14:textId="77777777" w:rsidR="00EA16B0" w:rsidRPr="00EA16B0" w:rsidRDefault="00EA16B0" w:rsidP="00EA16B0">
            <w:pPr>
              <w:tabs>
                <w:tab w:val="clear" w:pos="1615"/>
              </w:tabs>
              <w:rPr>
                <w:rFonts w:asciiTheme="majorHAnsi" w:hAnsiTheme="majorHAnsi" w:cstheme="majorHAnsi"/>
                <w:b/>
                <w:bCs/>
              </w:rPr>
            </w:pPr>
          </w:p>
        </w:tc>
        <w:tc>
          <w:tcPr>
            <w:tcW w:w="1417" w:type="dxa"/>
          </w:tcPr>
          <w:p w14:paraId="362BC7AD" w14:textId="44E2FD1B" w:rsidR="00EA16B0" w:rsidRPr="00EA16B0" w:rsidRDefault="00EA16B0" w:rsidP="00EA16B0">
            <w:pPr>
              <w:tabs>
                <w:tab w:val="clear" w:pos="1615"/>
              </w:tabs>
              <w:rPr>
                <w:rFonts w:asciiTheme="majorHAnsi" w:hAnsiTheme="majorHAnsi" w:cstheme="majorHAnsi"/>
                <w:b/>
                <w:bCs/>
              </w:rPr>
            </w:pPr>
          </w:p>
        </w:tc>
      </w:tr>
      <w:tr w:rsidR="00EA16B0" w:rsidRPr="00EA16B0" w14:paraId="1B91AC19" w14:textId="77777777" w:rsidTr="00162468">
        <w:trPr>
          <w:trHeight w:val="391"/>
        </w:trPr>
        <w:tc>
          <w:tcPr>
            <w:tcW w:w="7650" w:type="dxa"/>
          </w:tcPr>
          <w:p w14:paraId="5922236E" w14:textId="1A8AE5F4"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b/>
                <w:bCs/>
              </w:rPr>
              <w:t>5. REFERÊNCIAS</w:t>
            </w:r>
          </w:p>
        </w:tc>
        <w:tc>
          <w:tcPr>
            <w:tcW w:w="1417" w:type="dxa"/>
          </w:tcPr>
          <w:p w14:paraId="0DB6095B" w14:textId="37D7D9E6" w:rsidR="00EA16B0" w:rsidRPr="00EA16B0" w:rsidRDefault="00EA16B0" w:rsidP="00EA16B0">
            <w:pPr>
              <w:tabs>
                <w:tab w:val="clear" w:pos="1615"/>
              </w:tabs>
              <w:rPr>
                <w:rFonts w:asciiTheme="majorHAnsi" w:hAnsiTheme="majorHAnsi" w:cstheme="majorHAnsi"/>
                <w:b/>
                <w:bCs/>
              </w:rPr>
            </w:pPr>
            <w:r w:rsidRPr="00EA16B0">
              <w:rPr>
                <w:rFonts w:asciiTheme="majorHAnsi" w:hAnsiTheme="majorHAnsi" w:cstheme="majorHAnsi"/>
              </w:rPr>
              <w:t>108</w:t>
            </w:r>
          </w:p>
        </w:tc>
      </w:tr>
      <w:bookmarkEnd w:id="1"/>
      <w:bookmarkEnd w:id="2"/>
    </w:tbl>
    <w:p w14:paraId="57B39656" w14:textId="7859AB63" w:rsidR="004254B5" w:rsidRPr="00EA16B0" w:rsidRDefault="004254B5" w:rsidP="00AA431F">
      <w:pPr>
        <w:tabs>
          <w:tab w:val="clear" w:pos="1615"/>
        </w:tabs>
        <w:spacing w:line="259" w:lineRule="auto"/>
        <w:rPr>
          <w:rFonts w:asciiTheme="majorHAnsi" w:hAnsiTheme="majorHAnsi" w:cstheme="majorHAnsi"/>
          <w:noProof/>
          <w:lang w:eastAsia="pt-BR"/>
        </w:rPr>
      </w:pPr>
      <w:r w:rsidRPr="00EA16B0">
        <w:rPr>
          <w:rFonts w:asciiTheme="majorHAnsi" w:hAnsiTheme="majorHAnsi" w:cstheme="majorHAnsi"/>
          <w:noProof/>
          <w:lang w:eastAsia="pt-BR"/>
        </w:rPr>
        <w:br w:type="page"/>
      </w:r>
    </w:p>
    <w:p w14:paraId="55793120" w14:textId="6FBCC38E" w:rsidR="00E436BA" w:rsidRPr="00EA16B0" w:rsidRDefault="00E436BA" w:rsidP="00AA431F">
      <w:pPr>
        <w:rPr>
          <w:rFonts w:asciiTheme="majorHAnsi" w:hAnsiTheme="majorHAnsi" w:cstheme="majorHAnsi"/>
        </w:rPr>
        <w:sectPr w:rsidR="00E436BA" w:rsidRPr="00EA16B0" w:rsidSect="004254B5">
          <w:footerReference w:type="default" r:id="rId12"/>
          <w:footerReference w:type="first" r:id="rId13"/>
          <w:pgSz w:w="11906" w:h="16838"/>
          <w:pgMar w:top="1134" w:right="1134" w:bottom="1701" w:left="1134" w:header="709" w:footer="680" w:gutter="0"/>
          <w:pgNumType w:start="1"/>
          <w:cols w:space="708"/>
          <w:titlePg/>
          <w:docGrid w:linePitch="360"/>
        </w:sectPr>
      </w:pPr>
    </w:p>
    <w:p w14:paraId="5AC48891" w14:textId="26C92211" w:rsidR="00D3608B" w:rsidRPr="00EA16B0" w:rsidRDefault="00D3608B" w:rsidP="00D3608B">
      <w:pPr>
        <w:pStyle w:val="PargrafodaLista"/>
        <w:tabs>
          <w:tab w:val="clear" w:pos="1615"/>
        </w:tabs>
        <w:spacing w:after="0" w:line="360" w:lineRule="auto"/>
        <w:ind w:left="0" w:right="-149"/>
        <w:jc w:val="both"/>
        <w:rPr>
          <w:rFonts w:asciiTheme="majorHAnsi" w:hAnsiTheme="majorHAnsi" w:cstheme="majorHAnsi"/>
          <w:b/>
          <w:color w:val="4875BD" w:themeColor="accent1"/>
          <w:sz w:val="44"/>
          <w:szCs w:val="36"/>
        </w:rPr>
      </w:pPr>
      <w:bookmarkStart w:id="3" w:name="_Toc101884583"/>
      <w:bookmarkStart w:id="4" w:name="_Toc22826312"/>
      <w:r w:rsidRPr="00EA16B0">
        <w:rPr>
          <w:rFonts w:asciiTheme="majorHAnsi" w:hAnsiTheme="majorHAnsi" w:cstheme="majorHAnsi"/>
          <w:b/>
          <w:color w:val="4875BD" w:themeColor="accent1"/>
          <w:sz w:val="44"/>
          <w:szCs w:val="36"/>
        </w:rPr>
        <w:lastRenderedPageBreak/>
        <w:t>APRESENTAÇÃO</w:t>
      </w:r>
    </w:p>
    <w:p w14:paraId="6F33DA91" w14:textId="77777777" w:rsidR="00D3608B" w:rsidRPr="00EA16B0" w:rsidRDefault="00D3608B" w:rsidP="00D3608B">
      <w:pPr>
        <w:spacing w:line="360" w:lineRule="auto"/>
        <w:ind w:firstLine="709"/>
        <w:jc w:val="both"/>
        <w:rPr>
          <w:rFonts w:asciiTheme="majorHAnsi" w:hAnsiTheme="majorHAnsi" w:cstheme="majorHAnsi"/>
          <w:sz w:val="24"/>
          <w:szCs w:val="24"/>
        </w:rPr>
      </w:pPr>
    </w:p>
    <w:p w14:paraId="4D09F781" w14:textId="51742171"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A educação, assim como a saúde, a alimentação, o trabalho, a moradia, o transporte, o lazer, a segurança, a previdência social, a proteção à maternidade e à infância e a assistência aos desamparados são classificados no Art. 6.o da Constituição de 1988 como um Direito Social.</w:t>
      </w:r>
    </w:p>
    <w:p w14:paraId="1268F0F9"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A Constituição Federal também determina (Art. 23) que é uma competência comum da União, dos Estados, do Distrito Federal e dos Municípios, proporcionar os meios de acesso à cultura, à educação, à ciência, à tecnologia, à pesquisa e à inovação, legislando concorrentemente (Art. 24) para que isso ocorra. </w:t>
      </w:r>
    </w:p>
    <w:p w14:paraId="5EF14384"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É nessa perspectiva que se justifica a recente criação da Universidade do Distrito Federal Professor Jorge Amaury Maia Nunes (</w:t>
      </w:r>
      <w:proofErr w:type="spellStart"/>
      <w:r w:rsidRPr="00EA16B0">
        <w:rPr>
          <w:rFonts w:asciiTheme="majorHAnsi" w:hAnsiTheme="majorHAnsi" w:cstheme="majorHAnsi"/>
          <w:sz w:val="24"/>
          <w:szCs w:val="24"/>
        </w:rPr>
        <w:t>UnDF</w:t>
      </w:r>
      <w:proofErr w:type="spellEnd"/>
      <w:r w:rsidRPr="00EA16B0">
        <w:rPr>
          <w:rFonts w:asciiTheme="majorHAnsi" w:hAnsiTheme="majorHAnsi" w:cstheme="majorHAnsi"/>
          <w:sz w:val="24"/>
          <w:szCs w:val="24"/>
        </w:rPr>
        <w:t>) e ganha total relevância realizar proposições para o estabelecimento de políticas e de ações que garantam o cumprimento dessas determinações constitucionais, especialmente por se tratar de instituição criada e que será mantida pelo poder público.</w:t>
      </w:r>
    </w:p>
    <w:p w14:paraId="68B80E98"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Assim, o presente trabalho aborda os principais conceitos ligados à Educação Superior, a partir de sua definição, objetivos e abrangência, detalhando a forma como está estruturada, tipos de cursos e programas, organização pedagógica e curricular, planejamento e avaliação, sempre relacionando essas ações com as políticas de Estado existentes e o aparato legal que lhes dá o devido suporte e viabilização.</w:t>
      </w:r>
    </w:p>
    <w:p w14:paraId="79F4BA62" w14:textId="7814CFC8"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O trabalho contém um capítulo introdutório, seguido das Diretrizes Gerais da Educação Superior e sua importância para o desenvolvimento social, científico e tecnológico do país, com as implicações decorrentes no que diz respeito ao ingresso, percursos formativos, desenvolvimento e inserção no mundo do trabalho. Além disso, estabelece diretrizes para o funcionamento e gestão do ensino na instituição e analisa algumas ações que podem contribuir para que o processo se dê de maneira a consolidar a </w:t>
      </w:r>
      <w:proofErr w:type="spellStart"/>
      <w:r w:rsidRPr="00EA16B0">
        <w:rPr>
          <w:rFonts w:asciiTheme="majorHAnsi" w:hAnsiTheme="majorHAnsi" w:cstheme="majorHAnsi"/>
          <w:sz w:val="24"/>
          <w:szCs w:val="24"/>
        </w:rPr>
        <w:t>UnDF</w:t>
      </w:r>
      <w:proofErr w:type="spellEnd"/>
      <w:r w:rsidRPr="00EA16B0">
        <w:rPr>
          <w:rFonts w:asciiTheme="majorHAnsi" w:hAnsiTheme="majorHAnsi" w:cstheme="majorHAnsi"/>
          <w:sz w:val="24"/>
          <w:szCs w:val="24"/>
        </w:rPr>
        <w:t xml:space="preserve"> como uma referência de qualidade na oferta de uma educação superior inovadora, inclusiva e comprometida com o desenvolvimento de uma cultura voltada para a sustentabilidade, a paz e a responsabilidade social.</w:t>
      </w:r>
    </w:p>
    <w:p w14:paraId="3A74C187" w14:textId="77777777" w:rsidR="00D3608B" w:rsidRPr="00EA16B0" w:rsidRDefault="00D3608B">
      <w:pPr>
        <w:tabs>
          <w:tab w:val="clear" w:pos="1615"/>
        </w:tabs>
        <w:spacing w:line="259" w:lineRule="auto"/>
        <w:rPr>
          <w:rFonts w:asciiTheme="majorHAnsi" w:hAnsiTheme="majorHAnsi" w:cstheme="majorHAnsi"/>
          <w:b/>
          <w:color w:val="4875BD"/>
          <w:sz w:val="44"/>
          <w:szCs w:val="44"/>
        </w:rPr>
      </w:pPr>
      <w:r w:rsidRPr="00EA16B0">
        <w:rPr>
          <w:rFonts w:asciiTheme="majorHAnsi" w:hAnsiTheme="majorHAnsi" w:cstheme="majorHAnsi"/>
          <w:color w:val="4875BD"/>
        </w:rPr>
        <w:br w:type="page"/>
      </w:r>
    </w:p>
    <w:p w14:paraId="3F542DC0" w14:textId="6222C9C4" w:rsidR="004D6417" w:rsidRPr="00EA16B0" w:rsidRDefault="00D3608B" w:rsidP="003A7871">
      <w:pPr>
        <w:pStyle w:val="Ttulo1"/>
        <w:numPr>
          <w:ilvl w:val="0"/>
          <w:numId w:val="1"/>
        </w:numPr>
        <w:tabs>
          <w:tab w:val="clear" w:pos="1615"/>
        </w:tabs>
        <w:spacing w:before="0" w:after="0"/>
        <w:ind w:left="432" w:hanging="432"/>
        <w:rPr>
          <w:rFonts w:asciiTheme="majorHAnsi" w:hAnsiTheme="majorHAnsi" w:cstheme="majorHAnsi"/>
          <w:color w:val="4875BD"/>
        </w:rPr>
      </w:pPr>
      <w:r w:rsidRPr="00EA16B0">
        <w:rPr>
          <w:rFonts w:asciiTheme="majorHAnsi" w:hAnsiTheme="majorHAnsi" w:cstheme="majorHAnsi"/>
          <w:color w:val="4875BD"/>
        </w:rPr>
        <w:lastRenderedPageBreak/>
        <w:t>CONSIDERAÇÕES INICIAIS</w:t>
      </w:r>
      <w:bookmarkEnd w:id="3"/>
    </w:p>
    <w:p w14:paraId="019FE8EC" w14:textId="77777777" w:rsidR="004D6417" w:rsidRPr="00EA16B0" w:rsidRDefault="004D6417" w:rsidP="004D6417">
      <w:pPr>
        <w:spacing w:line="360" w:lineRule="auto"/>
        <w:ind w:firstLine="576"/>
        <w:jc w:val="both"/>
        <w:rPr>
          <w:rFonts w:asciiTheme="majorHAnsi" w:hAnsiTheme="majorHAnsi" w:cstheme="majorHAnsi"/>
          <w:color w:val="181818" w:themeColor="accent6"/>
        </w:rPr>
      </w:pPr>
    </w:p>
    <w:p w14:paraId="615BED49"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Fazer a proposição de políticas e de ações de ensino para os cursos de graduação e de pós-graduação, presencial e a distância, de uma universidade pública distrital em implantação requer, inicialmente, o estabelecimento da abrangência e do significado de cada palavra utilizada para expressar o que se pretende, já que elas carregam consigo significados tácitos e explícitos nem sempre condizentes com o que está formalmente estabelecido na estrutura e funcionamento do ensino formal do país. </w:t>
      </w:r>
    </w:p>
    <w:p w14:paraId="1EAAFE56"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Como um Direito Social garantido pela Constituição, a educação é tratada especificamente na Seção I do Capítulo III de nossa “Carta Magna” que também engloba a cultura e o desporto. Os 11 artigos sobre Educação iniciam tratando esse direito como uma obrigação do Estado e da família, “visando ao pleno desenvolvimento da pessoa, seu preparo para o exercício da cidadania e sua qualificação para o trabalho”, Art. 205 (BRASIL, 1988).</w:t>
      </w:r>
    </w:p>
    <w:p w14:paraId="20EBE38A" w14:textId="2467C6E6"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No Art. 206 são elencados os princípios que norteiam o ensino, destacando-se:</w:t>
      </w:r>
    </w:p>
    <w:p w14:paraId="3C463E1F" w14:textId="77777777" w:rsidR="00D3608B" w:rsidRPr="00EA16B0" w:rsidRDefault="00D3608B" w:rsidP="00D3608B">
      <w:pPr>
        <w:spacing w:line="360" w:lineRule="auto"/>
        <w:ind w:firstLine="709"/>
        <w:jc w:val="both"/>
        <w:rPr>
          <w:rFonts w:asciiTheme="majorHAnsi" w:hAnsiTheme="majorHAnsi" w:cstheme="majorHAnsi"/>
          <w:sz w:val="24"/>
          <w:szCs w:val="24"/>
        </w:rPr>
      </w:pPr>
    </w:p>
    <w:p w14:paraId="1484E4C0" w14:textId="77777777" w:rsidR="00D3608B" w:rsidRPr="00EA16B0" w:rsidRDefault="00D3608B" w:rsidP="00D3608B">
      <w:pPr>
        <w:pStyle w:val="NormalWeb"/>
        <w:spacing w:before="0" w:beforeAutospacing="0" w:after="60" w:afterAutospacing="0"/>
        <w:ind w:left="2268" w:right="849"/>
        <w:jc w:val="both"/>
        <w:rPr>
          <w:rFonts w:asciiTheme="majorHAnsi" w:hAnsiTheme="majorHAnsi" w:cstheme="majorHAnsi"/>
          <w:color w:val="000000"/>
          <w:sz w:val="20"/>
          <w:szCs w:val="20"/>
        </w:rPr>
      </w:pPr>
      <w:bookmarkStart w:id="5" w:name="art206i"/>
      <w:bookmarkEnd w:id="5"/>
      <w:r w:rsidRPr="00EA16B0">
        <w:rPr>
          <w:rFonts w:asciiTheme="majorHAnsi" w:hAnsiTheme="majorHAnsi" w:cstheme="majorHAnsi"/>
          <w:color w:val="000000"/>
          <w:sz w:val="20"/>
          <w:szCs w:val="20"/>
        </w:rPr>
        <w:t xml:space="preserve">I – </w:t>
      </w:r>
      <w:proofErr w:type="gramStart"/>
      <w:r w:rsidRPr="00EA16B0">
        <w:rPr>
          <w:rFonts w:asciiTheme="majorHAnsi" w:hAnsiTheme="majorHAnsi" w:cstheme="majorHAnsi"/>
          <w:b/>
          <w:color w:val="000000"/>
          <w:sz w:val="20"/>
          <w:szCs w:val="20"/>
        </w:rPr>
        <w:t>igualdade</w:t>
      </w:r>
      <w:proofErr w:type="gramEnd"/>
      <w:r w:rsidRPr="00EA16B0">
        <w:rPr>
          <w:rFonts w:asciiTheme="majorHAnsi" w:hAnsiTheme="majorHAnsi" w:cstheme="majorHAnsi"/>
          <w:b/>
          <w:color w:val="000000"/>
          <w:sz w:val="20"/>
          <w:szCs w:val="20"/>
        </w:rPr>
        <w:t xml:space="preserve"> de condições para o acesso e permanência</w:t>
      </w:r>
      <w:r w:rsidRPr="00EA16B0">
        <w:rPr>
          <w:rFonts w:asciiTheme="majorHAnsi" w:hAnsiTheme="majorHAnsi" w:cstheme="majorHAnsi"/>
          <w:color w:val="000000"/>
          <w:sz w:val="20"/>
          <w:szCs w:val="20"/>
        </w:rPr>
        <w:t xml:space="preserve"> na escola;</w:t>
      </w:r>
    </w:p>
    <w:p w14:paraId="49485565" w14:textId="77777777" w:rsidR="00D3608B" w:rsidRPr="00EA16B0" w:rsidRDefault="00D3608B" w:rsidP="00D3608B">
      <w:pPr>
        <w:pStyle w:val="NormalWeb"/>
        <w:spacing w:before="0" w:beforeAutospacing="0" w:after="60" w:afterAutospacing="0"/>
        <w:ind w:left="2268" w:right="849"/>
        <w:jc w:val="both"/>
        <w:rPr>
          <w:rFonts w:asciiTheme="majorHAnsi" w:hAnsiTheme="majorHAnsi" w:cstheme="majorHAnsi"/>
          <w:color w:val="000000"/>
          <w:sz w:val="20"/>
          <w:szCs w:val="20"/>
        </w:rPr>
      </w:pPr>
      <w:bookmarkStart w:id="6" w:name="art206ii"/>
      <w:bookmarkEnd w:id="6"/>
      <w:r w:rsidRPr="00EA16B0">
        <w:rPr>
          <w:rFonts w:asciiTheme="majorHAnsi" w:hAnsiTheme="majorHAnsi" w:cstheme="majorHAnsi"/>
          <w:color w:val="000000"/>
          <w:sz w:val="20"/>
          <w:szCs w:val="20"/>
        </w:rPr>
        <w:t xml:space="preserve">II – </w:t>
      </w:r>
      <w:proofErr w:type="gramStart"/>
      <w:r w:rsidRPr="00EA16B0">
        <w:rPr>
          <w:rFonts w:asciiTheme="majorHAnsi" w:hAnsiTheme="majorHAnsi" w:cstheme="majorHAnsi"/>
          <w:b/>
          <w:color w:val="000000"/>
          <w:sz w:val="20"/>
          <w:szCs w:val="20"/>
        </w:rPr>
        <w:t>liberdade</w:t>
      </w:r>
      <w:proofErr w:type="gramEnd"/>
      <w:r w:rsidRPr="00EA16B0">
        <w:rPr>
          <w:rFonts w:asciiTheme="majorHAnsi" w:hAnsiTheme="majorHAnsi" w:cstheme="majorHAnsi"/>
          <w:b/>
          <w:color w:val="000000"/>
          <w:sz w:val="20"/>
          <w:szCs w:val="20"/>
        </w:rPr>
        <w:t xml:space="preserve"> de aprender, ensinar, pesquisar e divulgar</w:t>
      </w:r>
      <w:r w:rsidRPr="00EA16B0">
        <w:rPr>
          <w:rFonts w:asciiTheme="majorHAnsi" w:hAnsiTheme="majorHAnsi" w:cstheme="majorHAnsi"/>
          <w:color w:val="000000"/>
          <w:sz w:val="20"/>
          <w:szCs w:val="20"/>
        </w:rPr>
        <w:t xml:space="preserve"> o pensamento, a arte e o saber;</w:t>
      </w:r>
    </w:p>
    <w:p w14:paraId="7700CDA5" w14:textId="77777777" w:rsidR="00D3608B" w:rsidRPr="00EA16B0" w:rsidRDefault="00D3608B" w:rsidP="00D3608B">
      <w:pPr>
        <w:pStyle w:val="NormalWeb"/>
        <w:spacing w:before="0" w:beforeAutospacing="0" w:after="60" w:afterAutospacing="0"/>
        <w:ind w:left="2268" w:right="849"/>
        <w:jc w:val="both"/>
        <w:rPr>
          <w:rFonts w:asciiTheme="majorHAnsi" w:hAnsiTheme="majorHAnsi" w:cstheme="majorHAnsi"/>
          <w:color w:val="000000"/>
          <w:sz w:val="20"/>
          <w:szCs w:val="20"/>
        </w:rPr>
      </w:pPr>
      <w:bookmarkStart w:id="7" w:name="art206iii"/>
      <w:bookmarkEnd w:id="7"/>
      <w:r w:rsidRPr="00EA16B0">
        <w:rPr>
          <w:rFonts w:asciiTheme="majorHAnsi" w:hAnsiTheme="majorHAnsi" w:cstheme="majorHAnsi"/>
          <w:color w:val="000000"/>
          <w:sz w:val="20"/>
          <w:szCs w:val="20"/>
        </w:rPr>
        <w:t xml:space="preserve">III – </w:t>
      </w:r>
      <w:r w:rsidRPr="00EA16B0">
        <w:rPr>
          <w:rFonts w:asciiTheme="majorHAnsi" w:hAnsiTheme="majorHAnsi" w:cstheme="majorHAnsi"/>
          <w:b/>
          <w:color w:val="000000"/>
          <w:sz w:val="20"/>
          <w:szCs w:val="20"/>
        </w:rPr>
        <w:t>pluralismo de ideias</w:t>
      </w:r>
      <w:r w:rsidRPr="00EA16B0">
        <w:rPr>
          <w:rFonts w:asciiTheme="majorHAnsi" w:hAnsiTheme="majorHAnsi" w:cstheme="majorHAnsi"/>
          <w:color w:val="000000"/>
          <w:sz w:val="20"/>
          <w:szCs w:val="20"/>
        </w:rPr>
        <w:t xml:space="preserve"> e de concepções pedagógicas, e coexistência de instituições públicas e privadas de ensino;</w:t>
      </w:r>
    </w:p>
    <w:p w14:paraId="74DE177E" w14:textId="77777777" w:rsidR="00D3608B" w:rsidRPr="00EA16B0" w:rsidRDefault="00D3608B" w:rsidP="00D3608B">
      <w:pPr>
        <w:pStyle w:val="NormalWeb"/>
        <w:spacing w:before="0" w:beforeAutospacing="0" w:after="60" w:afterAutospacing="0"/>
        <w:ind w:left="2268" w:right="849"/>
        <w:jc w:val="both"/>
        <w:rPr>
          <w:rFonts w:asciiTheme="majorHAnsi" w:hAnsiTheme="majorHAnsi" w:cstheme="majorHAnsi"/>
          <w:color w:val="000000"/>
          <w:sz w:val="20"/>
          <w:szCs w:val="20"/>
        </w:rPr>
      </w:pPr>
      <w:r w:rsidRPr="00EA16B0">
        <w:rPr>
          <w:rFonts w:asciiTheme="majorHAnsi" w:hAnsiTheme="majorHAnsi" w:cstheme="majorHAnsi"/>
          <w:b/>
          <w:color w:val="000000"/>
          <w:sz w:val="20"/>
          <w:szCs w:val="20"/>
          <w:shd w:val="clear" w:color="auto" w:fill="FFFFFF"/>
        </w:rPr>
        <w:t xml:space="preserve">IV – </w:t>
      </w:r>
      <w:proofErr w:type="gramStart"/>
      <w:r w:rsidRPr="00EA16B0">
        <w:rPr>
          <w:rFonts w:asciiTheme="majorHAnsi" w:hAnsiTheme="majorHAnsi" w:cstheme="majorHAnsi"/>
          <w:b/>
          <w:color w:val="000000"/>
          <w:sz w:val="20"/>
          <w:szCs w:val="20"/>
          <w:shd w:val="clear" w:color="auto" w:fill="FFFFFF"/>
        </w:rPr>
        <w:t>gratuidade</w:t>
      </w:r>
      <w:proofErr w:type="gramEnd"/>
      <w:r w:rsidRPr="00EA16B0">
        <w:rPr>
          <w:rFonts w:asciiTheme="majorHAnsi" w:hAnsiTheme="majorHAnsi" w:cstheme="majorHAnsi"/>
          <w:b/>
          <w:color w:val="000000"/>
          <w:sz w:val="20"/>
          <w:szCs w:val="20"/>
          <w:shd w:val="clear" w:color="auto" w:fill="FFFFFF"/>
        </w:rPr>
        <w:t xml:space="preserve"> do ensino público </w:t>
      </w:r>
      <w:r w:rsidRPr="00EA16B0">
        <w:rPr>
          <w:rFonts w:asciiTheme="majorHAnsi" w:hAnsiTheme="majorHAnsi" w:cstheme="majorHAnsi"/>
          <w:color w:val="000000"/>
          <w:sz w:val="20"/>
          <w:szCs w:val="20"/>
          <w:shd w:val="clear" w:color="auto" w:fill="FFFFFF"/>
        </w:rPr>
        <w:t>em estabelecimentos oficiais;</w:t>
      </w:r>
    </w:p>
    <w:p w14:paraId="073833FD" w14:textId="77777777" w:rsidR="00D3608B" w:rsidRPr="00EA16B0" w:rsidRDefault="00D3608B" w:rsidP="00D3608B">
      <w:pPr>
        <w:pStyle w:val="NormalWeb"/>
        <w:spacing w:before="0" w:beforeAutospacing="0" w:after="60" w:afterAutospacing="0"/>
        <w:ind w:left="2268" w:right="849"/>
        <w:jc w:val="both"/>
        <w:rPr>
          <w:rFonts w:asciiTheme="majorHAnsi" w:hAnsiTheme="majorHAnsi" w:cstheme="majorHAnsi"/>
          <w:color w:val="000000"/>
          <w:sz w:val="20"/>
          <w:szCs w:val="20"/>
        </w:rPr>
      </w:pPr>
      <w:bookmarkStart w:id="8" w:name="art206iv"/>
      <w:bookmarkEnd w:id="8"/>
      <w:r w:rsidRPr="00EA16B0">
        <w:rPr>
          <w:rFonts w:asciiTheme="majorHAnsi" w:hAnsiTheme="majorHAnsi" w:cstheme="majorHAnsi"/>
          <w:color w:val="000000"/>
          <w:sz w:val="20"/>
          <w:szCs w:val="20"/>
        </w:rPr>
        <w:t>(...)</w:t>
      </w:r>
    </w:p>
    <w:p w14:paraId="122F2417" w14:textId="77777777" w:rsidR="00D3608B" w:rsidRPr="00EA16B0" w:rsidRDefault="00D3608B" w:rsidP="00D3608B">
      <w:pPr>
        <w:pStyle w:val="NormalWeb"/>
        <w:spacing w:before="0" w:beforeAutospacing="0" w:after="60" w:afterAutospacing="0"/>
        <w:ind w:left="2268" w:right="849"/>
        <w:jc w:val="both"/>
        <w:rPr>
          <w:rFonts w:asciiTheme="majorHAnsi" w:hAnsiTheme="majorHAnsi" w:cstheme="majorHAnsi"/>
          <w:color w:val="000000"/>
          <w:sz w:val="20"/>
          <w:szCs w:val="20"/>
        </w:rPr>
      </w:pPr>
      <w:bookmarkStart w:id="9" w:name="art206vi"/>
      <w:bookmarkEnd w:id="9"/>
      <w:r w:rsidRPr="00EA16B0">
        <w:rPr>
          <w:rFonts w:asciiTheme="majorHAnsi" w:hAnsiTheme="majorHAnsi" w:cstheme="majorHAnsi"/>
          <w:color w:val="000000"/>
          <w:sz w:val="20"/>
          <w:szCs w:val="20"/>
        </w:rPr>
        <w:t xml:space="preserve">VI – </w:t>
      </w:r>
      <w:proofErr w:type="gramStart"/>
      <w:r w:rsidRPr="00EA16B0">
        <w:rPr>
          <w:rFonts w:asciiTheme="majorHAnsi" w:hAnsiTheme="majorHAnsi" w:cstheme="majorHAnsi"/>
          <w:b/>
          <w:color w:val="000000"/>
          <w:sz w:val="20"/>
          <w:szCs w:val="20"/>
        </w:rPr>
        <w:t>gestão</w:t>
      </w:r>
      <w:proofErr w:type="gramEnd"/>
      <w:r w:rsidRPr="00EA16B0">
        <w:rPr>
          <w:rFonts w:asciiTheme="majorHAnsi" w:hAnsiTheme="majorHAnsi" w:cstheme="majorHAnsi"/>
          <w:b/>
          <w:color w:val="000000"/>
          <w:sz w:val="20"/>
          <w:szCs w:val="20"/>
        </w:rPr>
        <w:t xml:space="preserve"> democrática do ensino público</w:t>
      </w:r>
      <w:r w:rsidRPr="00EA16B0">
        <w:rPr>
          <w:rFonts w:asciiTheme="majorHAnsi" w:hAnsiTheme="majorHAnsi" w:cstheme="majorHAnsi"/>
          <w:color w:val="000000"/>
          <w:sz w:val="20"/>
          <w:szCs w:val="20"/>
        </w:rPr>
        <w:t>, na forma da lei;</w:t>
      </w:r>
    </w:p>
    <w:p w14:paraId="35883C28" w14:textId="77777777" w:rsidR="00D3608B" w:rsidRPr="00EA16B0" w:rsidRDefault="00D3608B" w:rsidP="00D3608B">
      <w:pPr>
        <w:pStyle w:val="NormalWeb"/>
        <w:spacing w:before="0" w:beforeAutospacing="0" w:after="60" w:afterAutospacing="0"/>
        <w:ind w:left="2268" w:right="849"/>
        <w:jc w:val="both"/>
        <w:rPr>
          <w:rFonts w:asciiTheme="majorHAnsi" w:hAnsiTheme="majorHAnsi" w:cstheme="majorHAnsi"/>
          <w:color w:val="000000"/>
          <w:sz w:val="20"/>
          <w:szCs w:val="20"/>
        </w:rPr>
      </w:pPr>
      <w:bookmarkStart w:id="10" w:name="art206vii"/>
      <w:bookmarkEnd w:id="10"/>
      <w:r w:rsidRPr="00EA16B0">
        <w:rPr>
          <w:rFonts w:asciiTheme="majorHAnsi" w:hAnsiTheme="majorHAnsi" w:cstheme="majorHAnsi"/>
          <w:color w:val="000000"/>
          <w:sz w:val="20"/>
          <w:szCs w:val="20"/>
        </w:rPr>
        <w:t xml:space="preserve">VII – garantia de </w:t>
      </w:r>
      <w:r w:rsidRPr="00EA16B0">
        <w:rPr>
          <w:rFonts w:asciiTheme="majorHAnsi" w:hAnsiTheme="majorHAnsi" w:cstheme="majorHAnsi"/>
          <w:b/>
          <w:color w:val="000000"/>
          <w:sz w:val="20"/>
          <w:szCs w:val="20"/>
        </w:rPr>
        <w:t>padrão de qualidade</w:t>
      </w:r>
      <w:r w:rsidRPr="00EA16B0">
        <w:rPr>
          <w:rFonts w:asciiTheme="majorHAnsi" w:hAnsiTheme="majorHAnsi" w:cstheme="majorHAnsi"/>
          <w:color w:val="000000"/>
          <w:sz w:val="20"/>
          <w:szCs w:val="20"/>
        </w:rPr>
        <w:t>.</w:t>
      </w:r>
    </w:p>
    <w:p w14:paraId="46788E0B" w14:textId="77777777" w:rsidR="00D3608B" w:rsidRPr="00EA16B0" w:rsidRDefault="00D3608B" w:rsidP="00D3608B">
      <w:pPr>
        <w:spacing w:after="60"/>
        <w:ind w:left="2268" w:right="849"/>
        <w:jc w:val="both"/>
        <w:rPr>
          <w:rFonts w:asciiTheme="majorHAnsi" w:hAnsiTheme="majorHAnsi" w:cstheme="majorHAnsi"/>
          <w:color w:val="000000"/>
          <w:sz w:val="20"/>
          <w:szCs w:val="20"/>
        </w:rPr>
      </w:pPr>
      <w:bookmarkStart w:id="11" w:name="art206viii"/>
      <w:bookmarkStart w:id="12" w:name="cfart206viii"/>
      <w:bookmarkStart w:id="13" w:name="art206ix"/>
      <w:bookmarkEnd w:id="11"/>
      <w:bookmarkEnd w:id="12"/>
      <w:bookmarkEnd w:id="13"/>
      <w:r w:rsidRPr="00EA16B0">
        <w:rPr>
          <w:rFonts w:asciiTheme="majorHAnsi" w:hAnsiTheme="majorHAnsi" w:cstheme="majorHAnsi"/>
          <w:color w:val="000000"/>
          <w:sz w:val="20"/>
          <w:szCs w:val="20"/>
        </w:rPr>
        <w:t>(...)</w:t>
      </w:r>
    </w:p>
    <w:p w14:paraId="19EE08BA" w14:textId="29410D21" w:rsidR="00D3608B" w:rsidRPr="00EA16B0" w:rsidRDefault="00D3608B" w:rsidP="00D3608B">
      <w:pPr>
        <w:ind w:left="2268" w:right="849"/>
        <w:jc w:val="both"/>
        <w:rPr>
          <w:rFonts w:asciiTheme="majorHAnsi" w:hAnsiTheme="majorHAnsi" w:cstheme="majorHAnsi"/>
          <w:color w:val="000000"/>
          <w:spacing w:val="-2"/>
          <w:sz w:val="20"/>
          <w:szCs w:val="20"/>
        </w:rPr>
      </w:pPr>
      <w:r w:rsidRPr="00EA16B0">
        <w:rPr>
          <w:rFonts w:asciiTheme="majorHAnsi" w:hAnsiTheme="majorHAnsi" w:cstheme="majorHAnsi"/>
          <w:color w:val="000000"/>
          <w:spacing w:val="-2"/>
          <w:sz w:val="20"/>
          <w:szCs w:val="20"/>
        </w:rPr>
        <w:t xml:space="preserve">IX – </w:t>
      </w:r>
      <w:proofErr w:type="gramStart"/>
      <w:r w:rsidRPr="00EA16B0">
        <w:rPr>
          <w:rFonts w:asciiTheme="majorHAnsi" w:hAnsiTheme="majorHAnsi" w:cstheme="majorHAnsi"/>
          <w:color w:val="000000"/>
          <w:spacing w:val="-2"/>
          <w:sz w:val="20"/>
          <w:szCs w:val="20"/>
        </w:rPr>
        <w:t>garantia</w:t>
      </w:r>
      <w:proofErr w:type="gramEnd"/>
      <w:r w:rsidRPr="00EA16B0">
        <w:rPr>
          <w:rFonts w:asciiTheme="majorHAnsi" w:hAnsiTheme="majorHAnsi" w:cstheme="majorHAnsi"/>
          <w:color w:val="000000"/>
          <w:spacing w:val="-2"/>
          <w:sz w:val="20"/>
          <w:szCs w:val="20"/>
        </w:rPr>
        <w:t xml:space="preserve"> do </w:t>
      </w:r>
      <w:r w:rsidRPr="00EA16B0">
        <w:rPr>
          <w:rFonts w:asciiTheme="majorHAnsi" w:hAnsiTheme="majorHAnsi" w:cstheme="majorHAnsi"/>
          <w:b/>
          <w:color w:val="000000"/>
          <w:spacing w:val="-2"/>
          <w:sz w:val="20"/>
          <w:szCs w:val="20"/>
        </w:rPr>
        <w:t>direito à educação e à aprendizagem ao longo da vida</w:t>
      </w:r>
      <w:r w:rsidRPr="00EA16B0">
        <w:rPr>
          <w:rFonts w:asciiTheme="majorHAnsi" w:hAnsiTheme="majorHAnsi" w:cstheme="majorHAnsi"/>
          <w:color w:val="000000"/>
          <w:spacing w:val="-2"/>
          <w:sz w:val="20"/>
          <w:szCs w:val="20"/>
        </w:rPr>
        <w:t>.</w:t>
      </w:r>
      <w:bookmarkStart w:id="14" w:name="art206p"/>
      <w:bookmarkEnd w:id="14"/>
      <w:r w:rsidRPr="00EA16B0">
        <w:rPr>
          <w:rFonts w:asciiTheme="majorHAnsi" w:hAnsiTheme="majorHAnsi" w:cstheme="majorHAnsi"/>
          <w:color w:val="000000"/>
          <w:spacing w:val="-2"/>
          <w:sz w:val="20"/>
          <w:szCs w:val="20"/>
        </w:rPr>
        <w:t xml:space="preserve"> (</w:t>
      </w:r>
      <w:proofErr w:type="spellStart"/>
      <w:r w:rsidRPr="00EA16B0">
        <w:rPr>
          <w:rFonts w:asciiTheme="majorHAnsi" w:hAnsiTheme="majorHAnsi" w:cstheme="majorHAnsi"/>
          <w:color w:val="000000"/>
          <w:spacing w:val="-2"/>
          <w:sz w:val="20"/>
          <w:szCs w:val="20"/>
        </w:rPr>
        <w:t>gg.nn</w:t>
      </w:r>
      <w:proofErr w:type="spellEnd"/>
      <w:r w:rsidRPr="00EA16B0">
        <w:rPr>
          <w:rFonts w:asciiTheme="majorHAnsi" w:hAnsiTheme="majorHAnsi" w:cstheme="majorHAnsi"/>
          <w:color w:val="000000"/>
          <w:spacing w:val="-2"/>
          <w:sz w:val="20"/>
          <w:szCs w:val="20"/>
        </w:rPr>
        <w:t>., BRASIL, 1988).</w:t>
      </w:r>
    </w:p>
    <w:p w14:paraId="3FA165F5" w14:textId="77777777" w:rsidR="00D3608B" w:rsidRPr="00EA16B0" w:rsidRDefault="00D3608B" w:rsidP="00D3608B">
      <w:pPr>
        <w:ind w:left="2268" w:right="849"/>
        <w:jc w:val="both"/>
        <w:rPr>
          <w:rFonts w:asciiTheme="majorHAnsi" w:hAnsiTheme="majorHAnsi" w:cstheme="majorHAnsi"/>
          <w:color w:val="000000"/>
          <w:spacing w:val="-2"/>
          <w:sz w:val="20"/>
          <w:szCs w:val="20"/>
        </w:rPr>
      </w:pPr>
    </w:p>
    <w:p w14:paraId="5BD17B0B"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Talvez o artigo mais conhecido e comentado sobre a estrutura das universidades seja o Art. 207 (BRASIL, 1988): </w:t>
      </w:r>
      <w:bookmarkStart w:id="15" w:name="art207"/>
      <w:bookmarkEnd w:id="15"/>
      <w:r w:rsidRPr="00EA16B0">
        <w:rPr>
          <w:rFonts w:asciiTheme="majorHAnsi" w:hAnsiTheme="majorHAnsi" w:cstheme="majorHAnsi"/>
          <w:sz w:val="24"/>
          <w:szCs w:val="24"/>
        </w:rPr>
        <w:t xml:space="preserve">“As universidades gozam de autonomia didático-científica, administrativa e de gestão financeira e patrimonial, e obedecerão ao princípio de indissociabilidade entre ensino, pesquisa e extensão”, o que tem levado as instituições universitárias a preverem, em seus organogramas, “instâncias” específicas para cuidar de cada uma dessas áreas, o que, em muitos </w:t>
      </w:r>
      <w:r w:rsidRPr="00EA16B0">
        <w:rPr>
          <w:rFonts w:asciiTheme="majorHAnsi" w:hAnsiTheme="majorHAnsi" w:cstheme="majorHAnsi"/>
          <w:sz w:val="24"/>
          <w:szCs w:val="24"/>
        </w:rPr>
        <w:lastRenderedPageBreak/>
        <w:t>casos, acaba provocando um efeito contrário à determinação, com uma dissociação e hierarquização dessas ações como se verá adiante.</w:t>
      </w:r>
    </w:p>
    <w:p w14:paraId="4F8FF060" w14:textId="7AF3EFD0"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Nenhum outro artigo trata especificamente da educação superior, mas cabe ressaltar que, apesar do dever do Estado para com a educação, a Constituição só garante gratuidade à educação básica obrigatória, a partir dos 4 anos de idade, definindo essa etapa do ensino como um “direito público subjetivo”, ou seja, o direito </w:t>
      </w:r>
      <w:proofErr w:type="gramStart"/>
      <w:r w:rsidRPr="00EA16B0">
        <w:rPr>
          <w:rFonts w:asciiTheme="majorHAnsi" w:hAnsiTheme="majorHAnsi" w:cstheme="majorHAnsi"/>
          <w:sz w:val="24"/>
          <w:szCs w:val="24"/>
        </w:rPr>
        <w:t>do</w:t>
      </w:r>
      <w:proofErr w:type="gramEnd"/>
      <w:r w:rsidRPr="00EA16B0">
        <w:rPr>
          <w:rFonts w:asciiTheme="majorHAnsi" w:hAnsiTheme="majorHAnsi" w:cstheme="majorHAnsi"/>
          <w:sz w:val="24"/>
          <w:szCs w:val="24"/>
        </w:rPr>
        <w:t xml:space="preserve"> cidadão exigir e até processar o Estado caso lhe seja negada a oferta dessa escolarização (DUARTE, 2004). O assunto também está tratado na Declaração dos Direitos Humanos da ONU, que, no 1.o item de seu Art. 26, estabelece que:</w:t>
      </w:r>
    </w:p>
    <w:p w14:paraId="1F1A054C" w14:textId="77777777" w:rsidR="00D3608B" w:rsidRPr="00EA16B0" w:rsidRDefault="00D3608B" w:rsidP="00D3608B">
      <w:pPr>
        <w:spacing w:after="0"/>
        <w:ind w:left="2268" w:right="851"/>
        <w:jc w:val="both"/>
        <w:rPr>
          <w:rFonts w:asciiTheme="majorHAnsi" w:hAnsiTheme="majorHAnsi" w:cstheme="majorHAnsi"/>
          <w:b/>
          <w:bCs/>
          <w:color w:val="333333"/>
          <w:szCs w:val="29"/>
          <w:shd w:val="clear" w:color="auto" w:fill="FFFFFF"/>
        </w:rPr>
      </w:pPr>
      <w:r w:rsidRPr="00EA16B0">
        <w:rPr>
          <w:rFonts w:asciiTheme="majorHAnsi" w:hAnsiTheme="majorHAnsi" w:cstheme="majorHAnsi"/>
          <w:b/>
          <w:bCs/>
          <w:color w:val="333333"/>
          <w:szCs w:val="29"/>
          <w:shd w:val="clear" w:color="auto" w:fill="FFFFFF"/>
        </w:rPr>
        <w:t>Artigo 26</w:t>
      </w:r>
    </w:p>
    <w:p w14:paraId="444A02D6" w14:textId="60056033" w:rsidR="00D3608B" w:rsidRPr="00EA16B0" w:rsidRDefault="00D3608B" w:rsidP="00D3608B">
      <w:pPr>
        <w:ind w:left="2268" w:right="849"/>
        <w:jc w:val="both"/>
        <w:rPr>
          <w:rFonts w:asciiTheme="majorHAnsi" w:hAnsiTheme="majorHAnsi" w:cstheme="majorHAnsi"/>
          <w:color w:val="333333"/>
          <w:szCs w:val="29"/>
          <w:shd w:val="clear" w:color="auto" w:fill="FFFFFF"/>
        </w:rPr>
      </w:pPr>
      <w:r w:rsidRPr="00EA16B0">
        <w:rPr>
          <w:rFonts w:asciiTheme="majorHAnsi" w:hAnsiTheme="majorHAnsi" w:cstheme="majorHAnsi"/>
          <w:color w:val="333333"/>
          <w:szCs w:val="29"/>
          <w:shd w:val="clear" w:color="auto" w:fill="FFFFFF"/>
        </w:rPr>
        <w:t xml:space="preserve">1. Todo ser humano tem direito à instrução. A instrução será gratuita, pelo menos nos graus elementares e fundamentais. A instrução elementar será obrigatória. A instrução técnico-profissional será acessível a todos, bem como a instrução superior, </w:t>
      </w:r>
      <w:proofErr w:type="spellStart"/>
      <w:r w:rsidRPr="00EA16B0">
        <w:rPr>
          <w:rFonts w:asciiTheme="majorHAnsi" w:hAnsiTheme="majorHAnsi" w:cstheme="majorHAnsi"/>
          <w:color w:val="333333"/>
          <w:szCs w:val="29"/>
          <w:shd w:val="clear" w:color="auto" w:fill="FFFFFF"/>
        </w:rPr>
        <w:t>esta</w:t>
      </w:r>
      <w:proofErr w:type="spellEnd"/>
      <w:r w:rsidRPr="00EA16B0">
        <w:rPr>
          <w:rFonts w:asciiTheme="majorHAnsi" w:hAnsiTheme="majorHAnsi" w:cstheme="majorHAnsi"/>
          <w:color w:val="333333"/>
          <w:szCs w:val="29"/>
          <w:shd w:val="clear" w:color="auto" w:fill="FFFFFF"/>
        </w:rPr>
        <w:t xml:space="preserve"> baseada no mérito. (ONU, 1948)</w:t>
      </w:r>
    </w:p>
    <w:p w14:paraId="49486FC0" w14:textId="77777777" w:rsidR="00D3608B" w:rsidRPr="00EA16B0" w:rsidRDefault="00D3608B" w:rsidP="00D3608B">
      <w:pPr>
        <w:ind w:left="2268" w:right="849"/>
        <w:jc w:val="both"/>
        <w:rPr>
          <w:rFonts w:asciiTheme="majorHAnsi" w:hAnsiTheme="majorHAnsi" w:cstheme="majorHAnsi"/>
          <w:color w:val="000000"/>
          <w:sz w:val="16"/>
        </w:rPr>
      </w:pPr>
    </w:p>
    <w:p w14:paraId="665B977E"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A citada Declaração também estabelece uma orientação voltada para a compreensão, para a tolerância e para a paz (ONU, 1948). </w:t>
      </w:r>
    </w:p>
    <w:p w14:paraId="62CFAF1D" w14:textId="27301234"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A Constituição brasileira garante a organização, em regime de colaboração, dos sistemas de ensino ligados aos entes federados, atribuindo papel redistributivo e supletivo à União (Art. 211, § 1.o, BRASIL, 1988). Prevê a organização de instituições públicas e privadas, essas últimas com a supervisão do Estado, e estabelece formas para financiamento da educação a partir da arrecadação de impostos. Finalmente, em seu Art. 214, determina que haja aprovação em Lei de um Plano Nacional de Educação de duração decenal para definir diretrizes, objetivos, metas e estratégias para a manutenção e desenvolvimento do ensino em todos os seus níveis e que integre as ações dos poderes públicos das diferentes esferas federativas.</w:t>
      </w:r>
    </w:p>
    <w:p w14:paraId="7A371CBE" w14:textId="77777777" w:rsidR="00D3608B" w:rsidRPr="00EA16B0" w:rsidRDefault="00D3608B" w:rsidP="00D3608B">
      <w:pPr>
        <w:spacing w:line="360" w:lineRule="auto"/>
        <w:ind w:firstLine="709"/>
        <w:jc w:val="both"/>
        <w:rPr>
          <w:rFonts w:asciiTheme="majorHAnsi" w:hAnsiTheme="majorHAnsi" w:cstheme="majorHAnsi"/>
          <w:sz w:val="24"/>
          <w:szCs w:val="24"/>
        </w:rPr>
      </w:pPr>
    </w:p>
    <w:p w14:paraId="547DCC6B" w14:textId="74C016E4" w:rsidR="00D3608B" w:rsidRPr="00EA16B0" w:rsidRDefault="00D3608B" w:rsidP="003A7871">
      <w:pPr>
        <w:pStyle w:val="Ttulo2"/>
        <w:numPr>
          <w:ilvl w:val="1"/>
          <w:numId w:val="1"/>
        </w:numPr>
        <w:tabs>
          <w:tab w:val="clear" w:pos="1615"/>
        </w:tabs>
        <w:spacing w:before="0" w:after="0" w:line="360" w:lineRule="auto"/>
        <w:ind w:left="993" w:hanging="576"/>
        <w:rPr>
          <w:rFonts w:asciiTheme="majorHAnsi" w:hAnsiTheme="majorHAnsi" w:cstheme="majorHAnsi"/>
        </w:rPr>
      </w:pPr>
      <w:bookmarkStart w:id="16" w:name="_Toc102319360"/>
      <w:r w:rsidRPr="00EA16B0">
        <w:rPr>
          <w:rFonts w:asciiTheme="majorHAnsi" w:hAnsiTheme="majorHAnsi" w:cstheme="majorHAnsi"/>
        </w:rPr>
        <w:t>A EDUCAÇÃO SUPERIOR NA LEI N. 9.394/96</w:t>
      </w:r>
      <w:bookmarkEnd w:id="16"/>
    </w:p>
    <w:p w14:paraId="7917F963"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A Lei de Diretrizes e Bases da Educação Nacional (LDB) (BRASIL, 1996), em seu Art. 21, classifica a educação escolar em educação básica e educação superior. Essa última, regulamentada nos Art. 43 a 57, tem como requisito a conclusão da primeira e são listadas várias finalidades, dispostas em 8 incisos do Art. 43, destacando-se a formação de diplomados nas diferentes áreas do conhecimento, inclusive para o aprimoramento da educação básica, com estímulo à criação cultural </w:t>
      </w:r>
      <w:r w:rsidRPr="00EA16B0">
        <w:rPr>
          <w:rFonts w:asciiTheme="majorHAnsi" w:hAnsiTheme="majorHAnsi" w:cstheme="majorHAnsi"/>
          <w:sz w:val="24"/>
          <w:szCs w:val="24"/>
        </w:rPr>
        <w:lastRenderedPageBreak/>
        <w:t>e à pesquisa, promovendo a divulgação dos conhecimentos e a extensão, o conhecimento dos problemas do mundo e a interação com a sociedade, a quem a educação superior deve também prestar serviços especializados.</w:t>
      </w:r>
    </w:p>
    <w:p w14:paraId="27C746F9"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A LDB subdivide a educação superior em 4 tipos de cursos e programas, dos quais três podem ser realizados de forma independente e um de forma subsequente. A figura 1.1, baseada em esquema do Livro de </w:t>
      </w:r>
      <w:proofErr w:type="spellStart"/>
      <w:r w:rsidRPr="00EA16B0">
        <w:rPr>
          <w:rFonts w:asciiTheme="majorHAnsi" w:hAnsiTheme="majorHAnsi" w:cstheme="majorHAnsi"/>
          <w:sz w:val="24"/>
          <w:szCs w:val="24"/>
        </w:rPr>
        <w:t>Cortelazzo</w:t>
      </w:r>
      <w:proofErr w:type="spellEnd"/>
      <w:r w:rsidRPr="00EA16B0">
        <w:rPr>
          <w:rFonts w:asciiTheme="majorHAnsi" w:hAnsiTheme="majorHAnsi" w:cstheme="majorHAnsi"/>
          <w:sz w:val="24"/>
          <w:szCs w:val="24"/>
        </w:rPr>
        <w:t xml:space="preserve"> et al. (2018), assim mostra o que prevê a legislação:</w:t>
      </w:r>
    </w:p>
    <w:p w14:paraId="2B2A0717" w14:textId="77777777" w:rsidR="00D3608B" w:rsidRPr="00EA16B0" w:rsidRDefault="00D3608B" w:rsidP="00D3608B">
      <w:pPr>
        <w:rPr>
          <w:rFonts w:asciiTheme="majorHAnsi" w:hAnsiTheme="majorHAnsi" w:cstheme="majorHAnsi"/>
          <w:sz w:val="20"/>
        </w:rPr>
      </w:pPr>
    </w:p>
    <w:p w14:paraId="007E06A2" w14:textId="2F56ACA5" w:rsidR="00D3608B" w:rsidRPr="00EA16B0" w:rsidRDefault="00D3608B" w:rsidP="00D3608B">
      <w:pPr>
        <w:rPr>
          <w:rFonts w:asciiTheme="majorHAnsi" w:hAnsiTheme="majorHAnsi" w:cstheme="majorHAnsi"/>
        </w:rPr>
      </w:pPr>
      <w:r w:rsidRPr="00EA16B0">
        <w:rPr>
          <w:rFonts w:asciiTheme="majorHAnsi" w:hAnsiTheme="majorHAnsi" w:cstheme="majorHAnsi"/>
          <w:sz w:val="20"/>
        </w:rPr>
        <w:t>Figura 1.1. Esquema da estrutura da Educação Superior prevista na LDB</w:t>
      </w:r>
    </w:p>
    <w:p w14:paraId="7DD129F9" w14:textId="77777777" w:rsidR="00D3608B" w:rsidRPr="00EA16B0" w:rsidRDefault="00D3608B" w:rsidP="00D3608B">
      <w:pPr>
        <w:pStyle w:val="NormalWeb"/>
        <w:spacing w:before="0" w:beforeAutospacing="0" w:after="40" w:afterAutospacing="0"/>
        <w:jc w:val="center"/>
        <w:rPr>
          <w:rFonts w:asciiTheme="majorHAnsi" w:hAnsiTheme="majorHAnsi" w:cstheme="majorHAnsi"/>
          <w:color w:val="auto"/>
          <w:sz w:val="22"/>
        </w:rPr>
      </w:pPr>
      <w:r w:rsidRPr="00EA16B0">
        <w:rPr>
          <w:rFonts w:asciiTheme="majorHAnsi" w:hAnsiTheme="majorHAnsi" w:cstheme="majorHAnsi"/>
          <w:noProof/>
        </w:rPr>
        <w:drawing>
          <wp:inline distT="0" distB="0" distL="0" distR="0" wp14:anchorId="21E96607" wp14:editId="11FBDF98">
            <wp:extent cx="5394960" cy="4183380"/>
            <wp:effectExtent l="0" t="0" r="0" b="762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4960" cy="4183380"/>
                    </a:xfrm>
                    <a:prstGeom prst="rect">
                      <a:avLst/>
                    </a:prstGeom>
                    <a:noFill/>
                    <a:ln>
                      <a:noFill/>
                    </a:ln>
                  </pic:spPr>
                </pic:pic>
              </a:graphicData>
            </a:graphic>
          </wp:inline>
        </w:drawing>
      </w:r>
    </w:p>
    <w:p w14:paraId="5C442D58" w14:textId="77777777" w:rsidR="00D3608B" w:rsidRPr="00EA16B0" w:rsidRDefault="00D3608B" w:rsidP="00D3608B">
      <w:pPr>
        <w:pStyle w:val="NormalWeb"/>
        <w:spacing w:before="0" w:beforeAutospacing="0" w:after="160" w:afterAutospacing="0"/>
        <w:rPr>
          <w:rFonts w:asciiTheme="majorHAnsi" w:hAnsiTheme="majorHAnsi" w:cstheme="majorHAnsi"/>
          <w:color w:val="auto"/>
          <w:sz w:val="16"/>
        </w:rPr>
      </w:pPr>
      <w:r w:rsidRPr="00EA16B0">
        <w:rPr>
          <w:rFonts w:asciiTheme="majorHAnsi" w:hAnsiTheme="majorHAnsi" w:cstheme="majorHAnsi"/>
          <w:color w:val="auto"/>
          <w:sz w:val="16"/>
        </w:rPr>
        <w:t xml:space="preserve">Fonte: Figura 1.2 do Livro de </w:t>
      </w:r>
      <w:proofErr w:type="spellStart"/>
      <w:r w:rsidRPr="00EA16B0">
        <w:rPr>
          <w:rFonts w:asciiTheme="majorHAnsi" w:hAnsiTheme="majorHAnsi" w:cstheme="majorHAnsi"/>
          <w:color w:val="auto"/>
          <w:sz w:val="16"/>
        </w:rPr>
        <w:t>Cortelazzo</w:t>
      </w:r>
      <w:proofErr w:type="spellEnd"/>
      <w:r w:rsidRPr="00EA16B0">
        <w:rPr>
          <w:rFonts w:asciiTheme="majorHAnsi" w:hAnsiTheme="majorHAnsi" w:cstheme="majorHAnsi"/>
          <w:color w:val="auto"/>
          <w:sz w:val="16"/>
        </w:rPr>
        <w:t xml:space="preserve"> et al., 2018, p.8.</w:t>
      </w:r>
    </w:p>
    <w:p w14:paraId="621C4A58" w14:textId="77777777" w:rsidR="00D3608B" w:rsidRPr="00EA16B0" w:rsidRDefault="00D3608B" w:rsidP="00D3608B">
      <w:pPr>
        <w:spacing w:line="360" w:lineRule="auto"/>
        <w:ind w:firstLine="709"/>
        <w:jc w:val="both"/>
        <w:rPr>
          <w:rFonts w:asciiTheme="majorHAnsi" w:hAnsiTheme="majorHAnsi" w:cstheme="majorHAnsi"/>
          <w:sz w:val="24"/>
          <w:szCs w:val="24"/>
        </w:rPr>
      </w:pPr>
    </w:p>
    <w:p w14:paraId="3E8C5FF6" w14:textId="6C8915F5"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A LDB criou uma modalidade de curso superior e o chamou de sequencial, cujas características e potencial serão apresentados em item específico mais adiante.</w:t>
      </w:r>
    </w:p>
    <w:p w14:paraId="2A4A35C9"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A LDB também introduziu duas modificações importantes no que era praticado e regulamentado anteriormente, conforme já salientado no Relatório </w:t>
      </w:r>
      <w:proofErr w:type="spellStart"/>
      <w:r w:rsidRPr="00EA16B0">
        <w:rPr>
          <w:rFonts w:asciiTheme="majorHAnsi" w:hAnsiTheme="majorHAnsi" w:cstheme="majorHAnsi"/>
          <w:sz w:val="24"/>
          <w:szCs w:val="24"/>
        </w:rPr>
        <w:t>Cebraspe</w:t>
      </w:r>
      <w:proofErr w:type="spellEnd"/>
      <w:r w:rsidRPr="00EA16B0">
        <w:rPr>
          <w:rFonts w:asciiTheme="majorHAnsi" w:hAnsiTheme="majorHAnsi" w:cstheme="majorHAnsi"/>
          <w:sz w:val="24"/>
          <w:szCs w:val="24"/>
        </w:rPr>
        <w:t xml:space="preserve"> (2022a), a saber:</w:t>
      </w:r>
    </w:p>
    <w:p w14:paraId="7BFE3C8D" w14:textId="77777777" w:rsidR="00D3608B" w:rsidRPr="00EA16B0" w:rsidRDefault="00D3608B" w:rsidP="003A7871">
      <w:pPr>
        <w:pStyle w:val="PargrafodaLista"/>
        <w:numPr>
          <w:ilvl w:val="0"/>
          <w:numId w:val="2"/>
        </w:numPr>
        <w:spacing w:line="360" w:lineRule="auto"/>
        <w:ind w:left="714" w:hanging="357"/>
        <w:contextualSpacing w:val="0"/>
        <w:jc w:val="both"/>
        <w:rPr>
          <w:rFonts w:asciiTheme="majorHAnsi" w:eastAsia="Arial Unicode MS" w:hAnsiTheme="majorHAnsi" w:cstheme="majorHAnsi"/>
          <w:color w:val="000000"/>
          <w:sz w:val="24"/>
          <w:szCs w:val="24"/>
        </w:rPr>
      </w:pPr>
      <w:r w:rsidRPr="00EA16B0">
        <w:rPr>
          <w:rFonts w:asciiTheme="majorHAnsi" w:hAnsiTheme="majorHAnsi" w:cstheme="majorHAnsi"/>
          <w:b/>
          <w:sz w:val="24"/>
          <w:szCs w:val="24"/>
        </w:rPr>
        <w:lastRenderedPageBreak/>
        <w:t>Flexibilização curricular e fim do currículo mínimo:</w:t>
      </w:r>
      <w:r w:rsidRPr="00EA16B0">
        <w:rPr>
          <w:rFonts w:asciiTheme="majorHAnsi" w:hAnsiTheme="majorHAnsi" w:cstheme="majorHAnsi"/>
          <w:sz w:val="24"/>
          <w:szCs w:val="24"/>
        </w:rPr>
        <w:t xml:space="preserve"> enquanto a Lei 5540/68 estabelecia em seu Art. 26 que haveria a fixação de um currículo mínimo para todos os cursos superiores (BRASIL, 1968), a Lei n. 9.394/96 estabeleceu no seu art. 9.</w:t>
      </w:r>
      <w:r w:rsidRPr="00EA16B0">
        <w:rPr>
          <w:rFonts w:asciiTheme="majorHAnsi" w:hAnsiTheme="majorHAnsi" w:cstheme="majorHAnsi"/>
          <w:sz w:val="24"/>
          <w:szCs w:val="24"/>
          <w:vertAlign w:val="superscript"/>
        </w:rPr>
        <w:t>o</w:t>
      </w:r>
      <w:r w:rsidRPr="00EA16B0">
        <w:rPr>
          <w:rFonts w:asciiTheme="majorHAnsi" w:hAnsiTheme="majorHAnsi" w:cstheme="majorHAnsi"/>
          <w:sz w:val="24"/>
          <w:szCs w:val="24"/>
        </w:rPr>
        <w:t xml:space="preserve"> que “Compete à União, ... baixar normas gerais para a educação básica e superior” (BRASIL, 1996). C</w:t>
      </w:r>
      <w:r w:rsidRPr="00EA16B0">
        <w:rPr>
          <w:rFonts w:asciiTheme="majorHAnsi" w:eastAsia="Arial Unicode MS" w:hAnsiTheme="majorHAnsi" w:cstheme="majorHAnsi"/>
          <w:color w:val="000000"/>
          <w:sz w:val="24"/>
          <w:szCs w:val="24"/>
        </w:rPr>
        <w:t>omo consequência, houve a necessidade da edição de Diretrizes Curriculares Nacionais (DCN) para os cursos de graduação, em substituição aos currículos mínimos então existentes e extintos pela nova legislação.</w:t>
      </w:r>
    </w:p>
    <w:p w14:paraId="6365F9F0" w14:textId="77777777" w:rsidR="00D3608B" w:rsidRPr="00EA16B0" w:rsidRDefault="00D3608B" w:rsidP="003A7871">
      <w:pPr>
        <w:pStyle w:val="PargrafodaLista"/>
        <w:numPr>
          <w:ilvl w:val="0"/>
          <w:numId w:val="2"/>
        </w:numPr>
        <w:spacing w:line="360" w:lineRule="auto"/>
        <w:ind w:left="714" w:hanging="357"/>
        <w:jc w:val="both"/>
        <w:rPr>
          <w:rFonts w:asciiTheme="majorHAnsi" w:eastAsia="Arial Unicode MS" w:hAnsiTheme="majorHAnsi" w:cstheme="majorHAnsi"/>
          <w:color w:val="000000"/>
        </w:rPr>
      </w:pPr>
      <w:r w:rsidRPr="00EA16B0">
        <w:rPr>
          <w:rFonts w:asciiTheme="majorHAnsi" w:hAnsiTheme="majorHAnsi" w:cstheme="majorHAnsi"/>
          <w:b/>
          <w:sz w:val="24"/>
          <w:szCs w:val="24"/>
        </w:rPr>
        <w:t xml:space="preserve">Exercício profissional: </w:t>
      </w:r>
      <w:r w:rsidRPr="00EA16B0">
        <w:rPr>
          <w:rFonts w:asciiTheme="majorHAnsi" w:hAnsiTheme="majorHAnsi" w:cstheme="majorHAnsi"/>
          <w:sz w:val="24"/>
          <w:szCs w:val="24"/>
        </w:rPr>
        <w:t>Enquanto o Art. 27 da Lei n. 5.540/68 atribuía ao diploma a capacitação para o exercício profissional na área abrangida pelo respectivo currículo (BRASIL, 1968), a Lei n. 9.394/96 estabeleceu que os diplomas são a prova da formação recebida por seu titular (BRASIL, 1996). Isso contribuiu para que o registro de diplomas deixasse de ser realizado apenas por algumas instituições universitárias públicas especificamente escolhidas em cada Estado e passasse a ser realizado por todas as IES com autonomia universitária.</w:t>
      </w:r>
    </w:p>
    <w:p w14:paraId="5A324AD2"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Além disso, houve o reforço da importância da avaliação, já que o credenciamento institucional e o reconhecimento dos cursos ofertados perderam a perenidade que tinham pela legislação anterior e passaram a ter periodicidade regulada a partir de processos avaliativos (Art. 46 da LDB). Isso levou ao aproveitamento e a ampliação do Exame Nacional de Cursos que havia sido instituído em 1995 e à introdução de avaliação das condições de oferta dos cursos, com visitas de especialistas ad hoc às instituições e a evolução desse sistema levou à aprovação, em 2004, da Lei n. 10.861 que estabeleceu o Sistema Nacional de Avaliação da Educação Superior (SINAES) (DIAS SOBRINHO, 2010; BRASIL, 2004a), contemplando três processos básicos e integrados: a) avaliação institucional interna e externa — Art. 3.o</w:t>
      </w:r>
      <w:r w:rsidRPr="00EA16B0" w:rsidDel="002B6D36">
        <w:rPr>
          <w:rFonts w:asciiTheme="majorHAnsi" w:hAnsiTheme="majorHAnsi" w:cstheme="majorHAnsi"/>
          <w:sz w:val="24"/>
          <w:szCs w:val="24"/>
        </w:rPr>
        <w:t xml:space="preserve"> </w:t>
      </w:r>
      <w:r w:rsidRPr="00EA16B0">
        <w:rPr>
          <w:rFonts w:asciiTheme="majorHAnsi" w:hAnsiTheme="majorHAnsi" w:cstheme="majorHAnsi"/>
          <w:sz w:val="24"/>
          <w:szCs w:val="24"/>
        </w:rPr>
        <w:t>da Lei; b) avaliação dos cursos de graduação — Art. 4.o; e c) avaliação dos estudantes por meio do Exame Nacional de Desempenho dos Estudantes, (ENADE), com periodicidade máxima de três anos para um dado curso — Art. 5.o (CORTELAZZO &amp; ELISEI, 2022).</w:t>
      </w:r>
    </w:p>
    <w:p w14:paraId="566D43F0"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A LDB definiu outros importantes parâmetros para a Educação Superior, como as características e atribuições das universidades, duração do ano letivo, possibilidades para aproveitamento de estudos e experiências profissionais relevantes e, para as IES públicas, estatuto jurídico próprio, orçamento, dedicação mínima semanal em atividades de ensino e obediência ao princípio da gestão democrática.</w:t>
      </w:r>
    </w:p>
    <w:p w14:paraId="38D42C60"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lastRenderedPageBreak/>
        <w:t>Destaque-se, finalmente, que, para o magistério superior, a formação exigida está descrita no Art. 66 da LDB, que prevê uma formação em pós-graduação, priorizando aquela realizada em programas de mestrado e doutorado.</w:t>
      </w:r>
    </w:p>
    <w:p w14:paraId="3EB71EB7" w14:textId="5E02B95A" w:rsidR="00D3608B" w:rsidRPr="00EA16B0" w:rsidRDefault="00751777" w:rsidP="003A7871">
      <w:pPr>
        <w:pStyle w:val="Ttulo3"/>
        <w:numPr>
          <w:ilvl w:val="2"/>
          <w:numId w:val="1"/>
        </w:numPr>
        <w:ind w:left="709" w:hanging="709"/>
        <w:rPr>
          <w:rFonts w:asciiTheme="majorHAnsi" w:hAnsiTheme="majorHAnsi" w:cstheme="majorHAnsi"/>
        </w:rPr>
      </w:pPr>
      <w:bookmarkStart w:id="17" w:name="_Toc102319361"/>
      <w:r w:rsidRPr="00EA16B0">
        <w:rPr>
          <w:rFonts w:asciiTheme="majorHAnsi" w:hAnsiTheme="majorHAnsi" w:cstheme="majorHAnsi"/>
        </w:rPr>
        <w:t>OS CURSOS SEQUENCIAIS</w:t>
      </w:r>
      <w:bookmarkEnd w:id="17"/>
    </w:p>
    <w:p w14:paraId="12222308" w14:textId="77777777" w:rsidR="00D3608B" w:rsidRPr="00EA16B0" w:rsidRDefault="00D3608B" w:rsidP="00D3608B">
      <w:pPr>
        <w:pStyle w:val="NormalWeb"/>
        <w:spacing w:before="0" w:beforeAutospacing="0" w:after="160" w:afterAutospacing="0"/>
        <w:ind w:right="-1" w:firstLine="708"/>
        <w:jc w:val="both"/>
        <w:rPr>
          <w:rFonts w:asciiTheme="majorHAnsi" w:eastAsiaTheme="minorHAnsi" w:hAnsiTheme="majorHAnsi" w:cstheme="majorHAnsi"/>
          <w:color w:val="auto"/>
          <w:sz w:val="24"/>
          <w:lang w:eastAsia="en-US"/>
        </w:rPr>
      </w:pPr>
      <w:r w:rsidRPr="00EA16B0">
        <w:rPr>
          <w:rFonts w:asciiTheme="majorHAnsi" w:eastAsiaTheme="minorHAnsi" w:hAnsiTheme="majorHAnsi" w:cstheme="majorHAnsi"/>
          <w:color w:val="auto"/>
          <w:sz w:val="24"/>
          <w:lang w:eastAsia="en-US"/>
        </w:rPr>
        <w:t xml:space="preserve">Os cursos sequenciais por campo de saber, com diferentes níveis de abrangência, foram a novidade introduzida pela LDB enquanto tipo de educação superior, mas não de graduação e podem ser comparados aos </w:t>
      </w:r>
      <w:proofErr w:type="spellStart"/>
      <w:r w:rsidRPr="00EA16B0">
        <w:rPr>
          <w:rFonts w:asciiTheme="majorHAnsi" w:eastAsiaTheme="minorHAnsi" w:hAnsiTheme="majorHAnsi" w:cstheme="majorHAnsi"/>
          <w:color w:val="auto"/>
          <w:sz w:val="24"/>
          <w:lang w:eastAsia="en-US"/>
        </w:rPr>
        <w:t>colleges</w:t>
      </w:r>
      <w:proofErr w:type="spellEnd"/>
      <w:r w:rsidRPr="00EA16B0">
        <w:rPr>
          <w:rFonts w:asciiTheme="majorHAnsi" w:eastAsiaTheme="minorHAnsi" w:hAnsiTheme="majorHAnsi" w:cstheme="majorHAnsi"/>
          <w:color w:val="auto"/>
          <w:sz w:val="24"/>
          <w:lang w:eastAsia="en-US"/>
        </w:rPr>
        <w:t xml:space="preserve"> americanos. Além dessa analogia com cursos </w:t>
      </w:r>
      <w:proofErr w:type="spellStart"/>
      <w:r w:rsidRPr="00EA16B0">
        <w:rPr>
          <w:rFonts w:asciiTheme="majorHAnsi" w:eastAsiaTheme="minorHAnsi" w:hAnsiTheme="majorHAnsi" w:cstheme="majorHAnsi"/>
          <w:color w:val="auto"/>
          <w:sz w:val="24"/>
          <w:lang w:eastAsia="en-US"/>
        </w:rPr>
        <w:t>pré</w:t>
      </w:r>
      <w:proofErr w:type="spellEnd"/>
      <w:r w:rsidRPr="00EA16B0">
        <w:rPr>
          <w:rFonts w:asciiTheme="majorHAnsi" w:eastAsiaTheme="minorHAnsi" w:hAnsiTheme="majorHAnsi" w:cstheme="majorHAnsi"/>
          <w:color w:val="auto"/>
          <w:sz w:val="24"/>
          <w:lang w:eastAsia="en-US"/>
        </w:rPr>
        <w:t>-graduação, eles também podem ser ofertados em uma perspectiva de educação continuada e atualização, especialmente em áreas onde os avanços tecnológicos acabam por desatualizar um conjunto (ou sequência) de conhecimentos abordados ao longo de um curso já realizado. As atividades cursadas com aproveitamento podem ser usadas quando do ingresso em um curso de graduação, por meio de equivalência entre as disciplinas, a exemplo do que ocorre com outros cursos de graduação realizados. Os sequenciais podem ter até 1.600 horas de duração e sua conclusão dá direito à certificação da conclusão de um curso superior correspondente aos estudos realizados.</w:t>
      </w:r>
    </w:p>
    <w:p w14:paraId="42A6A77F" w14:textId="52BAEC2F" w:rsidR="00D3608B" w:rsidRPr="00EA16B0" w:rsidRDefault="00D3608B" w:rsidP="00D3608B">
      <w:pPr>
        <w:pStyle w:val="NormalWeb"/>
        <w:spacing w:before="0" w:beforeAutospacing="0" w:after="160" w:afterAutospacing="0"/>
        <w:ind w:right="-1" w:firstLine="708"/>
        <w:jc w:val="both"/>
        <w:rPr>
          <w:rFonts w:asciiTheme="majorHAnsi" w:eastAsiaTheme="minorHAnsi" w:hAnsiTheme="majorHAnsi" w:cstheme="majorHAnsi"/>
          <w:color w:val="auto"/>
          <w:sz w:val="24"/>
          <w:lang w:eastAsia="en-US"/>
        </w:rPr>
      </w:pPr>
      <w:r w:rsidRPr="00EA16B0">
        <w:rPr>
          <w:rFonts w:asciiTheme="majorHAnsi" w:eastAsiaTheme="minorHAnsi" w:hAnsiTheme="majorHAnsi" w:cstheme="majorHAnsi"/>
          <w:color w:val="auto"/>
          <w:sz w:val="24"/>
          <w:lang w:eastAsia="en-US"/>
        </w:rPr>
        <w:t>Após a sanção da LDB, o CNE aprovou o Parecer CNE/CES n. 670/97 que mostrava exatamente essa vocação:</w:t>
      </w:r>
    </w:p>
    <w:p w14:paraId="6803BB10" w14:textId="77777777" w:rsidR="00D3608B" w:rsidRPr="00EA16B0" w:rsidRDefault="00D3608B" w:rsidP="00D3608B">
      <w:pPr>
        <w:pStyle w:val="NormalWeb"/>
        <w:spacing w:before="0" w:beforeAutospacing="0" w:after="160" w:afterAutospacing="0"/>
        <w:ind w:right="-1" w:firstLine="708"/>
        <w:jc w:val="both"/>
        <w:rPr>
          <w:rFonts w:asciiTheme="majorHAnsi" w:eastAsiaTheme="minorHAnsi" w:hAnsiTheme="majorHAnsi" w:cstheme="majorHAnsi"/>
          <w:color w:val="auto"/>
          <w:sz w:val="24"/>
          <w:lang w:eastAsia="en-US"/>
        </w:rPr>
      </w:pPr>
    </w:p>
    <w:p w14:paraId="0E7498D1" w14:textId="722C358B" w:rsidR="00D3608B" w:rsidRPr="00EA16B0" w:rsidRDefault="00D3608B" w:rsidP="00EA16B0">
      <w:pPr>
        <w:spacing w:line="360" w:lineRule="auto"/>
        <w:ind w:left="2268"/>
        <w:jc w:val="both"/>
        <w:rPr>
          <w:rFonts w:asciiTheme="majorHAnsi" w:hAnsiTheme="majorHAnsi" w:cstheme="majorHAnsi"/>
          <w:sz w:val="24"/>
          <w:szCs w:val="24"/>
        </w:rPr>
      </w:pPr>
      <w:r w:rsidRPr="00EA16B0">
        <w:rPr>
          <w:rFonts w:asciiTheme="majorHAnsi" w:hAnsiTheme="majorHAnsi" w:cstheme="majorHAnsi"/>
          <w:sz w:val="20"/>
          <w:szCs w:val="20"/>
        </w:rPr>
        <w:t xml:space="preserve">Aquela concepção de cursos sequenciais, a do projeto de LDB de autoria do Sen. Darcy Ribeiro, foi ampliada na Lei promulgada. A versão finalmente aprovada no inciso I do Art. 44 deu nova dimensão a esses cursos. Mantendo o princípio de que eles teriam diferentes níveis de abrangência quanto a campos de saber, não mais os restringiu apenas a um conjunto de seis disciplinas inter-relacionadas. Com efeito, antes mesmo da aprovação da LDB, em palestra realizada pelo Senador no Rio de Janeiro, acima mencionada, essa nova noção parecia já estar presente quando de sua alusão a uma possível – mas não necessária – semelhança com visão mais livre e moderna dos </w:t>
      </w:r>
      <w:proofErr w:type="spellStart"/>
      <w:r w:rsidRPr="00EA16B0">
        <w:rPr>
          <w:rFonts w:asciiTheme="majorHAnsi" w:hAnsiTheme="majorHAnsi" w:cstheme="majorHAnsi"/>
          <w:i/>
          <w:iCs/>
          <w:sz w:val="20"/>
          <w:szCs w:val="20"/>
        </w:rPr>
        <w:t>community</w:t>
      </w:r>
      <w:proofErr w:type="spellEnd"/>
      <w:r w:rsidRPr="00EA16B0">
        <w:rPr>
          <w:rFonts w:asciiTheme="majorHAnsi" w:hAnsiTheme="majorHAnsi" w:cstheme="majorHAnsi"/>
          <w:i/>
          <w:iCs/>
          <w:sz w:val="20"/>
          <w:szCs w:val="20"/>
        </w:rPr>
        <w:t xml:space="preserve"> </w:t>
      </w:r>
      <w:proofErr w:type="spellStart"/>
      <w:r w:rsidRPr="00EA16B0">
        <w:rPr>
          <w:rFonts w:asciiTheme="majorHAnsi" w:hAnsiTheme="majorHAnsi" w:cstheme="majorHAnsi"/>
          <w:i/>
          <w:iCs/>
          <w:sz w:val="20"/>
          <w:szCs w:val="20"/>
        </w:rPr>
        <w:t>colleges</w:t>
      </w:r>
      <w:proofErr w:type="spellEnd"/>
      <w:r w:rsidRPr="00EA16B0">
        <w:rPr>
          <w:rFonts w:asciiTheme="majorHAnsi" w:hAnsiTheme="majorHAnsi" w:cstheme="majorHAnsi"/>
          <w:sz w:val="20"/>
          <w:szCs w:val="20"/>
        </w:rPr>
        <w:t xml:space="preserve"> norte-americanos, profissionalizantes ou não, porém com forte tendência nacional. (CNE, 1997a, p.5)</w:t>
      </w:r>
    </w:p>
    <w:p w14:paraId="250F0272" w14:textId="77777777" w:rsidR="00D3608B" w:rsidRPr="00EA16B0" w:rsidRDefault="00D3608B" w:rsidP="00D3608B">
      <w:pPr>
        <w:spacing w:line="360" w:lineRule="auto"/>
        <w:ind w:firstLine="709"/>
        <w:jc w:val="both"/>
        <w:rPr>
          <w:rFonts w:asciiTheme="majorHAnsi" w:hAnsiTheme="majorHAnsi" w:cstheme="majorHAnsi"/>
          <w:sz w:val="24"/>
          <w:szCs w:val="24"/>
        </w:rPr>
      </w:pPr>
    </w:p>
    <w:p w14:paraId="2A17500F"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Entretanto, a rejeição e o medo de se ter uma formação aligeirada para garantir a necessária ampliação da educação superior brasileira acabaram impedindo até que esse parecer tivesse a necessária homologação para ter validade e gerar uma resolução a respeito, o que acabou acontecendo no início de 1999 após a elaboração de dois outros pareceres tendo o último gerado a resolução 1/99 (CNE, 1999). Longe de significar o entendimento necessário, especialmente a possibilidade de diplomação dos cursos sequenciais de formação específica foram oferecidos em profusão pela iniciativa privada que passou, inclusive, a aproveitá-lo para ingresso na pós-graduação </w:t>
      </w:r>
      <w:r w:rsidRPr="00EA16B0">
        <w:rPr>
          <w:rFonts w:asciiTheme="majorHAnsi" w:hAnsiTheme="majorHAnsi" w:cstheme="majorHAnsi"/>
          <w:sz w:val="24"/>
          <w:szCs w:val="24"/>
        </w:rPr>
        <w:lastRenderedPageBreak/>
        <w:t xml:space="preserve">lato sensu, o que só foi efetivamente proibido recentemente, pela Resolução CNE n. 1/2017 (CNE, 2017). Essas discrepâncias na legislação refletiram obviamente na estruturação desses cursos e na rejeição que ainda têm em muitos setores da academia, além da confusão no mercado de trabalho que, </w:t>
      </w:r>
      <w:proofErr w:type="gramStart"/>
      <w:r w:rsidRPr="00EA16B0">
        <w:rPr>
          <w:rFonts w:asciiTheme="majorHAnsi" w:hAnsiTheme="majorHAnsi" w:cstheme="majorHAnsi"/>
          <w:sz w:val="24"/>
          <w:szCs w:val="24"/>
        </w:rPr>
        <w:t>via de regra</w:t>
      </w:r>
      <w:proofErr w:type="gramEnd"/>
      <w:r w:rsidRPr="00EA16B0">
        <w:rPr>
          <w:rFonts w:asciiTheme="majorHAnsi" w:hAnsiTheme="majorHAnsi" w:cstheme="majorHAnsi"/>
          <w:sz w:val="24"/>
          <w:szCs w:val="24"/>
        </w:rPr>
        <w:t>, não os associa a uma versão tupiniquim dos “</w:t>
      </w:r>
      <w:proofErr w:type="spellStart"/>
      <w:r w:rsidRPr="00EA16B0">
        <w:rPr>
          <w:rFonts w:asciiTheme="majorHAnsi" w:hAnsiTheme="majorHAnsi" w:cstheme="majorHAnsi"/>
          <w:sz w:val="24"/>
          <w:szCs w:val="24"/>
        </w:rPr>
        <w:t>community</w:t>
      </w:r>
      <w:proofErr w:type="spellEnd"/>
      <w:r w:rsidRPr="00EA16B0">
        <w:rPr>
          <w:rFonts w:asciiTheme="majorHAnsi" w:hAnsiTheme="majorHAnsi" w:cstheme="majorHAnsi"/>
          <w:sz w:val="24"/>
          <w:szCs w:val="24"/>
        </w:rPr>
        <w:t xml:space="preserve"> </w:t>
      </w:r>
      <w:proofErr w:type="spellStart"/>
      <w:r w:rsidRPr="00EA16B0">
        <w:rPr>
          <w:rFonts w:asciiTheme="majorHAnsi" w:hAnsiTheme="majorHAnsi" w:cstheme="majorHAnsi"/>
          <w:sz w:val="24"/>
          <w:szCs w:val="24"/>
        </w:rPr>
        <w:t>colleges</w:t>
      </w:r>
      <w:proofErr w:type="spellEnd"/>
      <w:r w:rsidRPr="00EA16B0">
        <w:rPr>
          <w:rFonts w:asciiTheme="majorHAnsi" w:hAnsiTheme="majorHAnsi" w:cstheme="majorHAnsi"/>
          <w:sz w:val="24"/>
          <w:szCs w:val="24"/>
        </w:rPr>
        <w:t>” americanos.</w:t>
      </w:r>
    </w:p>
    <w:p w14:paraId="5B6729E3"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Assim, a formação em cursos sequenciais, continua a gerar a mesma confusão existente depois da sanção da LDB no final de 1996, dado que nunca foi plenamente aceito o objetivo desses cursos em possibilitar a realização de algumas formações mais específicas que não requereriam uma graduação ou de serem utilizados na perspectiva de uma formação inicial ou serem estruturados para permitir a atualização em algum campo do saber. Esses objetivos, especialmente o primeiro e conforme já foi salientado, tiveram forte rejeição da comunidade acadêmica das IES públicas, que, praticamente, não ofereceram essa opção de estudos. Em contrapartida, algumas instituições privadas realizaram a sua oferta, mas com denominações similares ou idênticas àquelas dos cursos de graduação, levando a situações esdrúxulas, pois não davam direito ao grau acadêmico correspondente e o que era anunciado como uma vantagem para abreviar a formação acabava não ocorrendo.</w:t>
      </w:r>
    </w:p>
    <w:p w14:paraId="1FBECC86"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Assim, a maioria das instituições públicas não ofereceu, ou sequer regulamentou, os cursos sequenciais. Essa falta de referencial levou à expansão inicial a se retrair e restou o preconceito até hoje existente quanto a falta de objetivo desses cursos e seu uso como “formação aligeirada” e voltada para atendimento de camadas socioeconomicamente menos favorecidas da sociedade, a quem seriam oferecidos esses cursos de categoria inferior.</w:t>
      </w:r>
    </w:p>
    <w:p w14:paraId="75B8E919"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Entretanto, o avanço de ideias relativas à retomada de uma formação universitária genérica, ou cursos superiores não voltados para uma formação profissional específica, de certa forma, reacenderam a discussão para a oferta desses cursos, especialmente para um período de estudos que não conduz a nenhum grau acadêmico.</w:t>
      </w:r>
    </w:p>
    <w:p w14:paraId="51D35BAB"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Um exemplo dessa nova concepção ocorre com o Programa de Formação Interdisciplinar Superior (PROFIS), da Universidade Estadual de Campinas (Unicamp), que oferece 120 vagas anuais para estudantes que realizaram o ensino médio em escolas públicas de Campinas e cuja seleção se dá por meio de desempenho no Exame Nacional do Ensino Médio (ENEM), com uma vaga destinada a cada escola pública de ensino médio da cidade. O final do curso se dá pelo cumprimento de 1.600 horas de atividades em tempo integral, com disciplinas das áreas de Ciências Humanas, Biológicas, </w:t>
      </w:r>
      <w:r w:rsidRPr="00EA16B0">
        <w:rPr>
          <w:rFonts w:asciiTheme="majorHAnsi" w:hAnsiTheme="majorHAnsi" w:cstheme="majorHAnsi"/>
          <w:sz w:val="24"/>
          <w:szCs w:val="24"/>
        </w:rPr>
        <w:lastRenderedPageBreak/>
        <w:t>Exatas e Tecnológicas em dois anos de atividades. Os egressos podem escolher um curso de graduação da Unicamp para continuidade de seus estudos em função de seu desempenho e recebem um certificado de conclusão de curso sequencial e, portanto, de curso superior. Com isso, podem competir em situações em que se requer educação superior, mas não é especificada a necessidade de uma graduação, ou para acender a postos profissionais ou cargos em que essa formação é exigida nos planos de carreira de diferentes empresas ou órgãos públicos (UNICAMP, 2022).</w:t>
      </w:r>
    </w:p>
    <w:p w14:paraId="34708511"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Trata-se, portanto, de uma alternativa interessante para certificações intermediárias, em que não seja contemplada uma formação que conduza a um grau acadêmico: assim estruturado, pode-se resumir que o curso sequencial é um curso superior, mas não é uma graduação.</w:t>
      </w:r>
    </w:p>
    <w:p w14:paraId="5BAD9DC3" w14:textId="160B5D86" w:rsidR="00D3608B" w:rsidRPr="00EA16B0" w:rsidRDefault="00751777" w:rsidP="003A7871">
      <w:pPr>
        <w:pStyle w:val="Ttulo3"/>
        <w:numPr>
          <w:ilvl w:val="2"/>
          <w:numId w:val="1"/>
        </w:numPr>
        <w:ind w:left="709" w:hanging="709"/>
        <w:rPr>
          <w:rFonts w:asciiTheme="majorHAnsi" w:hAnsiTheme="majorHAnsi" w:cstheme="majorHAnsi"/>
        </w:rPr>
      </w:pPr>
      <w:bookmarkStart w:id="18" w:name="_Toc102319362"/>
      <w:r w:rsidRPr="00EA16B0">
        <w:rPr>
          <w:rFonts w:asciiTheme="majorHAnsi" w:hAnsiTheme="majorHAnsi" w:cstheme="majorHAnsi"/>
        </w:rPr>
        <w:t>OS CURSOS DE GRADUAÇÃO</w:t>
      </w:r>
      <w:bookmarkEnd w:id="18"/>
    </w:p>
    <w:p w14:paraId="2E8A31B6"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Os cursos de graduação são os mais conhecidos e, anteriormente, eram tratados como sinônimo de cursos superiores. Levam ao grau acadêmico, concedido após juramento do formando em cerimônia de “colação de grau”. Hoje, no Brasil, estão subdivididos em três percursos formativos: licenciaturas para a formação de professores para a educação básica; graduações tecnológicas para uma formação mais específica; e bacharelados para uma formação mais genérica em diferentes áreas do conhecimento como será explicado adiante. Podem ter entre 1.600 e 7.200 horas de duração mínima. Talvez, em decorrência de nossa colonização portuguesa, em que o bacharelado era o diploma concedido a qualquer formação universitária até início do século XX, foram esses os cursos que agregaram a maior parte das formações no Brasil. Entretanto, em muitos países europeus, se trata da primeira etapa da formação universitária, normalmente com </w:t>
      </w:r>
      <w:proofErr w:type="spellStart"/>
      <w:r w:rsidRPr="00EA16B0">
        <w:rPr>
          <w:rFonts w:asciiTheme="majorHAnsi" w:hAnsiTheme="majorHAnsi" w:cstheme="majorHAnsi"/>
          <w:sz w:val="24"/>
          <w:szCs w:val="24"/>
        </w:rPr>
        <w:t>trêsd</w:t>
      </w:r>
      <w:proofErr w:type="spellEnd"/>
      <w:r w:rsidRPr="00EA16B0">
        <w:rPr>
          <w:rFonts w:asciiTheme="majorHAnsi" w:hAnsiTheme="majorHAnsi" w:cstheme="majorHAnsi"/>
          <w:sz w:val="24"/>
          <w:szCs w:val="24"/>
        </w:rPr>
        <w:t xml:space="preserve"> anos, e é seguida da formação na licenciatura ou licença, com mais um ano e que dá direito à realização da pós-graduação. Por essas variações, foram rapidamente explicitados os conceitos que serão trabalhados para detalhar as formações em licenciatura, bacharelado ou superior tecnológica na educação superior brasileira.</w:t>
      </w:r>
    </w:p>
    <w:p w14:paraId="06A1CDDD"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Todo curso de graduação é um curso superior, mas a recíproca após a LDB não é verdadeira. Há, entretanto, uma grande tendência a adjetivar as formações superiores numa tentativa de melhor explicá-las, o que, em muitos casos, acaba gerando mais dúvidas. Por exemplo, cursos de graduação são cursos superiores; cursos superiores de graduação redundam a definição; cursos de graduação plena são resquícios de uma época em que existiam licenciaturas plenas e curtas (mais </w:t>
      </w:r>
      <w:r w:rsidRPr="00EA16B0">
        <w:rPr>
          <w:rFonts w:asciiTheme="majorHAnsi" w:hAnsiTheme="majorHAnsi" w:cstheme="majorHAnsi"/>
          <w:sz w:val="24"/>
          <w:szCs w:val="24"/>
        </w:rPr>
        <w:lastRenderedPageBreak/>
        <w:t>rápidas) e talvez seja um termo usado para definir um curso mais longo (levando à classificação hierárquica com relação a cursos mais curtos), o que pode gerar mais questionamentos e dúvidas. Afinal, uma graduação que leva cinco anos para ser integralizada é melhor que outra, com quatro anos de duração? Ou se trata apenas de diferença ligada ao tipo de profissão envolvida? A rigor, um curso longo ofertado por instituição pedagogicamente ruim é mais danoso à formação que um curso mais curto.</w:t>
      </w:r>
    </w:p>
    <w:p w14:paraId="08635A5A"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A seguir, são rapidamente explicitadas as principais características dos três tipos de cursos de graduação hoje ministrados no Brasil.</w:t>
      </w:r>
    </w:p>
    <w:p w14:paraId="668DD19C" w14:textId="5052DD47" w:rsidR="00D3608B" w:rsidRPr="00EA16B0" w:rsidRDefault="00D3608B" w:rsidP="003A7871">
      <w:pPr>
        <w:pStyle w:val="Ttulo3"/>
        <w:numPr>
          <w:ilvl w:val="3"/>
          <w:numId w:val="1"/>
        </w:numPr>
        <w:tabs>
          <w:tab w:val="clear" w:pos="1615"/>
          <w:tab w:val="left" w:pos="1276"/>
        </w:tabs>
        <w:ind w:left="993" w:hanging="709"/>
        <w:rPr>
          <w:rFonts w:asciiTheme="majorHAnsi" w:hAnsiTheme="majorHAnsi" w:cstheme="majorHAnsi"/>
        </w:rPr>
      </w:pPr>
      <w:r w:rsidRPr="00EA16B0">
        <w:rPr>
          <w:rFonts w:asciiTheme="majorHAnsi" w:hAnsiTheme="majorHAnsi" w:cstheme="majorHAnsi"/>
        </w:rPr>
        <w:t>Licenciatura</w:t>
      </w:r>
    </w:p>
    <w:p w14:paraId="69AF403C"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É o nome utilizado para os cursos de graduação que formam professores e gestores para a educação básica. Os gestores também podem ser formados em cursos de pós-graduação. </w:t>
      </w:r>
    </w:p>
    <w:p w14:paraId="03403397"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Há, no que diz respeito aos professores para a educação básica, duas possibilidades mais abrangentes para a formação inicial, com duração de pelo menos 3.200 horas: </w:t>
      </w:r>
    </w:p>
    <w:p w14:paraId="5107C9A6" w14:textId="77777777" w:rsidR="00D3608B" w:rsidRPr="00EA16B0" w:rsidRDefault="00D3608B" w:rsidP="003A7871">
      <w:pPr>
        <w:pStyle w:val="PargrafodaLista"/>
        <w:numPr>
          <w:ilvl w:val="0"/>
          <w:numId w:val="3"/>
        </w:numPr>
        <w:spacing w:line="360" w:lineRule="auto"/>
        <w:jc w:val="both"/>
        <w:rPr>
          <w:rFonts w:asciiTheme="majorHAnsi" w:hAnsiTheme="majorHAnsi" w:cstheme="majorHAnsi"/>
          <w:sz w:val="24"/>
          <w:szCs w:val="24"/>
        </w:rPr>
      </w:pPr>
      <w:r w:rsidRPr="00EA16B0">
        <w:rPr>
          <w:rFonts w:asciiTheme="majorHAnsi" w:hAnsiTheme="majorHAnsi" w:cstheme="majorHAnsi"/>
          <w:sz w:val="24"/>
          <w:szCs w:val="24"/>
        </w:rPr>
        <w:t>Professores para a educação infantil e para os primeiros anos do ensino fundamental, que são formados em cursos de licenciatura em Pedagogia (forma os chamados professores polivalentes), que também preparam os gestores para essas escolas (diretores, orientadores e coordenadores pedagógicos, a partir de outras 400 horas de atividades para cada formação).</w:t>
      </w:r>
    </w:p>
    <w:p w14:paraId="32CFBC13" w14:textId="77777777" w:rsidR="00D3608B" w:rsidRPr="00EA16B0" w:rsidRDefault="00D3608B" w:rsidP="003A7871">
      <w:pPr>
        <w:pStyle w:val="PargrafodaLista"/>
        <w:numPr>
          <w:ilvl w:val="0"/>
          <w:numId w:val="3"/>
        </w:numPr>
        <w:spacing w:line="360" w:lineRule="auto"/>
        <w:jc w:val="both"/>
        <w:rPr>
          <w:rFonts w:asciiTheme="majorHAnsi" w:hAnsiTheme="majorHAnsi" w:cstheme="majorHAnsi"/>
          <w:sz w:val="24"/>
          <w:szCs w:val="24"/>
        </w:rPr>
      </w:pPr>
      <w:r w:rsidRPr="00EA16B0">
        <w:rPr>
          <w:rFonts w:asciiTheme="majorHAnsi" w:hAnsiTheme="majorHAnsi" w:cstheme="majorHAnsi"/>
          <w:sz w:val="24"/>
          <w:szCs w:val="24"/>
        </w:rPr>
        <w:t>Professores para os anos finais do ensino fundamental e para o ensino médio (propedêutico ou técnico), que são formados em cursos de licenciatura específicos e, mais recentemente, algumas licenciaturas interdisciplinares vêm sendo aceitas para diferentes áreas do conhecimento como por exemplo, Ciências Físicas e Biológicas ou Ciências Naturais, para aulas de química, física e biologia.</w:t>
      </w:r>
    </w:p>
    <w:p w14:paraId="666EFC6B"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Mais recentemente vêm sendo ofertadas formações em licenciaturas interdisciplinares, ainda não regulamentadas, mas que levam a formações mais genéricas levando em conta as disposições constantes na Base Nacional Comum Curricular que agrupa as disciplinas em áreas como linguagens, ciências naturais, ciências sociais e outras combinações que acabam levando a formações com essa abordagem.</w:t>
      </w:r>
    </w:p>
    <w:p w14:paraId="4AD674B4"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lastRenderedPageBreak/>
        <w:t>Também é possível que os formados em outro tipo de graduação (bacharelados ou de tecnologia) realizem a licenciatura, a partir do que se conhece genericamente como complementação pedagógica ou Formação Pedagógica para Graduados. Também é possível a realização de outras licenciaturas para os já diplomados em uma, com currículo diferenciado.</w:t>
      </w:r>
    </w:p>
    <w:p w14:paraId="20480372" w14:textId="0626505C"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Cursos Superiores de Tecnologia (CST) ou Graduações Tecnológicas</w:t>
      </w:r>
    </w:p>
    <w:p w14:paraId="05B8EF07"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Comumente também chamados de cursos tecnólogos ou cursos de tecnólogo o que, em nosso entendimento, faz tratamento diferente dos demais que não são conhecidos como cursos de licenciado ou de bacharel. A confusão talvez se dê por conta de que a tecnologia, em seu sentido lato, permeie bacharelados e licenciaturas e hoje é um termo associado à computação especialmente.</w:t>
      </w:r>
    </w:p>
    <w:p w14:paraId="22B6A561"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Os CST tiveram origem no final dos anos 60, a partir da “Reforma Universitária” promovida pela Lei n. 5.540/68 (BRASIL, 1968), fruto de basicamente dois relatórios: o primeiro, de responsabilidade de Rudolf </w:t>
      </w:r>
      <w:proofErr w:type="spellStart"/>
      <w:r w:rsidRPr="00EA16B0">
        <w:rPr>
          <w:rFonts w:asciiTheme="majorHAnsi" w:hAnsiTheme="majorHAnsi" w:cstheme="majorHAnsi"/>
          <w:sz w:val="24"/>
          <w:szCs w:val="24"/>
        </w:rPr>
        <w:t>Atcon</w:t>
      </w:r>
      <w:proofErr w:type="spellEnd"/>
      <w:r w:rsidRPr="00EA16B0">
        <w:rPr>
          <w:rFonts w:asciiTheme="majorHAnsi" w:hAnsiTheme="majorHAnsi" w:cstheme="majorHAnsi"/>
          <w:sz w:val="24"/>
          <w:szCs w:val="24"/>
        </w:rPr>
        <w:t xml:space="preserve">, da United States </w:t>
      </w:r>
      <w:proofErr w:type="spellStart"/>
      <w:r w:rsidRPr="00EA16B0">
        <w:rPr>
          <w:rFonts w:asciiTheme="majorHAnsi" w:hAnsiTheme="majorHAnsi" w:cstheme="majorHAnsi"/>
          <w:sz w:val="24"/>
          <w:szCs w:val="24"/>
        </w:rPr>
        <w:t>Agency</w:t>
      </w:r>
      <w:proofErr w:type="spellEnd"/>
      <w:r w:rsidRPr="00EA16B0">
        <w:rPr>
          <w:rFonts w:asciiTheme="majorHAnsi" w:hAnsiTheme="majorHAnsi" w:cstheme="majorHAnsi"/>
          <w:sz w:val="24"/>
          <w:szCs w:val="24"/>
        </w:rPr>
        <w:t xml:space="preserve"> for </w:t>
      </w:r>
      <w:proofErr w:type="spellStart"/>
      <w:r w:rsidRPr="00EA16B0">
        <w:rPr>
          <w:rFonts w:asciiTheme="majorHAnsi" w:hAnsiTheme="majorHAnsi" w:cstheme="majorHAnsi"/>
          <w:sz w:val="24"/>
          <w:szCs w:val="24"/>
        </w:rPr>
        <w:t>International</w:t>
      </w:r>
      <w:proofErr w:type="spellEnd"/>
      <w:r w:rsidRPr="00EA16B0">
        <w:rPr>
          <w:rFonts w:asciiTheme="majorHAnsi" w:hAnsiTheme="majorHAnsi" w:cstheme="majorHAnsi"/>
          <w:sz w:val="24"/>
          <w:szCs w:val="24"/>
        </w:rPr>
        <w:t xml:space="preserve"> </w:t>
      </w:r>
      <w:proofErr w:type="spellStart"/>
      <w:r w:rsidRPr="00EA16B0">
        <w:rPr>
          <w:rFonts w:asciiTheme="majorHAnsi" w:hAnsiTheme="majorHAnsi" w:cstheme="majorHAnsi"/>
          <w:sz w:val="24"/>
          <w:szCs w:val="24"/>
        </w:rPr>
        <w:t>Development</w:t>
      </w:r>
      <w:proofErr w:type="spellEnd"/>
      <w:r w:rsidRPr="00EA16B0">
        <w:rPr>
          <w:rFonts w:asciiTheme="majorHAnsi" w:hAnsiTheme="majorHAnsi" w:cstheme="majorHAnsi"/>
          <w:sz w:val="24"/>
          <w:szCs w:val="24"/>
        </w:rPr>
        <w:t xml:space="preserve"> (USAID) e, o outro, conhecido como relatório “Meira Mattos” do governo brasileiro. A Lei abordava, em seu Art. 18, a formação universitária em profissões não regulamentadas, mas de interesse para o mercado de trabalho regional e a oferta de cursos profissionais de menor duração e que proporcionariam “habilitações intermediárias de grau superior” (Art. 23).</w:t>
      </w:r>
    </w:p>
    <w:p w14:paraId="53F338CD"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A Lei, que teve grandes efeitos privatistas e que permitiu o surgimento de instituições superiores que oferecessem apenas atividades disciplinares, de certa forma trouxe alguns efeitos positivos no que diz respeito ao final da cátedra e a modernização das instituições públicas (MARTINS, 2009). Assim, as Escolas Técnicas Federais começaram a ofertar cursos de engenharia operacional (e depois seriam originados os Centros Federais de Educação Tecnológica ou CEFET) com três anos de duração, que tiveram grande rejeição e pouco tempo depois foram abandonados e deram lugar à Engenharia Industrial, com cinco anos. Em São Paulo, na mesma época, era criado um grupo de trabalho para a proposição de cursos superiores com dois a 3 três nos que culminou, em 1969, com a criação do Centro Estadual de Educação Tecnológica de São Paulo (posteriormente Paula Souza ou CPS) e os primeiros cursos de tecnologia, com três anos de duração, em estruturas denominadas Faculdades de Tecnologia (CORTELAZZO, 2012). O CPS agregou depois, em sua estrutura, as Escolas Agrícolas e as Industriais de nível técnico, que se desligaram da Secretaria de Educação e deram origem às atuais Escolas Técnicas do Centro Paula Souza.</w:t>
      </w:r>
    </w:p>
    <w:p w14:paraId="34D70403"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lastRenderedPageBreak/>
        <w:t xml:space="preserve">Após a LDB de 1996, com a mesma lógica da economia de tempo, a diminuição da oferta de cursos sequenciais levou a um gradativo aumento da oferta dos Cursos Superiores de Tecnologia (CST), cujas Diretrizes Curriculares foram aprovadas em 2001, e cuja profusão levou o MEC a realizar uma regulamentação que reduziu as mais de 1.000 diferentes denominações então existentes, para pouco mais de 100, a partir do agrupamento desses cursos inicialmente em dez eixos tecnológicos e denominações padronizadas e estabelecidas, gerando um Catálogo Nacional. </w:t>
      </w:r>
    </w:p>
    <w:p w14:paraId="37C1C460"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A ideia do catálogo levou em conta a possibilidade da criação de cursos experimentais por instituições com autonomia, com base no Art. 81 da LDB (BRASIL, 1996) e, no caso de sua consolidação e oferta quantitativamente significativa no país, a inclusão no catálogo, que passou a denominar-se Catálogo Nacional de Cursos Superiores de Tecnologia (CNCST) e hoje encontra-se em sua 3.a edição, de 2016 e contém 13 diferentes eixos tecnológicos (MEC, 2016). A edição do Catálogo Nacional em 2006 permitiu que os CST começassem a participar do ENADE a partir de 2007 e serviu como referencial para a sua oferta de maneira mais regrada.</w:t>
      </w:r>
    </w:p>
    <w:p w14:paraId="1F977630"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A exploração do fato dos CST terem uma duração mais rápida foi feita quase da mesma forma com que havia ocorrido com os cursos sequenciais e teve efeito similar. Especialmente em alguns eixos em que o catálogo atribuiu carga horária de apenas 1.600 horas para a formação, o que coincidia com aquela dos então cursos sequenciais de formação específica, houve maior associação entre os mesmos e, até hoje, ainda há grande preconceito com relação às graduações tecnológicas, causado na maioria das vezes e como todo preconceito, no desconhecimento de sua estrutura e significado já que muitos acreditam tratar-se de curso superior, mas não curso de graduação, o que é definido pelos cursos sequenciais conforme já citado.</w:t>
      </w:r>
    </w:p>
    <w:p w14:paraId="109DC4B7"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A legislação da educação profissional também nunca contribuiu muito para que seu status fosse comparável aos bacharelados (Art. 23, § 1.o</w:t>
      </w:r>
      <w:r w:rsidRPr="00EA16B0" w:rsidDel="006F2372">
        <w:rPr>
          <w:rFonts w:asciiTheme="majorHAnsi" w:hAnsiTheme="majorHAnsi" w:cstheme="majorHAnsi"/>
          <w:sz w:val="24"/>
          <w:szCs w:val="24"/>
        </w:rPr>
        <w:t xml:space="preserve"> </w:t>
      </w:r>
      <w:r w:rsidRPr="00EA16B0">
        <w:rPr>
          <w:rFonts w:asciiTheme="majorHAnsi" w:hAnsiTheme="majorHAnsi" w:cstheme="majorHAnsi"/>
          <w:sz w:val="24"/>
          <w:szCs w:val="24"/>
        </w:rPr>
        <w:t>da Lei n. 5.540/68, BRASIL, 1968) ou mesmo na educação básica, onde a formação técnica não permitia a continuidade de estudos até 1942 e, quando de sua obrigatoriedade no antigo 2.o grau determinada pela Lei n. 5.692/71 (BRASIL, 1971), teve uma implantação sem qualidade e só resistiu por dez anos, voltando a se concentrar em algumas escolas, permitindo a volta do curso propedêutico.</w:t>
      </w:r>
    </w:p>
    <w:p w14:paraId="0F905994"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Na Lei n. 9.394/96 (BRASIL, 1996), a estruturação do Título V, de certa forma, manteve o problema: ele trata dos níveis de ensino e, em seu Capítulo I, determina dois: básico e superior. Em seguida, o capítulo II trata da educação básica; a educação superior, em vez de vir em seguida, </w:t>
      </w:r>
      <w:r w:rsidRPr="00EA16B0">
        <w:rPr>
          <w:rFonts w:asciiTheme="majorHAnsi" w:hAnsiTheme="majorHAnsi" w:cstheme="majorHAnsi"/>
          <w:sz w:val="24"/>
          <w:szCs w:val="24"/>
        </w:rPr>
        <w:lastRenderedPageBreak/>
        <w:t>aparece no capítulo IV e foi colocado um capítulo III, com a educação profissional, inicialmente com a ideia de contemplar a formação técnica subsequente e que foi piorado quando acrescentou tipos de educação profissional e passou a ser denominado “Capítulo III – da Educação Profissional e Tecnológica”. Explica-se: o Art. 39, tem o seguinte § 2.o:</w:t>
      </w:r>
    </w:p>
    <w:p w14:paraId="0289CDD3" w14:textId="77777777" w:rsidR="00D3608B" w:rsidRPr="00EA16B0" w:rsidRDefault="00D3608B" w:rsidP="00D3608B">
      <w:pPr>
        <w:shd w:val="clear" w:color="auto" w:fill="FFFFFF"/>
        <w:spacing w:after="0"/>
        <w:ind w:left="2268" w:right="851"/>
        <w:jc w:val="both"/>
        <w:rPr>
          <w:rFonts w:asciiTheme="majorHAnsi" w:hAnsiTheme="majorHAnsi" w:cstheme="majorHAnsi"/>
          <w:color w:val="000000"/>
          <w:spacing w:val="-2"/>
          <w:sz w:val="20"/>
          <w:szCs w:val="20"/>
        </w:rPr>
      </w:pPr>
      <w:bookmarkStart w:id="19" w:name="art39§2"/>
      <w:bookmarkEnd w:id="19"/>
    </w:p>
    <w:p w14:paraId="2FC945FA" w14:textId="1EF6F10A" w:rsidR="00D3608B" w:rsidRPr="00EA16B0" w:rsidRDefault="00D3608B" w:rsidP="00D3608B">
      <w:pPr>
        <w:shd w:val="clear" w:color="auto" w:fill="FFFFFF"/>
        <w:spacing w:after="0"/>
        <w:ind w:left="2268" w:right="851"/>
        <w:jc w:val="both"/>
        <w:rPr>
          <w:rFonts w:asciiTheme="majorHAnsi" w:hAnsiTheme="majorHAnsi" w:cstheme="majorHAnsi"/>
          <w:color w:val="000000"/>
          <w:spacing w:val="-2"/>
          <w:sz w:val="20"/>
          <w:szCs w:val="20"/>
        </w:rPr>
      </w:pPr>
      <w:r w:rsidRPr="00EA16B0">
        <w:rPr>
          <w:rFonts w:asciiTheme="majorHAnsi" w:hAnsiTheme="majorHAnsi" w:cstheme="majorHAnsi"/>
          <w:color w:val="000000"/>
          <w:spacing w:val="-2"/>
          <w:sz w:val="20"/>
          <w:szCs w:val="20"/>
        </w:rPr>
        <w:t>§ 2</w:t>
      </w:r>
      <w:r w:rsidRPr="00EA16B0">
        <w:rPr>
          <w:rFonts w:asciiTheme="majorHAnsi" w:hAnsiTheme="majorHAnsi" w:cstheme="majorHAnsi"/>
        </w:rPr>
        <w:t>.</w:t>
      </w:r>
      <w:r w:rsidRPr="00EA16B0">
        <w:rPr>
          <w:rFonts w:asciiTheme="majorHAnsi" w:hAnsiTheme="majorHAnsi" w:cstheme="majorHAnsi"/>
          <w:vertAlign w:val="superscript"/>
        </w:rPr>
        <w:t>o</w:t>
      </w:r>
      <w:r w:rsidRPr="00EA16B0">
        <w:rPr>
          <w:rFonts w:asciiTheme="majorHAnsi" w:hAnsiTheme="majorHAnsi" w:cstheme="majorHAnsi"/>
          <w:color w:val="000000"/>
          <w:spacing w:val="-2"/>
          <w:sz w:val="20"/>
          <w:szCs w:val="20"/>
        </w:rPr>
        <w:t xml:space="preserve"> A educação profissional e tecnológica abrangerá os seguintes cursos: </w:t>
      </w:r>
    </w:p>
    <w:p w14:paraId="578E5F09" w14:textId="77777777" w:rsidR="00D3608B" w:rsidRPr="00EA16B0" w:rsidRDefault="00D3608B" w:rsidP="00D3608B">
      <w:pPr>
        <w:shd w:val="clear" w:color="auto" w:fill="FFFFFF"/>
        <w:spacing w:after="0"/>
        <w:ind w:left="2268" w:right="851"/>
        <w:jc w:val="both"/>
        <w:rPr>
          <w:rFonts w:asciiTheme="majorHAnsi" w:hAnsiTheme="majorHAnsi" w:cstheme="majorHAnsi"/>
          <w:color w:val="000000"/>
          <w:sz w:val="20"/>
          <w:szCs w:val="20"/>
        </w:rPr>
      </w:pPr>
      <w:bookmarkStart w:id="20" w:name="art39§1i"/>
      <w:bookmarkEnd w:id="20"/>
      <w:r w:rsidRPr="00EA16B0">
        <w:rPr>
          <w:rFonts w:asciiTheme="majorHAnsi" w:hAnsiTheme="majorHAnsi" w:cstheme="majorHAnsi"/>
          <w:color w:val="000000"/>
          <w:sz w:val="20"/>
          <w:szCs w:val="20"/>
        </w:rPr>
        <w:t xml:space="preserve">I – </w:t>
      </w:r>
      <w:proofErr w:type="gramStart"/>
      <w:r w:rsidRPr="00EA16B0">
        <w:rPr>
          <w:rFonts w:asciiTheme="majorHAnsi" w:hAnsiTheme="majorHAnsi" w:cstheme="majorHAnsi"/>
          <w:color w:val="000000"/>
          <w:sz w:val="20"/>
          <w:szCs w:val="20"/>
        </w:rPr>
        <w:t>de</w:t>
      </w:r>
      <w:proofErr w:type="gramEnd"/>
      <w:r w:rsidRPr="00EA16B0">
        <w:rPr>
          <w:rFonts w:asciiTheme="majorHAnsi" w:hAnsiTheme="majorHAnsi" w:cstheme="majorHAnsi"/>
          <w:color w:val="000000"/>
          <w:sz w:val="20"/>
          <w:szCs w:val="20"/>
        </w:rPr>
        <w:t xml:space="preserve"> formação inicial e continuada ou qualificação profissional; </w:t>
      </w:r>
    </w:p>
    <w:p w14:paraId="0BE0C699" w14:textId="77777777" w:rsidR="00D3608B" w:rsidRPr="00EA16B0" w:rsidRDefault="00D3608B" w:rsidP="00D3608B">
      <w:pPr>
        <w:shd w:val="clear" w:color="auto" w:fill="FFFFFF"/>
        <w:spacing w:after="0"/>
        <w:ind w:left="2268" w:right="851"/>
        <w:jc w:val="both"/>
        <w:rPr>
          <w:rFonts w:asciiTheme="majorHAnsi" w:hAnsiTheme="majorHAnsi" w:cstheme="majorHAnsi"/>
          <w:color w:val="000000"/>
          <w:sz w:val="20"/>
          <w:szCs w:val="20"/>
        </w:rPr>
      </w:pPr>
      <w:bookmarkStart w:id="21" w:name="art39§1ii"/>
      <w:bookmarkEnd w:id="21"/>
      <w:r w:rsidRPr="00EA16B0">
        <w:rPr>
          <w:rFonts w:asciiTheme="majorHAnsi" w:hAnsiTheme="majorHAnsi" w:cstheme="majorHAnsi"/>
          <w:color w:val="000000"/>
          <w:sz w:val="20"/>
          <w:szCs w:val="20"/>
        </w:rPr>
        <w:t xml:space="preserve">II – </w:t>
      </w:r>
      <w:proofErr w:type="gramStart"/>
      <w:r w:rsidRPr="00EA16B0">
        <w:rPr>
          <w:rFonts w:asciiTheme="majorHAnsi" w:hAnsiTheme="majorHAnsi" w:cstheme="majorHAnsi"/>
          <w:color w:val="000000"/>
          <w:sz w:val="20"/>
          <w:szCs w:val="20"/>
        </w:rPr>
        <w:t>de</w:t>
      </w:r>
      <w:proofErr w:type="gramEnd"/>
      <w:r w:rsidRPr="00EA16B0">
        <w:rPr>
          <w:rFonts w:asciiTheme="majorHAnsi" w:hAnsiTheme="majorHAnsi" w:cstheme="majorHAnsi"/>
          <w:color w:val="000000"/>
          <w:sz w:val="20"/>
          <w:szCs w:val="20"/>
        </w:rPr>
        <w:t xml:space="preserve"> educação profissional técnica de nível médio; </w:t>
      </w:r>
    </w:p>
    <w:p w14:paraId="492F8564" w14:textId="7BA9CC2C" w:rsidR="00D3608B" w:rsidRPr="00EA16B0" w:rsidRDefault="00D3608B" w:rsidP="00D3608B">
      <w:pPr>
        <w:shd w:val="clear" w:color="auto" w:fill="FFFFFF"/>
        <w:ind w:left="2268" w:right="851"/>
        <w:jc w:val="both"/>
        <w:rPr>
          <w:rFonts w:asciiTheme="majorHAnsi" w:hAnsiTheme="majorHAnsi" w:cstheme="majorHAnsi"/>
          <w:color w:val="000000"/>
          <w:sz w:val="20"/>
          <w:szCs w:val="20"/>
        </w:rPr>
      </w:pPr>
      <w:bookmarkStart w:id="22" w:name="art39§1iii"/>
      <w:bookmarkEnd w:id="22"/>
      <w:r w:rsidRPr="00EA16B0">
        <w:rPr>
          <w:rFonts w:asciiTheme="majorHAnsi" w:hAnsiTheme="majorHAnsi" w:cstheme="majorHAnsi"/>
          <w:color w:val="000000"/>
          <w:sz w:val="20"/>
          <w:szCs w:val="20"/>
        </w:rPr>
        <w:t>III – de educação profissional tecnológica de graduação e de pós-graduação. (BRASIL, 1996)</w:t>
      </w:r>
    </w:p>
    <w:p w14:paraId="3C0AC0DA" w14:textId="77777777" w:rsidR="00D3608B" w:rsidRPr="00EA16B0" w:rsidRDefault="00D3608B" w:rsidP="00D3608B">
      <w:pPr>
        <w:shd w:val="clear" w:color="auto" w:fill="FFFFFF"/>
        <w:ind w:left="2268" w:right="851"/>
        <w:jc w:val="both"/>
        <w:rPr>
          <w:rFonts w:asciiTheme="majorHAnsi" w:hAnsiTheme="majorHAnsi" w:cstheme="majorHAnsi"/>
          <w:color w:val="000000"/>
          <w:sz w:val="20"/>
          <w:szCs w:val="20"/>
        </w:rPr>
      </w:pPr>
    </w:p>
    <w:p w14:paraId="3F1D34CE"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Ora, a formação inicial e continuada pode ser algum curso de extensão ofertado por escola da educação básica ou superior ou mesmo não ser uma formação escolar, como, por exemplo, os antigos “cursos de corte e costura” ou a formação inicial de auxiliares para a construção civil ou de especialistas na colocação de azulejos, vidraceiros etc., tipicamente ofertados pelo chamado “Sistema S”. Poderia ou não estar contemplada na LDB; o maior problema se encontra nos outros dois incisos: a educação profissional técnica de nível médio está contemplada no capítulo II, já que faz parte da educação básica; e a educação profissional tecnológica de graduação e pós-graduação está contemplada no capítulo IV, já que se trata de formação da educação superior. Isso, obviamente, não contribui para esclarecer e leva a outra questão preconceituosa: bacharelados e licenciaturas não seriam educação profissional? Aliás, em termos profissionais na escolarização, vislumbram-se duas possibilidades: a formação profissional técnica de nível médio; e a formação superior, esta última, toda ela profissional e, em muitos casos, com profissões regulamentadas em lei. Os mais de 25 anos de existência da LDB ainda não foram capazes de eliminar esses preconceitos e de melhorar esses entendimentos, o que deverá ocorrer com a prática institucional, especialmente das IES públicas se elas passarem a referenciar o sistema e desenvolverem formações inovadoras com o uso e a exploração dessas diferenças.</w:t>
      </w:r>
    </w:p>
    <w:p w14:paraId="5E7F96C1"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Com isso, a ideia de uma formação aligeirada pode ser facilmente descartada visto tratar-se de abordagem mais específica e, portanto, mais concentrada em alguns assuntos também tratados nos bacharelados da mesma área. Por exemplo, o curso de Bacharelado em Ciência da Computação, que deve ter pelo menos 3.200 horas, abrange aspectos associados ao desenvolvimento de sistemas, à internet, a banco de dados, segurança etc. Os cursos de tecnologia da área, boa parte deles com 2.000 horas, abordam apenas uma dessas vertentes tratadas no bacharelado. Desse </w:t>
      </w:r>
      <w:r w:rsidRPr="00EA16B0">
        <w:rPr>
          <w:rFonts w:asciiTheme="majorHAnsi" w:hAnsiTheme="majorHAnsi" w:cstheme="majorHAnsi"/>
          <w:sz w:val="24"/>
          <w:szCs w:val="24"/>
        </w:rPr>
        <w:lastRenderedPageBreak/>
        <w:t>modo, temos CST em Análise e Desenvolvimento de Sistemas, CST em Banco de Dados; CST em Segurança da Informação, CST em Redes de Computadores etc., cada um deles com 2.000 horas e, quase certamente, com maior carga horária naquela vertente também tratada no bacharelado. Entretanto, cumpre ressaltar que as características mais genéricas garantem aos bacharéis uma formação mais diversificada e menos suscetível a modificações decorrentes de alterações de demanda mais imediata do mercado de trabalho.</w:t>
      </w:r>
    </w:p>
    <w:p w14:paraId="5FC754BC" w14:textId="19F8DBC4" w:rsidR="00D3608B" w:rsidRPr="00EA16B0" w:rsidRDefault="00D3608B" w:rsidP="003A7871">
      <w:pPr>
        <w:pStyle w:val="Ttulo3"/>
        <w:numPr>
          <w:ilvl w:val="3"/>
          <w:numId w:val="1"/>
        </w:numPr>
        <w:tabs>
          <w:tab w:val="clear" w:pos="1615"/>
          <w:tab w:val="left" w:pos="1276"/>
        </w:tabs>
        <w:ind w:left="993" w:hanging="709"/>
        <w:rPr>
          <w:rFonts w:asciiTheme="majorHAnsi" w:hAnsiTheme="majorHAnsi" w:cstheme="majorHAnsi"/>
        </w:rPr>
      </w:pPr>
      <w:r w:rsidRPr="00EA16B0">
        <w:rPr>
          <w:rFonts w:asciiTheme="majorHAnsi" w:hAnsiTheme="majorHAnsi" w:cstheme="majorHAnsi"/>
        </w:rPr>
        <w:t>Bacharelados</w:t>
      </w:r>
    </w:p>
    <w:p w14:paraId="7D0A9C57"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Atualmente, são considerados todos os cursos de graduação que não se enquadram nas duas situações anteriores (licenciatura e curso superior de tecnologia). São os cursos mais antigos e nas áreas mais tradicionais. O termo foi mais utilizado para os formados em cursos de Direito. Nas Engenharias e Medicina há escolas que emitem os diplomas como “Bacharel em Engenharia Elétrica” ao invés do grau de “Engenheiro eletricista”, por exemplo. O mesmo ocorre para o curso de Medicina (Bacharel Em Medicina ou em Ciências Médicas em vez de médico). Nas áreas menos tradicionais, essa denominação é mais comum: Bacharel em Ciências Biológicas ou Bacharel em Biologia é mais comum do que diploma com o grau de biólogo.</w:t>
      </w:r>
    </w:p>
    <w:p w14:paraId="1B1CB2F7"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Os bacharelados são, portanto, cursos cuja principal característica é a formação mais geral em uma dada área do conhecimento. Desse modo, o Bacharel em Física terá conteúdos curriculares em mecânica, ótica, eletricidade, física quântica, termologia etc. Em contrapartida, teremos CST em Eletrônica Industrial, CST em Mecânica de Precisão, CST em Sistemas Elétricos etc.</w:t>
      </w:r>
    </w:p>
    <w:p w14:paraId="370A5CDC"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A partir dos anos 2000, foram introduzidos os Bacharelados Interdisciplinares, versando sobre uma formação ainda mais generalista para uma grande área e essa tendência levou à edição, em 2011, do Parecer CNE 266 da Câmara de Educação Superior, regulamentando-os enquanto uma possibilidade para a formação em graduação (CNE, 2011). O parecer reforça o fato de que, como formação mais generalista em uma dada área, esses cursos podem viabilizar a continuidade de estudos em áreas específicas, algumas delas ainda não totalmente estabelecidas. Assim, sua perenidade enquanto formação inicial ganha uma importância que justificou essa regulamentação, homologada em novembro de 2011.</w:t>
      </w:r>
    </w:p>
    <w:p w14:paraId="2399476E"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Atualmente, há dezenas de IES que oferecem cursos interdisciplinares e, o mais comum dentre eles é o Bacharelado Interdisciplinar em Ciência e Tecnologia.</w:t>
      </w:r>
    </w:p>
    <w:p w14:paraId="4A5602D4"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lastRenderedPageBreak/>
        <w:t>Os bacharelados têm duração que varia entre 2.400 e 7.200 horas, conforme já informado na Figura 1.1.</w:t>
      </w:r>
    </w:p>
    <w:p w14:paraId="60B75DE0" w14:textId="633ED6DE" w:rsidR="00D3608B" w:rsidRPr="00EA16B0" w:rsidRDefault="00751777" w:rsidP="003A7871">
      <w:pPr>
        <w:pStyle w:val="Ttulo3"/>
        <w:numPr>
          <w:ilvl w:val="2"/>
          <w:numId w:val="1"/>
        </w:numPr>
        <w:ind w:left="709" w:hanging="709"/>
        <w:rPr>
          <w:rFonts w:asciiTheme="majorHAnsi" w:hAnsiTheme="majorHAnsi" w:cstheme="majorHAnsi"/>
        </w:rPr>
      </w:pPr>
      <w:bookmarkStart w:id="23" w:name="_Toc102319363"/>
      <w:r w:rsidRPr="00EA16B0">
        <w:rPr>
          <w:rFonts w:asciiTheme="majorHAnsi" w:hAnsiTheme="majorHAnsi" w:cstheme="majorHAnsi"/>
        </w:rPr>
        <w:t>OS CURSOS DE EXTENSÃO</w:t>
      </w:r>
      <w:bookmarkEnd w:id="23"/>
    </w:p>
    <w:p w14:paraId="75993290"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Os Cursos de extensão já eram previstos nas legislações anteriores e podem ter diferentes durações. Caso abranjam atividades que façam parte de algum curso de graduação ou sequencial, também podem ser motivo de aproveitamento de estudos ou equivalência. Normalmente, são utilizados para complementação ou para a abordagem de conhecimentos em uma determinada área ou de interesse da comunidade local. Em geral, têm uma carga horária reduzida, de quatro a 50 horas de duração.</w:t>
      </w:r>
    </w:p>
    <w:p w14:paraId="1135B680"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Importante aqui não confundir os cursos de extensão como sinônimo de atividades de extensão, já que os primeiros podem ser considerados como atividades de extensão quando direcionados não apenas para a comunidade interna. São muito comuns para abordagens específicas nos chamados minicursos presentes na maioria dos congressos, onde são apresentados conhecimentos normalmente não trabalhados nas atividades disciplinares dos cursos ou como reforço e atualização desses conhecimentos. Podem também aproveitar a presença de algum especialista visitante para que ele tenha a possibilidade de contribuir para o enriquecimento da formação dos estudantes e dos professores do local.</w:t>
      </w:r>
    </w:p>
    <w:p w14:paraId="54A70D76" w14:textId="6DB76798" w:rsidR="00D3608B" w:rsidRPr="00EA16B0" w:rsidRDefault="00751777" w:rsidP="003A7871">
      <w:pPr>
        <w:pStyle w:val="Ttulo3"/>
        <w:numPr>
          <w:ilvl w:val="2"/>
          <w:numId w:val="1"/>
        </w:numPr>
        <w:ind w:left="709" w:hanging="709"/>
        <w:rPr>
          <w:rFonts w:asciiTheme="majorHAnsi" w:hAnsiTheme="majorHAnsi" w:cstheme="majorHAnsi"/>
        </w:rPr>
      </w:pPr>
      <w:bookmarkStart w:id="24" w:name="_Toc102319364"/>
      <w:r w:rsidRPr="00EA16B0">
        <w:rPr>
          <w:rFonts w:asciiTheme="majorHAnsi" w:hAnsiTheme="majorHAnsi" w:cstheme="majorHAnsi"/>
        </w:rPr>
        <w:t>OS CURSOS E PROGRAMAS DE PÓS-GRADUAÇÃO</w:t>
      </w:r>
      <w:bookmarkEnd w:id="24"/>
    </w:p>
    <w:p w14:paraId="27BC5437"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A LDB define os cursos e programas de pós-graduação no inciso III do Art. 44 que estabelece os tipos de educação superior: “III </w:t>
      </w:r>
      <w:r w:rsidRPr="00EA16B0">
        <w:rPr>
          <w:rFonts w:asciiTheme="majorHAnsi" w:hAnsiTheme="majorHAnsi" w:cstheme="majorHAnsi"/>
          <w:sz w:val="24"/>
          <w:szCs w:val="24"/>
        </w:rPr>
        <w:softHyphen/>
        <w:t>– de pós-graduação, compreendendo programas de mestrado e doutorado, cursos de especialização, aperfeiçoamento e outros, abertos a candidatos diplomados em cursos de graduação e que atendam às exigências das instituições de ensino.” (BRASIL, 1996).</w:t>
      </w:r>
    </w:p>
    <w:p w14:paraId="7EF78E7B" w14:textId="77777777" w:rsidR="00D3608B" w:rsidRPr="00EA16B0" w:rsidRDefault="00D3608B" w:rsidP="00D3608B">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Percebe-se que houve a intenção de diferenciar como cursos, o que é normalmente conhecido como pós-graduação lato sensu: aperfeiçoamento e especialização e, como programas, aqueles conhecidos como cursos de pós-graduação stricto sensu: mestrado e doutorado. A ideia não foi incorporada pela maior parte das pessoas que continuam se referindo a essas formações com os termos latinos anteriormente consolidados, o que também ocorre com os próprios órgãos e setores governamentais.</w:t>
      </w:r>
    </w:p>
    <w:p w14:paraId="7A21EFFA" w14:textId="727AC9CC"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lastRenderedPageBreak/>
        <w:t>Cursos de Aperfeiçoamento e Especialização</w:t>
      </w:r>
    </w:p>
    <w:p w14:paraId="03004E39" w14:textId="77777777" w:rsidR="00D3608B" w:rsidRPr="00EA16B0" w:rsidRDefault="00D3608B" w:rsidP="001E4C33">
      <w:pPr>
        <w:spacing w:line="360" w:lineRule="auto"/>
        <w:jc w:val="both"/>
        <w:rPr>
          <w:rFonts w:asciiTheme="majorHAnsi" w:hAnsiTheme="majorHAnsi" w:cstheme="majorHAnsi"/>
          <w:sz w:val="24"/>
          <w:szCs w:val="24"/>
        </w:rPr>
      </w:pPr>
      <w:r w:rsidRPr="00EA16B0">
        <w:rPr>
          <w:rFonts w:asciiTheme="majorHAnsi" w:hAnsiTheme="majorHAnsi" w:cstheme="majorHAnsi"/>
          <w:sz w:val="24"/>
          <w:szCs w:val="24"/>
        </w:rPr>
        <w:t>Em tese, podem ser ofertados por IES que possuam cursos de graduação reconhecidos na mesma área em que são propostos.</w:t>
      </w:r>
    </w:p>
    <w:p w14:paraId="3DC592AF" w14:textId="77777777" w:rsidR="00D3608B" w:rsidRPr="00EA16B0" w:rsidRDefault="00D3608B" w:rsidP="001E4C33">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Os </w:t>
      </w:r>
      <w:r w:rsidRPr="00EA16B0">
        <w:rPr>
          <w:rFonts w:asciiTheme="majorHAnsi" w:hAnsiTheme="majorHAnsi" w:cstheme="majorHAnsi"/>
          <w:b/>
          <w:sz w:val="24"/>
          <w:szCs w:val="24"/>
        </w:rPr>
        <w:t>cursos de aperfeiçoamento</w:t>
      </w:r>
      <w:r w:rsidRPr="00EA16B0">
        <w:rPr>
          <w:rFonts w:asciiTheme="majorHAnsi" w:hAnsiTheme="majorHAnsi" w:cstheme="majorHAnsi"/>
          <w:sz w:val="24"/>
          <w:szCs w:val="24"/>
        </w:rPr>
        <w:t xml:space="preserve"> devem apresentar uma estrutura com pelo menos 180 horas de atividades curriculares, normalmente envolvendo mais de uma disciplina ou módulo. Sua conclusão origina um certificado que mostra as atividades realizadas e o rendimento obtido.</w:t>
      </w:r>
    </w:p>
    <w:p w14:paraId="5F992355" w14:textId="77777777" w:rsidR="00D3608B" w:rsidRPr="00EA16B0" w:rsidRDefault="00D3608B" w:rsidP="001E4C33">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São bastante utilizados pela área da saúde, a partir de complementos da formação recebida com novas habilidades técnicas desenvolvidas, ou no uso de práticas que aprofundam e, desse modo, aperfeiçoam a atividade profissional do egresso de um curso de graduação e, em boa parte dos casos, promovidos pelos conselhos de classe e com caráter prático acentuado.</w:t>
      </w:r>
    </w:p>
    <w:p w14:paraId="10ED69F8" w14:textId="77777777" w:rsidR="00D3608B" w:rsidRPr="00EA16B0" w:rsidRDefault="00D3608B" w:rsidP="001E4C33">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Não possuem regulamentação específica nem levam a título de “aperfeiçoado”, mas melhoram a qualidade da atuação do profissional e, por isso, são importantes para diferenciar essa atuação e, em alguns órgãos de classe, são utilizados para aumentar as atribuições profissionais ou permitir a atuação naquela área mais específica, como, por exemplo, uso de práticas laparoscópicas na medicina e implantes dentários na odontologia.</w:t>
      </w:r>
    </w:p>
    <w:p w14:paraId="7F070CC2" w14:textId="77777777" w:rsidR="00D3608B" w:rsidRPr="00EA16B0" w:rsidRDefault="00D3608B" w:rsidP="001E4C33">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Os </w:t>
      </w:r>
      <w:r w:rsidRPr="00EA16B0">
        <w:rPr>
          <w:rFonts w:asciiTheme="majorHAnsi" w:hAnsiTheme="majorHAnsi" w:cstheme="majorHAnsi"/>
          <w:b/>
          <w:sz w:val="24"/>
          <w:szCs w:val="24"/>
        </w:rPr>
        <w:t xml:space="preserve">Cursos de Especialização </w:t>
      </w:r>
      <w:r w:rsidRPr="00EA16B0">
        <w:rPr>
          <w:rFonts w:asciiTheme="majorHAnsi" w:hAnsiTheme="majorHAnsi" w:cstheme="majorHAnsi"/>
          <w:sz w:val="24"/>
          <w:szCs w:val="24"/>
        </w:rPr>
        <w:t>devem ter, pelo menos, 360 horas de atividades curriculares e um trabalho de conclusão individual, normalmente denominado monografia. Estão regulamentados no Sistema Federal pela Resolução CNE/CES n. 1/2018 (CNE, 2018c) e estão sujeitos à regulação, avaliação e supervisão dos órgãos competentes.</w:t>
      </w:r>
    </w:p>
    <w:p w14:paraId="4C815B1F" w14:textId="77777777" w:rsidR="00D3608B" w:rsidRPr="00EA16B0" w:rsidRDefault="00D3608B" w:rsidP="001E4C33">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A Resolução CNE/CES n. 2/2014 (CNE, 2014) instituiu um cadastro nacional de oferta dos cursos de especialização das IES credenciadas no sistema federal de ensino e, nele, a validade do curso fica condicionada a sua presença nesse cadastro nacional. Há sistemas estaduais, como o de São Paulo, onde os cursos de especialização devem ter 450 horas de duração e, quando oferecidos por IES sem autonomia universitária, ter seus projetos pedagógicos analisados e autorizados para funcionamento, o que está atualmente regulamentado pela Deliberação CEE n. 197/2021 (CEE-SP, 2021).</w:t>
      </w:r>
    </w:p>
    <w:p w14:paraId="19919CCA" w14:textId="77777777" w:rsidR="00D3608B" w:rsidRPr="00EA16B0" w:rsidRDefault="00D3608B" w:rsidP="001E4C33">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Os Cursos denominados MBA (</w:t>
      </w:r>
      <w:r w:rsidRPr="00EA16B0">
        <w:rPr>
          <w:rFonts w:asciiTheme="majorHAnsi" w:hAnsiTheme="majorHAnsi" w:cstheme="majorHAnsi"/>
          <w:sz w:val="24"/>
          <w:shd w:val="clear" w:color="auto" w:fill="FFFFFF"/>
        </w:rPr>
        <w:t xml:space="preserve">Master in Business </w:t>
      </w:r>
      <w:proofErr w:type="spellStart"/>
      <w:r w:rsidRPr="00EA16B0">
        <w:rPr>
          <w:rFonts w:asciiTheme="majorHAnsi" w:hAnsiTheme="majorHAnsi" w:cstheme="majorHAnsi"/>
          <w:sz w:val="24"/>
          <w:shd w:val="clear" w:color="auto" w:fill="FFFFFF"/>
        </w:rPr>
        <w:t>Administration</w:t>
      </w:r>
      <w:proofErr w:type="spellEnd"/>
      <w:r w:rsidRPr="00EA16B0">
        <w:rPr>
          <w:rFonts w:asciiTheme="majorHAnsi" w:hAnsiTheme="majorHAnsi" w:cstheme="majorHAnsi"/>
          <w:sz w:val="24"/>
          <w:szCs w:val="24"/>
        </w:rPr>
        <w:t>) são classificados como cursos de especialização e o mesmo tratamento é dado para as residências médicas.</w:t>
      </w:r>
    </w:p>
    <w:p w14:paraId="0238B3C6" w14:textId="10A7D92F"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lastRenderedPageBreak/>
        <w:t>Mestrado e Doutorado</w:t>
      </w:r>
    </w:p>
    <w:p w14:paraId="545563DB" w14:textId="77777777" w:rsidR="00D3608B" w:rsidRPr="00EA16B0" w:rsidRDefault="00D3608B" w:rsidP="00D408FA">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Os programas de mestrado e doutorado são formações denominadas de pós-graduação </w:t>
      </w:r>
      <w:r w:rsidRPr="00EA16B0">
        <w:rPr>
          <w:rFonts w:asciiTheme="majorHAnsi" w:hAnsiTheme="majorHAnsi" w:cstheme="majorHAnsi"/>
          <w:i/>
          <w:sz w:val="24"/>
          <w:szCs w:val="24"/>
        </w:rPr>
        <w:t>stricto sensu</w:t>
      </w:r>
      <w:r w:rsidRPr="00EA16B0">
        <w:rPr>
          <w:rFonts w:asciiTheme="majorHAnsi" w:hAnsiTheme="majorHAnsi" w:cstheme="majorHAnsi"/>
          <w:sz w:val="24"/>
          <w:szCs w:val="24"/>
        </w:rPr>
        <w:t>. São oferecidos pelas Instituições de Educação Superior (IES) e levam ao título de mestre e de doutor, respectivamente.</w:t>
      </w:r>
    </w:p>
    <w:p w14:paraId="6AE4B9DA" w14:textId="77777777" w:rsidR="00D3608B" w:rsidRPr="00EA16B0" w:rsidRDefault="00D3608B" w:rsidP="00D408FA">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Os programas de mestrado são integralizados a partir da aprovação em um conjunto de atividades curriculares e o desenvolvimento de uma dissertação que deve ser apresentada em sessão pública e ter a aprovação de uma banca constituída especificamente para esse ato.</w:t>
      </w:r>
    </w:p>
    <w:p w14:paraId="63BAC340" w14:textId="77777777" w:rsidR="00D3608B" w:rsidRPr="00EA16B0" w:rsidRDefault="00D3608B" w:rsidP="00D408FA">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Os programas de doutorado também são integralizados a partir da aprovação de atividades curriculares que podem convalidar ou não aquelas desenvolvidas no mestrado que, entretanto, não é requisito obrigatório para o ingresso em programas de doutorado. A outra exigência é o desenvolvimento de uma tese de doutorado, também apresentada em sessão pública e aprovada por banca especificamente constituída, que analisará o ineditismo e a relevância do trabalho apresentado.</w:t>
      </w:r>
    </w:p>
    <w:p w14:paraId="0EE14D30" w14:textId="77777777" w:rsidR="00D3608B" w:rsidRPr="00EA16B0" w:rsidRDefault="00D3608B" w:rsidP="00D408FA">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Os programas de mestrado e doutorado aprovados pelos órgãos deliberativos máximos de cada Instituição, se ofertados por universidades, terão validade </w:t>
      </w:r>
      <w:r w:rsidRPr="00EA16B0">
        <w:rPr>
          <w:rFonts w:asciiTheme="majorHAnsi" w:hAnsiTheme="majorHAnsi" w:cstheme="majorHAnsi"/>
          <w:i/>
          <w:sz w:val="24"/>
          <w:szCs w:val="24"/>
        </w:rPr>
        <w:t xml:space="preserve">interna </w:t>
      </w:r>
      <w:proofErr w:type="spellStart"/>
      <w:r w:rsidRPr="00EA16B0">
        <w:rPr>
          <w:rFonts w:asciiTheme="majorHAnsi" w:hAnsiTheme="majorHAnsi" w:cstheme="majorHAnsi"/>
          <w:i/>
          <w:sz w:val="24"/>
          <w:szCs w:val="24"/>
        </w:rPr>
        <w:t>corporis</w:t>
      </w:r>
      <w:proofErr w:type="spellEnd"/>
      <w:r w:rsidRPr="00EA16B0">
        <w:rPr>
          <w:rFonts w:asciiTheme="majorHAnsi" w:hAnsiTheme="majorHAnsi" w:cstheme="majorHAnsi"/>
          <w:sz w:val="24"/>
          <w:szCs w:val="24"/>
        </w:rPr>
        <w:t xml:space="preserve"> caso não obtenham recomendação da </w:t>
      </w:r>
      <w:r w:rsidRPr="00EA16B0">
        <w:rPr>
          <w:rFonts w:asciiTheme="majorHAnsi" w:hAnsiTheme="majorHAnsi" w:cstheme="majorHAnsi"/>
          <w:sz w:val="24"/>
          <w:shd w:val="clear" w:color="auto" w:fill="FFFFFF"/>
        </w:rPr>
        <w:t>Coordenação de Aperfeiçoamento de Pessoal de Nível Superior</w:t>
      </w:r>
      <w:r w:rsidRPr="00EA16B0">
        <w:rPr>
          <w:rFonts w:asciiTheme="majorHAnsi" w:hAnsiTheme="majorHAnsi" w:cstheme="majorHAnsi"/>
          <w:color w:val="4D5156"/>
          <w:shd w:val="clear" w:color="auto" w:fill="FFFFFF"/>
        </w:rPr>
        <w:t xml:space="preserve"> </w:t>
      </w:r>
      <w:r w:rsidRPr="00EA16B0">
        <w:rPr>
          <w:rFonts w:asciiTheme="majorHAnsi" w:hAnsiTheme="majorHAnsi" w:cstheme="majorHAnsi"/>
          <w:sz w:val="24"/>
          <w:szCs w:val="24"/>
        </w:rPr>
        <w:t>(CAPES), que realiza avaliações periódicas e atribui conceitos que variam de 1 a 5 para mestrados e de 1 a 7 para doutorados, sendo 3 a nota mínima para recomendação. As recomendações levam à validade nacional dos diplomas emitidos e registrados pelas instituições que oferecem esses programas, aos aprovados nas atividades que levam a sua integralização (CAPES, 2022).</w:t>
      </w:r>
    </w:p>
    <w:p w14:paraId="745AE33B" w14:textId="77777777" w:rsidR="00D3608B" w:rsidRPr="00EA16B0" w:rsidRDefault="00D3608B" w:rsidP="00D408FA">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No final dos anos 1990, foi criado o mestrado profissional, cuja origem e objetivos não cabe discutir no presente trabalho, mas que gerou alguma polêmica, seja por ter o objetivo de se contrapor, de certa forma, ao mestrado acadêmico, com uma aplicabilidade das dissertações voltada aos interesses mais imediatos e das corporações profissionais, seja por ter iniciado com cobrança para sua realização nas IES públicas, com a argumentação de que as empresas poderiam arcar com os custos dessa formação específica. Cabe aqui a observação que adjetivações dos cursos e programas, quaisquer que sejam, acabam levando a uma comparação que nem sempre fará com que as diferenças sejam consideradas inerentes a uma necessária diversidade, mas em muitos casos levará a uma indesejada hierarquização das duas ou mais adjetivações. Assim, de um lado se colocou que a formação acadêmica não atendia a uma formação mais aplicada (o que nem sempre é </w:t>
      </w:r>
      <w:r w:rsidRPr="00EA16B0">
        <w:rPr>
          <w:rFonts w:asciiTheme="majorHAnsi" w:hAnsiTheme="majorHAnsi" w:cstheme="majorHAnsi"/>
          <w:sz w:val="24"/>
          <w:szCs w:val="24"/>
        </w:rPr>
        <w:lastRenderedPageBreak/>
        <w:t>verdadeiro) e que uma orientação mais pragmática levaria ao desenvolvimento de dissertações sem esse viés (o que também nem sempre é verdadeiro). Desse modo, apesar de o título ser o mesmo, de mestre, ainda hoje há confusões e comparações que não condizem com a realidade já que há mestrados acadêmicos que levam a patentes e há mestrados profissionais que abordam temas mais teóricos. Baseado na mesma linha de raciocínio, em 2017, por meio da Portaria MEC n. 389 (MEC, 2017), foi instituído o doutorado profissional, com as mesmas argumentações.</w:t>
      </w:r>
    </w:p>
    <w:p w14:paraId="5DCC427F" w14:textId="77777777" w:rsidR="00D3608B" w:rsidRPr="00EA16B0" w:rsidRDefault="00D3608B" w:rsidP="00D408FA">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Essa classificação, de todo o modo, segue a mesma lógica do que está expresso no capítulo III da LDB sobre educação profissional que permeia todos os níveis da educação escolar e cria, em nosso entendimento, uma equivocada divisão de águas não obrigatoriamente existente. Como os títulos são os mesmos, fica a questão: mestrados e doutorados acadêmicos são exclusivos para quem pretende continuar na carreira com pesquisa acadêmica? Mestrados e doutorados profissionais são exclusivos para quem pretende ingressar ou continuar na carreira em empresas? Como o preparo se dá a partir das universidades, talvez fosse mais coerente continuar pensando que o que determina a natureza de uma dissertação ou tese é a questão que se quer responder com o trabalho. A prática profissional mostra exemplos de trabalhos de mestrado acadêmico que foram ou não financiados pela indústria, mas que não têm defesa pública por abordar desenvolvimento de produtos que levarão à deposição de patentes, com compromisso de sigilo pela banca examinadora; em contrapartida, há trabalhos de mestrado profissional onde o desenvolvimento se dá a partir de uma questão mais teórica e acadêmica que não terá a aplicabilidade imediata que justificou a sua implantação. Considerações à parte, a realidade educacional de hoje permite a criação de projetos para o estabelecimento de programas de mestrado e de doutorado nas duas vertentes: acadêmica e profissional.</w:t>
      </w:r>
    </w:p>
    <w:p w14:paraId="001FE9EB" w14:textId="77777777" w:rsidR="00D3608B" w:rsidRPr="00EA16B0" w:rsidRDefault="00D3608B" w:rsidP="00D408FA">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Há, ainda, alguns títulos de doutor obtidos no exterior, especialmente Estados Unidos e Europa, que utilizam o termo PhD (</w:t>
      </w:r>
      <w:proofErr w:type="spellStart"/>
      <w:r w:rsidRPr="00EA16B0">
        <w:rPr>
          <w:rFonts w:asciiTheme="majorHAnsi" w:hAnsiTheme="majorHAnsi" w:cstheme="majorHAnsi"/>
          <w:sz w:val="24"/>
          <w:szCs w:val="24"/>
        </w:rPr>
        <w:t>Philosophiae</w:t>
      </w:r>
      <w:proofErr w:type="spellEnd"/>
      <w:r w:rsidRPr="00EA16B0">
        <w:rPr>
          <w:rFonts w:asciiTheme="majorHAnsi" w:hAnsiTheme="majorHAnsi" w:cstheme="majorHAnsi"/>
          <w:sz w:val="24"/>
          <w:szCs w:val="24"/>
        </w:rPr>
        <w:t xml:space="preserve"> </w:t>
      </w:r>
      <w:proofErr w:type="spellStart"/>
      <w:r w:rsidRPr="00EA16B0">
        <w:rPr>
          <w:rFonts w:asciiTheme="majorHAnsi" w:hAnsiTheme="majorHAnsi" w:cstheme="majorHAnsi"/>
          <w:sz w:val="24"/>
          <w:szCs w:val="24"/>
        </w:rPr>
        <w:t>Doctor</w:t>
      </w:r>
      <w:proofErr w:type="spellEnd"/>
      <w:r w:rsidRPr="00EA16B0">
        <w:rPr>
          <w:rFonts w:asciiTheme="majorHAnsi" w:hAnsiTheme="majorHAnsi" w:cstheme="majorHAnsi"/>
          <w:sz w:val="24"/>
          <w:szCs w:val="24"/>
        </w:rPr>
        <w:t xml:space="preserve"> ou </w:t>
      </w:r>
      <w:proofErr w:type="spellStart"/>
      <w:r w:rsidRPr="00EA16B0">
        <w:rPr>
          <w:rFonts w:asciiTheme="majorHAnsi" w:hAnsiTheme="majorHAnsi" w:cstheme="majorHAnsi"/>
          <w:sz w:val="24"/>
          <w:szCs w:val="24"/>
        </w:rPr>
        <w:t>Philosophy</w:t>
      </w:r>
      <w:proofErr w:type="spellEnd"/>
      <w:r w:rsidRPr="00EA16B0">
        <w:rPr>
          <w:rFonts w:asciiTheme="majorHAnsi" w:hAnsiTheme="majorHAnsi" w:cstheme="majorHAnsi"/>
          <w:sz w:val="24"/>
          <w:szCs w:val="24"/>
        </w:rPr>
        <w:t xml:space="preserve"> </w:t>
      </w:r>
      <w:proofErr w:type="spellStart"/>
      <w:r w:rsidRPr="00EA16B0">
        <w:rPr>
          <w:rFonts w:asciiTheme="majorHAnsi" w:hAnsiTheme="majorHAnsi" w:cstheme="majorHAnsi"/>
          <w:sz w:val="24"/>
          <w:szCs w:val="24"/>
        </w:rPr>
        <w:t>Doctor</w:t>
      </w:r>
      <w:proofErr w:type="spellEnd"/>
      <w:r w:rsidRPr="00EA16B0">
        <w:rPr>
          <w:rFonts w:asciiTheme="majorHAnsi" w:hAnsiTheme="majorHAnsi" w:cstheme="majorHAnsi"/>
          <w:sz w:val="24"/>
          <w:szCs w:val="24"/>
        </w:rPr>
        <w:t xml:space="preserve"> ou Doutor em Filosofia) que tem a mesma conotação que tinham as então faculdades de Filosofia no Brasil, que congregavam as ciências de forma geral e áreas não aplicadas. O termo “</w:t>
      </w:r>
      <w:proofErr w:type="spellStart"/>
      <w:r w:rsidRPr="00EA16B0">
        <w:rPr>
          <w:rFonts w:asciiTheme="majorHAnsi" w:hAnsiTheme="majorHAnsi" w:cstheme="majorHAnsi"/>
          <w:sz w:val="24"/>
          <w:szCs w:val="24"/>
        </w:rPr>
        <w:t>philosophiae</w:t>
      </w:r>
      <w:proofErr w:type="spellEnd"/>
      <w:r w:rsidRPr="00EA16B0">
        <w:rPr>
          <w:rFonts w:asciiTheme="majorHAnsi" w:hAnsiTheme="majorHAnsi" w:cstheme="majorHAnsi"/>
          <w:sz w:val="24"/>
          <w:szCs w:val="24"/>
        </w:rPr>
        <w:t xml:space="preserve">” significa “amor ao conhecimento” e a derivação das ciências puras da Filosofia é mais do que histórica. São, no caso dos títulos brasileiros, sinônimos de nossos doutorados o que é explicitado quando são convalidados. Nos Estados Unidos, a adjetivação para outras áreas também é comum, como MD (Medical </w:t>
      </w:r>
      <w:proofErr w:type="spellStart"/>
      <w:r w:rsidRPr="00EA16B0">
        <w:rPr>
          <w:rFonts w:asciiTheme="majorHAnsi" w:hAnsiTheme="majorHAnsi" w:cstheme="majorHAnsi"/>
          <w:sz w:val="24"/>
          <w:szCs w:val="24"/>
        </w:rPr>
        <w:t>Doctor</w:t>
      </w:r>
      <w:proofErr w:type="spellEnd"/>
      <w:r w:rsidRPr="00EA16B0">
        <w:rPr>
          <w:rFonts w:asciiTheme="majorHAnsi" w:hAnsiTheme="majorHAnsi" w:cstheme="majorHAnsi"/>
          <w:sz w:val="24"/>
          <w:szCs w:val="24"/>
        </w:rPr>
        <w:t xml:space="preserve"> ou Doutor em Medicina) e JD (Juris </w:t>
      </w:r>
      <w:proofErr w:type="spellStart"/>
      <w:r w:rsidRPr="00EA16B0">
        <w:rPr>
          <w:rFonts w:asciiTheme="majorHAnsi" w:hAnsiTheme="majorHAnsi" w:cstheme="majorHAnsi"/>
          <w:sz w:val="24"/>
          <w:szCs w:val="24"/>
        </w:rPr>
        <w:t>Doctor</w:t>
      </w:r>
      <w:proofErr w:type="spellEnd"/>
      <w:r w:rsidRPr="00EA16B0">
        <w:rPr>
          <w:rFonts w:asciiTheme="majorHAnsi" w:hAnsiTheme="majorHAnsi" w:cstheme="majorHAnsi"/>
          <w:sz w:val="24"/>
          <w:szCs w:val="24"/>
        </w:rPr>
        <w:t xml:space="preserve"> ou Doutor em Leis) que se referem mais especificamente a essas profissões.</w:t>
      </w:r>
    </w:p>
    <w:p w14:paraId="635D7F70" w14:textId="77777777" w:rsidR="00D3608B" w:rsidRPr="00EA16B0" w:rsidRDefault="00D3608B" w:rsidP="00D408FA">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lastRenderedPageBreak/>
        <w:t xml:space="preserve">Com origem nas estaduais públicas de São Paulo, o título de Livre Docente pode ser obtido a partir da realização de uma tese com essa finalidade ou pelo conjunto de trabalhos e outras atividades acadêmicas, inclusive ligadas ao ensino, julgadas em ato de defesa pública que também consta normalmente do sorteio de um ponto para ser desenvolvido de forma acadêmica, em nível de pós-graduação. Esse título, cuja origem atribui-se à colocação de um novo degrau para acesso ao professor catedrático, acabou se consolidando como uma etapa nas carreiras docentes e tem sido utilizado em instituições federais, apesar de não serem obrigatórios nesses casos. Também a livre docência tem sido utilizada de outras formas que fazem </w:t>
      </w:r>
      <w:r w:rsidRPr="00EA16B0">
        <w:rPr>
          <w:rFonts w:asciiTheme="majorHAnsi" w:hAnsiTheme="majorHAnsi" w:cstheme="majorHAnsi"/>
          <w:spacing w:val="-2"/>
          <w:sz w:val="24"/>
          <w:szCs w:val="24"/>
        </w:rPr>
        <w:t>com que se tenha que tomar cuidado com a sua aceitação. Há instituições, por exemplo, que atribuem o título</w:t>
      </w:r>
      <w:r w:rsidRPr="00EA16B0">
        <w:rPr>
          <w:rFonts w:asciiTheme="majorHAnsi" w:hAnsiTheme="majorHAnsi" w:cstheme="majorHAnsi"/>
          <w:sz w:val="24"/>
          <w:szCs w:val="24"/>
        </w:rPr>
        <w:t xml:space="preserve"> de livre docente na data da defesa do doutorado para aqueles candidatos que possuem experiência didática em educação superior por um certo período (cinco a dez anos), deturpando, assim, o conceito que gerou esse título.</w:t>
      </w:r>
    </w:p>
    <w:p w14:paraId="14EEC5D5" w14:textId="45B4ECD0" w:rsidR="00D3608B" w:rsidRPr="00EA16B0" w:rsidRDefault="00D3608B" w:rsidP="00D408FA">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Finalmente, é cada vez mais comum a realização de estágios e desenvolvimento de projetos de pós-doutorado, que contam com financiamento das agências de fomento nacional e estaduais, e, apesar de não haver um título formal de “pós-doutor”, o termo vem sendo (erroneamente) utilizado por diversas instituições e já se encontram “cursos” que levam a essa condição, já que formalmente não se trata de um título, mas da realização de projeto, cuja ideia inicial era a de permitir o desenvolvimento de trabalho de pesquisa em grupo com reconhecida qualidade internacional, depois da obtenção do título de doutor, em cooperação e sob a supervisão do líder desse grupo de pesquisa expoente na área da titulação. Inicialmente realizado no exterior, os pós-doutorados (ou abreviadamente “pós-</w:t>
      </w:r>
      <w:proofErr w:type="spellStart"/>
      <w:r w:rsidRPr="00EA16B0">
        <w:rPr>
          <w:rFonts w:asciiTheme="majorHAnsi" w:hAnsiTheme="majorHAnsi" w:cstheme="majorHAnsi"/>
          <w:sz w:val="24"/>
          <w:szCs w:val="24"/>
        </w:rPr>
        <w:t>doc</w:t>
      </w:r>
      <w:proofErr w:type="spellEnd"/>
      <w:r w:rsidRPr="00EA16B0">
        <w:rPr>
          <w:rFonts w:asciiTheme="majorHAnsi" w:hAnsiTheme="majorHAnsi" w:cstheme="majorHAnsi"/>
          <w:sz w:val="24"/>
          <w:szCs w:val="24"/>
        </w:rPr>
        <w:t>”) foram lentamente ganhando espaço no país à medida que os programas de doutorado foram aumentando, em quantidade e qualidade.</w:t>
      </w:r>
    </w:p>
    <w:p w14:paraId="48EDCC44" w14:textId="77777777" w:rsidR="001E4C33" w:rsidRPr="00EA16B0" w:rsidRDefault="001E4C33" w:rsidP="001E4C33">
      <w:pPr>
        <w:spacing w:line="360" w:lineRule="auto"/>
        <w:jc w:val="both"/>
        <w:rPr>
          <w:rFonts w:asciiTheme="majorHAnsi" w:hAnsiTheme="majorHAnsi" w:cstheme="majorHAnsi"/>
          <w:sz w:val="24"/>
          <w:szCs w:val="24"/>
        </w:rPr>
      </w:pPr>
    </w:p>
    <w:p w14:paraId="27282B96" w14:textId="3C56C6F4" w:rsidR="00D3608B" w:rsidRPr="00EA16B0" w:rsidRDefault="00D3608B" w:rsidP="003A7871">
      <w:pPr>
        <w:pStyle w:val="Ttulo2"/>
        <w:numPr>
          <w:ilvl w:val="1"/>
          <w:numId w:val="1"/>
        </w:numPr>
        <w:tabs>
          <w:tab w:val="clear" w:pos="1615"/>
        </w:tabs>
        <w:spacing w:before="0" w:after="0" w:line="360" w:lineRule="auto"/>
        <w:ind w:left="993" w:hanging="576"/>
        <w:rPr>
          <w:rFonts w:asciiTheme="majorHAnsi" w:hAnsiTheme="majorHAnsi" w:cstheme="majorHAnsi"/>
        </w:rPr>
      </w:pPr>
      <w:bookmarkStart w:id="25" w:name="_Toc102319365"/>
      <w:r w:rsidRPr="00EA16B0">
        <w:rPr>
          <w:rFonts w:asciiTheme="majorHAnsi" w:hAnsiTheme="majorHAnsi" w:cstheme="majorHAnsi"/>
        </w:rPr>
        <w:t>NATUREZA JURÍDICA E ABRANGÊNCIA DAS IES BRASILEIRAS</w:t>
      </w:r>
      <w:bookmarkEnd w:id="25"/>
    </w:p>
    <w:p w14:paraId="4B1CDD9A" w14:textId="77777777" w:rsidR="00D3608B" w:rsidRPr="00EA16B0" w:rsidRDefault="00D3608B" w:rsidP="001E4C33">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As instituições de ensino no Brasil podem ser públicas ou privadas, conforme determina o Art. 209 da Constituição (BRASIL, 1988) e o Art. 45 da LDB (BRASIL, 1996) que permite diferentes graus de abrangência ou especialização às mesmas. Até 1988, todas as instituições criadas pelo poder público eram consideradas públicas. Na nova Constituição, isso não ocorreu e, no inciso IV do Art. 206, foi estabelecida a </w:t>
      </w:r>
      <w:r w:rsidRPr="00EA16B0">
        <w:rPr>
          <w:rFonts w:asciiTheme="majorHAnsi" w:hAnsiTheme="majorHAnsi" w:cstheme="majorHAnsi"/>
          <w:color w:val="000000"/>
          <w:sz w:val="24"/>
          <w:szCs w:val="24"/>
          <w:shd w:val="clear" w:color="auto" w:fill="FFFFFF"/>
        </w:rPr>
        <w:t xml:space="preserve">gratuidade do ensino público em estabelecimentos oficiais. </w:t>
      </w:r>
      <w:r w:rsidRPr="00EA16B0">
        <w:rPr>
          <w:rFonts w:asciiTheme="majorHAnsi" w:hAnsiTheme="majorHAnsi" w:cstheme="majorHAnsi"/>
          <w:sz w:val="24"/>
          <w:szCs w:val="24"/>
        </w:rPr>
        <w:t xml:space="preserve">Aqueles que haviam sido criados anteriormente e que já cobravam pelos seus serviços foram excepcionados (Art. </w:t>
      </w:r>
      <w:r w:rsidRPr="00EA16B0">
        <w:rPr>
          <w:rFonts w:asciiTheme="majorHAnsi" w:hAnsiTheme="majorHAnsi" w:cstheme="majorHAnsi"/>
          <w:sz w:val="24"/>
          <w:szCs w:val="24"/>
        </w:rPr>
        <w:lastRenderedPageBreak/>
        <w:t>242 da Constituição) e, apesar de instituições públicas, continuam cobrando mensalidades em seus cursos, como é o caso da maioria das IES públicas municipais.</w:t>
      </w:r>
    </w:p>
    <w:p w14:paraId="2D6E3B0F" w14:textId="77777777" w:rsidR="00D3608B" w:rsidRPr="00EA16B0" w:rsidRDefault="00D3608B" w:rsidP="001E4C33">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Como um Estado Federativo, o país garante constitucionalmente a existência de Instituições de Ensino federais, estaduais e distritais e municipais. Em termos de Educação Superior, a LDB (BRASIL, 1996) determinou que as instituições criadas e mantidas pela Federação e as instituições privadas pertencem ao Sistema Federal de Ensino (Art. 16 da LDB); e que as instituições criadas e mantidas pelos Estados e pelo Distrito Federal e as instituições municipais de educação superior, pertencem aos respectivos sistemas estaduais ou do Distrito Federal (Art. 17).</w:t>
      </w:r>
    </w:p>
    <w:p w14:paraId="78DC6751" w14:textId="6F739C79" w:rsidR="00D3608B" w:rsidRPr="00EA16B0" w:rsidRDefault="00D3608B" w:rsidP="001E4C33">
      <w:pPr>
        <w:tabs>
          <w:tab w:val="clear" w:pos="1615"/>
        </w:tabs>
        <w:autoSpaceDE w:val="0"/>
        <w:autoSpaceDN w:val="0"/>
        <w:adjustRightInd w:val="0"/>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A abrangência das IES é definida pelos respectivos órgãos normativos de cada sistema de ensino e normalmente apresenta estruturas isoladas e denominadas Faculdades, até estruturas universitárias, que variam em seu regramento para cada sistema, mas que têm as características e princípios definidos constitucionalmente, como a indissociabilidade entre ensino, pesquisa e extensão, e autonomia administrativa, de gestão, e demais características definidas nos artigos 51 a 54 da LDB. Além disso, a LDB determina que nas IES públicas haverá obediência ao princípio da gestão democrática.</w:t>
      </w:r>
    </w:p>
    <w:p w14:paraId="4146AF4A" w14:textId="77777777" w:rsidR="001E4C33" w:rsidRPr="00EA16B0" w:rsidRDefault="001E4C33" w:rsidP="001E4C33">
      <w:pPr>
        <w:tabs>
          <w:tab w:val="clear" w:pos="1615"/>
        </w:tabs>
        <w:autoSpaceDE w:val="0"/>
        <w:autoSpaceDN w:val="0"/>
        <w:adjustRightInd w:val="0"/>
        <w:spacing w:line="360" w:lineRule="auto"/>
        <w:ind w:firstLine="709"/>
        <w:jc w:val="both"/>
        <w:rPr>
          <w:rFonts w:asciiTheme="majorHAnsi" w:hAnsiTheme="majorHAnsi" w:cstheme="majorHAnsi"/>
          <w:sz w:val="24"/>
          <w:szCs w:val="24"/>
        </w:rPr>
      </w:pPr>
    </w:p>
    <w:p w14:paraId="3A748975" w14:textId="3D69E4FB" w:rsidR="00D3608B" w:rsidRPr="00EA16B0" w:rsidRDefault="00D3608B" w:rsidP="003A7871">
      <w:pPr>
        <w:pStyle w:val="Ttulo2"/>
        <w:numPr>
          <w:ilvl w:val="1"/>
          <w:numId w:val="1"/>
        </w:numPr>
        <w:tabs>
          <w:tab w:val="clear" w:pos="1615"/>
        </w:tabs>
        <w:spacing w:before="0" w:after="0" w:line="360" w:lineRule="auto"/>
        <w:ind w:left="993" w:hanging="576"/>
        <w:rPr>
          <w:rFonts w:asciiTheme="majorHAnsi" w:hAnsiTheme="majorHAnsi" w:cstheme="majorHAnsi"/>
        </w:rPr>
      </w:pPr>
      <w:bookmarkStart w:id="26" w:name="_Toc102319366"/>
      <w:r w:rsidRPr="00EA16B0">
        <w:rPr>
          <w:rFonts w:asciiTheme="majorHAnsi" w:hAnsiTheme="majorHAnsi" w:cstheme="majorHAnsi"/>
        </w:rPr>
        <w:t>DIRETRIZES CURRICULARES NACIONAIS (DCN)</w:t>
      </w:r>
      <w:bookmarkEnd w:id="26"/>
    </w:p>
    <w:p w14:paraId="23CA313C" w14:textId="49CD7AE0" w:rsidR="00D3608B" w:rsidRPr="00EA16B0" w:rsidRDefault="00D3608B" w:rsidP="00390F44">
      <w:pPr>
        <w:spacing w:after="240"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Conforme salientado antes, a flexibilização curricular e o fim dos currículos mínimos levaram a organizações curriculares bastante diferentes. Já em 1997, o Conselho Nacional de Educação aprovou o Parecer CNE/CES 776/97 (CNE, 1997b), para orientar a elaboração de seus cursos, salientando a importância de ser assegurada a flexibilidade e a qualidade </w:t>
      </w:r>
      <w:proofErr w:type="gramStart"/>
      <w:r w:rsidRPr="00EA16B0">
        <w:rPr>
          <w:rFonts w:asciiTheme="majorHAnsi" w:hAnsiTheme="majorHAnsi" w:cstheme="majorHAnsi"/>
          <w:sz w:val="24"/>
          <w:szCs w:val="24"/>
        </w:rPr>
        <w:t>dos mesmos</w:t>
      </w:r>
      <w:proofErr w:type="gramEnd"/>
      <w:r w:rsidRPr="00EA16B0">
        <w:rPr>
          <w:rFonts w:asciiTheme="majorHAnsi" w:hAnsiTheme="majorHAnsi" w:cstheme="majorHAnsi"/>
          <w:sz w:val="24"/>
          <w:szCs w:val="24"/>
        </w:rPr>
        <w:t>, respeitando oito princípios abaixo transcritos:</w:t>
      </w:r>
    </w:p>
    <w:p w14:paraId="6AEFCB73" w14:textId="77777777" w:rsidR="00390F44" w:rsidRPr="00EA16B0" w:rsidRDefault="00390F44" w:rsidP="00D3608B">
      <w:pPr>
        <w:spacing w:after="240"/>
        <w:jc w:val="both"/>
        <w:rPr>
          <w:rFonts w:asciiTheme="majorHAnsi" w:hAnsiTheme="majorHAnsi" w:cstheme="majorHAnsi"/>
        </w:rPr>
      </w:pPr>
    </w:p>
    <w:p w14:paraId="1ECF9B92" w14:textId="77777777" w:rsidR="00D3608B" w:rsidRPr="00EA16B0" w:rsidRDefault="00D3608B" w:rsidP="00D3608B">
      <w:pPr>
        <w:spacing w:after="60"/>
        <w:ind w:left="2268" w:right="849"/>
        <w:jc w:val="both"/>
        <w:rPr>
          <w:rFonts w:asciiTheme="majorHAnsi" w:hAnsiTheme="majorHAnsi" w:cstheme="majorHAnsi"/>
          <w:sz w:val="20"/>
          <w:szCs w:val="20"/>
        </w:rPr>
      </w:pPr>
      <w:r w:rsidRPr="00EA16B0">
        <w:rPr>
          <w:rFonts w:asciiTheme="majorHAnsi" w:hAnsiTheme="majorHAnsi" w:cstheme="majorHAnsi"/>
          <w:sz w:val="20"/>
          <w:szCs w:val="20"/>
        </w:rPr>
        <w:t>1) Assegurar às instituições de ensino superior ampla liberdade na composição da carga horária a ser cumprida para a integralização dos currículos, assim como na especificação das unidades de estudos a serem ministradas;</w:t>
      </w:r>
    </w:p>
    <w:p w14:paraId="1D90028A" w14:textId="77777777" w:rsidR="00D3608B" w:rsidRPr="00EA16B0" w:rsidRDefault="00D3608B" w:rsidP="00D3608B">
      <w:pPr>
        <w:spacing w:after="60"/>
        <w:ind w:left="2268" w:right="849"/>
        <w:jc w:val="both"/>
        <w:rPr>
          <w:rFonts w:asciiTheme="majorHAnsi" w:hAnsiTheme="majorHAnsi" w:cstheme="majorHAnsi"/>
          <w:sz w:val="20"/>
          <w:szCs w:val="20"/>
        </w:rPr>
      </w:pPr>
      <w:r w:rsidRPr="00EA16B0">
        <w:rPr>
          <w:rFonts w:asciiTheme="majorHAnsi" w:hAnsiTheme="majorHAnsi" w:cstheme="majorHAnsi"/>
          <w:sz w:val="20"/>
          <w:szCs w:val="20"/>
        </w:rPr>
        <w:t xml:space="preserve">2) Indicar os tópicos ou campos de estudo e demais experiências de ensino-aprendizagem que comporão os currículos, evitando ao máximo a fixação de </w:t>
      </w:r>
      <w:proofErr w:type="spellStart"/>
      <w:r w:rsidRPr="00EA16B0">
        <w:rPr>
          <w:rFonts w:asciiTheme="majorHAnsi" w:hAnsiTheme="majorHAnsi" w:cstheme="majorHAnsi"/>
          <w:sz w:val="20"/>
          <w:szCs w:val="20"/>
        </w:rPr>
        <w:t>conteúdos</w:t>
      </w:r>
      <w:proofErr w:type="spellEnd"/>
      <w:r w:rsidRPr="00EA16B0">
        <w:rPr>
          <w:rFonts w:asciiTheme="majorHAnsi" w:hAnsiTheme="majorHAnsi" w:cstheme="majorHAnsi"/>
          <w:sz w:val="20"/>
          <w:szCs w:val="20"/>
        </w:rPr>
        <w:t xml:space="preserve"> específicos com cargas horárias pré-determinadas, as quais não poderão exceder 50% da carga horária total dos cursos;</w:t>
      </w:r>
    </w:p>
    <w:p w14:paraId="38BE1B16" w14:textId="77777777" w:rsidR="00D3608B" w:rsidRPr="00EA16B0" w:rsidRDefault="00D3608B" w:rsidP="00D3608B">
      <w:pPr>
        <w:spacing w:after="60"/>
        <w:ind w:left="2268" w:right="849"/>
        <w:jc w:val="both"/>
        <w:rPr>
          <w:rFonts w:asciiTheme="majorHAnsi" w:hAnsiTheme="majorHAnsi" w:cstheme="majorHAnsi"/>
          <w:sz w:val="20"/>
          <w:szCs w:val="20"/>
        </w:rPr>
      </w:pPr>
      <w:r w:rsidRPr="00EA16B0">
        <w:rPr>
          <w:rFonts w:asciiTheme="majorHAnsi" w:hAnsiTheme="majorHAnsi" w:cstheme="majorHAnsi"/>
          <w:sz w:val="20"/>
          <w:szCs w:val="20"/>
        </w:rPr>
        <w:t>3) Evitar o prolongamento desnecessário da duração dos cursos de graduação;</w:t>
      </w:r>
    </w:p>
    <w:p w14:paraId="7021E23F" w14:textId="77777777" w:rsidR="00D3608B" w:rsidRPr="00EA16B0" w:rsidRDefault="00D3608B" w:rsidP="00D3608B">
      <w:pPr>
        <w:spacing w:after="60"/>
        <w:ind w:left="2268" w:right="849"/>
        <w:jc w:val="both"/>
        <w:rPr>
          <w:rFonts w:asciiTheme="majorHAnsi" w:hAnsiTheme="majorHAnsi" w:cstheme="majorHAnsi"/>
          <w:sz w:val="20"/>
          <w:szCs w:val="20"/>
        </w:rPr>
      </w:pPr>
      <w:r w:rsidRPr="00EA16B0">
        <w:rPr>
          <w:rFonts w:asciiTheme="majorHAnsi" w:hAnsiTheme="majorHAnsi" w:cstheme="majorHAnsi"/>
          <w:sz w:val="20"/>
          <w:szCs w:val="20"/>
        </w:rPr>
        <w:t xml:space="preserve">4) Incentivar uma sólida formação geral, necessária para que o futuro graduado possa vir a superar os desafios de renovadas condições de exercício profissional </w:t>
      </w:r>
      <w:r w:rsidRPr="00EA16B0">
        <w:rPr>
          <w:rFonts w:asciiTheme="majorHAnsi" w:hAnsiTheme="majorHAnsi" w:cstheme="majorHAnsi"/>
          <w:sz w:val="20"/>
          <w:szCs w:val="20"/>
        </w:rPr>
        <w:lastRenderedPageBreak/>
        <w:t>e de produção do conhecimento, permitindo variados tipos de formação e habilitações diferenciadas em um mesmo programa;</w:t>
      </w:r>
    </w:p>
    <w:p w14:paraId="5EF1811F" w14:textId="77777777" w:rsidR="00D3608B" w:rsidRPr="00EA16B0" w:rsidRDefault="00D3608B" w:rsidP="00D3608B">
      <w:pPr>
        <w:spacing w:after="60"/>
        <w:ind w:left="2268" w:right="849"/>
        <w:jc w:val="both"/>
        <w:rPr>
          <w:rFonts w:asciiTheme="majorHAnsi" w:hAnsiTheme="majorHAnsi" w:cstheme="majorHAnsi"/>
          <w:sz w:val="20"/>
          <w:szCs w:val="20"/>
        </w:rPr>
      </w:pPr>
      <w:r w:rsidRPr="00EA16B0">
        <w:rPr>
          <w:rFonts w:asciiTheme="majorHAnsi" w:hAnsiTheme="majorHAnsi" w:cstheme="majorHAnsi"/>
          <w:sz w:val="20"/>
          <w:szCs w:val="20"/>
        </w:rPr>
        <w:t>5) Estimular práticas de estudo independente, visando a uma progressiva autonomia profissional e intelectual do aluno;</w:t>
      </w:r>
    </w:p>
    <w:p w14:paraId="71F37460" w14:textId="77777777" w:rsidR="00D3608B" w:rsidRPr="00EA16B0" w:rsidRDefault="00D3608B" w:rsidP="00D3608B">
      <w:pPr>
        <w:spacing w:after="60"/>
        <w:ind w:left="2268" w:right="849"/>
        <w:jc w:val="both"/>
        <w:rPr>
          <w:rFonts w:asciiTheme="majorHAnsi" w:hAnsiTheme="majorHAnsi" w:cstheme="majorHAnsi"/>
          <w:sz w:val="20"/>
          <w:szCs w:val="20"/>
        </w:rPr>
      </w:pPr>
      <w:r w:rsidRPr="00EA16B0">
        <w:rPr>
          <w:rFonts w:asciiTheme="majorHAnsi" w:hAnsiTheme="majorHAnsi" w:cstheme="majorHAnsi"/>
          <w:sz w:val="20"/>
          <w:szCs w:val="20"/>
        </w:rPr>
        <w:t>6) Encorajar o reconhecimento de conhecimentos, habilidades e competências adquiridas fora do ambiente escolar, inclusive as que se referiram à experiência profissional julgada relevante para a área de formação considerada;</w:t>
      </w:r>
    </w:p>
    <w:p w14:paraId="23C47938" w14:textId="77777777" w:rsidR="00D3608B" w:rsidRPr="00EA16B0" w:rsidRDefault="00D3608B" w:rsidP="00D3608B">
      <w:pPr>
        <w:spacing w:after="60"/>
        <w:ind w:left="2268" w:right="849"/>
        <w:jc w:val="both"/>
        <w:rPr>
          <w:rFonts w:asciiTheme="majorHAnsi" w:hAnsiTheme="majorHAnsi" w:cstheme="majorHAnsi"/>
          <w:sz w:val="20"/>
          <w:szCs w:val="20"/>
        </w:rPr>
      </w:pPr>
      <w:r w:rsidRPr="00EA16B0">
        <w:rPr>
          <w:rFonts w:asciiTheme="majorHAnsi" w:hAnsiTheme="majorHAnsi" w:cstheme="majorHAnsi"/>
          <w:sz w:val="20"/>
          <w:szCs w:val="20"/>
        </w:rPr>
        <w:t>7) Fortalecer a articulação da teoria com a prática, valorizando a pesquisa individual e coletiva, assim como os estágios e a participação em atividades de extensão;</w:t>
      </w:r>
    </w:p>
    <w:p w14:paraId="436B1403" w14:textId="33A76C33" w:rsidR="00D3608B" w:rsidRPr="00EA16B0" w:rsidRDefault="00D3608B" w:rsidP="00D3608B">
      <w:pPr>
        <w:ind w:left="2268" w:right="851"/>
        <w:jc w:val="both"/>
        <w:rPr>
          <w:rFonts w:asciiTheme="majorHAnsi" w:hAnsiTheme="majorHAnsi" w:cstheme="majorHAnsi"/>
          <w:sz w:val="20"/>
          <w:szCs w:val="20"/>
        </w:rPr>
      </w:pPr>
      <w:r w:rsidRPr="00EA16B0">
        <w:rPr>
          <w:rFonts w:asciiTheme="majorHAnsi" w:hAnsiTheme="majorHAnsi" w:cstheme="majorHAnsi"/>
          <w:sz w:val="20"/>
          <w:szCs w:val="20"/>
        </w:rPr>
        <w:t>8) Incluir orientações para a condução de avaliações periódicas que utilizem instrumentos variados e sirvam para informar a docentes e a discentes acerca do desenvolvimento das atividades didáticas. (CNE, 1997b)</w:t>
      </w:r>
    </w:p>
    <w:p w14:paraId="38EEC1B6" w14:textId="77777777" w:rsidR="00390F44" w:rsidRPr="00EA16B0" w:rsidRDefault="00390F44" w:rsidP="00D3608B">
      <w:pPr>
        <w:ind w:left="2268" w:right="851"/>
        <w:jc w:val="both"/>
        <w:rPr>
          <w:rFonts w:asciiTheme="majorHAnsi" w:hAnsiTheme="majorHAnsi" w:cstheme="majorHAnsi"/>
          <w:sz w:val="20"/>
          <w:szCs w:val="20"/>
        </w:rPr>
      </w:pPr>
    </w:p>
    <w:p w14:paraId="7DEB998B" w14:textId="77777777" w:rsidR="00D3608B" w:rsidRPr="00EA16B0" w:rsidRDefault="00D3608B" w:rsidP="00390F44">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Infelizmente, o primeiro princípio levou a uma série de dúvidas e questionamentos, já que as aulas normalmente não tinham a duração de uma hora e era comum o uso da “hora-aula” para definir o tempo de duração dos cursos. Isso também se refletia nos acordos sindicais sobre o pagamento de atividades docentes. Além disso, também ocorreram alguns abusos de interpretação ligados a tentativas de abreviação do tempo dispensado às formações, com o intuito de atrair um maior contingente alunos. Com isso, vários pareceres foram aprovados e divulgados pelo CNE visando a orientar as instituições, tanto de educação básica, quanto superior. Um dos primeiros foi o conciso parecer CNE/CES 575/2001:</w:t>
      </w:r>
    </w:p>
    <w:p w14:paraId="2D31360D" w14:textId="77777777" w:rsidR="00390F44" w:rsidRPr="00EA16B0" w:rsidRDefault="00390F44" w:rsidP="00D3608B">
      <w:pPr>
        <w:spacing w:after="60"/>
        <w:ind w:left="2268" w:right="849"/>
        <w:jc w:val="both"/>
        <w:rPr>
          <w:rFonts w:asciiTheme="majorHAnsi" w:hAnsiTheme="majorHAnsi" w:cstheme="majorHAnsi"/>
          <w:sz w:val="20"/>
          <w:szCs w:val="20"/>
        </w:rPr>
      </w:pPr>
    </w:p>
    <w:p w14:paraId="526E5D42" w14:textId="11921B62" w:rsidR="00D3608B" w:rsidRPr="00EA16B0" w:rsidRDefault="00D3608B" w:rsidP="00D3608B">
      <w:pPr>
        <w:spacing w:after="60"/>
        <w:ind w:left="2268" w:right="849"/>
        <w:jc w:val="both"/>
        <w:rPr>
          <w:rFonts w:asciiTheme="majorHAnsi" w:hAnsiTheme="majorHAnsi" w:cstheme="majorHAnsi"/>
          <w:sz w:val="20"/>
          <w:szCs w:val="20"/>
        </w:rPr>
      </w:pPr>
      <w:r w:rsidRPr="00EA16B0">
        <w:rPr>
          <w:rFonts w:asciiTheme="majorHAnsi" w:hAnsiTheme="majorHAnsi" w:cstheme="majorHAnsi"/>
          <w:sz w:val="20"/>
          <w:szCs w:val="20"/>
        </w:rPr>
        <w:t>Estabeleça-se, antes de tudo, a seguinte preliminar: hora é período de 60 (sessenta) minutos, em convenção consagrada pela civilização contemporânea, não cabendo ao legislador alterá-la sob pena de afetar as bases mesmas de sociabilidade entre indivíduos, grupos, sociedades.</w:t>
      </w:r>
    </w:p>
    <w:p w14:paraId="6EFC9F3D" w14:textId="77777777" w:rsidR="00D3608B" w:rsidRPr="00EA16B0" w:rsidRDefault="00D3608B" w:rsidP="00D3608B">
      <w:pPr>
        <w:spacing w:after="60"/>
        <w:ind w:left="2268" w:right="849"/>
        <w:jc w:val="both"/>
        <w:rPr>
          <w:rFonts w:asciiTheme="majorHAnsi" w:hAnsiTheme="majorHAnsi" w:cstheme="majorHAnsi"/>
          <w:sz w:val="20"/>
          <w:szCs w:val="20"/>
        </w:rPr>
      </w:pPr>
      <w:r w:rsidRPr="00EA16B0">
        <w:rPr>
          <w:rFonts w:asciiTheme="majorHAnsi" w:hAnsiTheme="majorHAnsi" w:cstheme="majorHAnsi"/>
          <w:sz w:val="20"/>
          <w:szCs w:val="20"/>
        </w:rPr>
        <w:t xml:space="preserve">Considerando os instrumentos legais em vigor que tratam do assunto, particularmente o Artigo 47 da Lei n. 9.394/96, é clara a afirmação do ano letivo regular para educação superior, como contendo, no mínimo, 200 (duzentos) dias de trabalho acadêmico efetivo. </w:t>
      </w:r>
    </w:p>
    <w:p w14:paraId="6C75E76F" w14:textId="53F35415" w:rsidR="00D3608B" w:rsidRPr="00EA16B0" w:rsidRDefault="00D3608B" w:rsidP="00D3608B">
      <w:pPr>
        <w:ind w:left="2268" w:right="851"/>
        <w:jc w:val="both"/>
        <w:rPr>
          <w:rFonts w:asciiTheme="majorHAnsi" w:hAnsiTheme="majorHAnsi" w:cstheme="majorHAnsi"/>
          <w:spacing w:val="-2"/>
          <w:sz w:val="20"/>
          <w:szCs w:val="20"/>
        </w:rPr>
      </w:pPr>
      <w:r w:rsidRPr="00EA16B0">
        <w:rPr>
          <w:rFonts w:asciiTheme="majorHAnsi" w:hAnsiTheme="majorHAnsi" w:cstheme="majorHAnsi"/>
          <w:spacing w:val="-2"/>
          <w:sz w:val="20"/>
          <w:szCs w:val="20"/>
        </w:rPr>
        <w:t>O conceito de trabalho acadêmico efetivo, central para a questão aqui tratada, compreende</w:t>
      </w:r>
      <w:r w:rsidRPr="00EA16B0">
        <w:rPr>
          <w:rFonts w:asciiTheme="majorHAnsi" w:hAnsiTheme="majorHAnsi" w:cstheme="majorHAnsi"/>
          <w:sz w:val="20"/>
          <w:szCs w:val="20"/>
        </w:rPr>
        <w:t xml:space="preserve"> </w:t>
      </w:r>
      <w:r w:rsidRPr="00EA16B0">
        <w:rPr>
          <w:rFonts w:asciiTheme="majorHAnsi" w:hAnsiTheme="majorHAnsi" w:cstheme="majorHAnsi"/>
          <w:spacing w:val="-2"/>
          <w:sz w:val="20"/>
          <w:szCs w:val="20"/>
        </w:rPr>
        <w:t>atividades acadêmicas para além da sala de aula, como atividades em laboratório, biblioteca</w:t>
      </w:r>
      <w:r w:rsidRPr="00EA16B0">
        <w:rPr>
          <w:rFonts w:asciiTheme="majorHAnsi" w:hAnsiTheme="majorHAnsi" w:cstheme="majorHAnsi"/>
          <w:sz w:val="20"/>
          <w:szCs w:val="20"/>
        </w:rPr>
        <w:t xml:space="preserve"> e outras. Finalmente, cabe ressaltar que a hora-aula ajustada em dissídios trabalhistas, a “hora sindical”, diz respeito exclusivamente ao valor salário-aula, não devendo ter </w:t>
      </w:r>
      <w:r w:rsidRPr="00EA16B0">
        <w:rPr>
          <w:rFonts w:asciiTheme="majorHAnsi" w:hAnsiTheme="majorHAnsi" w:cstheme="majorHAnsi"/>
          <w:spacing w:val="-2"/>
          <w:sz w:val="20"/>
          <w:szCs w:val="20"/>
        </w:rPr>
        <w:t>repercussão na organização e funcionamento dos cursos de educação superior. (CNE, 2001).</w:t>
      </w:r>
    </w:p>
    <w:p w14:paraId="38ED8EC8" w14:textId="77777777" w:rsidR="00390F44" w:rsidRPr="00EA16B0" w:rsidRDefault="00390F44" w:rsidP="00D3608B">
      <w:pPr>
        <w:ind w:left="2268" w:right="851"/>
        <w:jc w:val="both"/>
        <w:rPr>
          <w:rFonts w:asciiTheme="majorHAnsi" w:hAnsiTheme="majorHAnsi" w:cstheme="majorHAnsi"/>
          <w:spacing w:val="-2"/>
          <w:sz w:val="20"/>
          <w:szCs w:val="20"/>
        </w:rPr>
      </w:pPr>
    </w:p>
    <w:p w14:paraId="023C8C55" w14:textId="77777777" w:rsidR="00D3608B" w:rsidRPr="00EA16B0" w:rsidRDefault="00D3608B" w:rsidP="00390F44">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Apesar disso, o tempo de curso continuou sendo um problema e, conforme a orientação inicial, não era contemplado na maioria das DCN dos cursos e começava a ser abordado pelos conselhos profissionais, ameaçando remeter as formações à situação dos currículos mínimos presentes na legislação anterior. Por isso, em 2007 foi elaborado um extenso parecer discorrendo </w:t>
      </w:r>
      <w:r w:rsidRPr="00EA16B0">
        <w:rPr>
          <w:rFonts w:asciiTheme="majorHAnsi" w:hAnsiTheme="majorHAnsi" w:cstheme="majorHAnsi"/>
          <w:sz w:val="24"/>
          <w:szCs w:val="24"/>
        </w:rPr>
        <w:lastRenderedPageBreak/>
        <w:t>sobre a duração dos cursos de graduação, em horas e em anos (CNE, 2007), o que levou a área ligada às ciências biológicas e da saúde a questionamentos que conduziram a novo parecer para esses cursos (CNE, 2009). Além disso, as diretrizes curriculares passaram a contemplar também a carga horária e duração dos cursos, como ocorreu com as DCN para a formação de professores, para cursos de computação e engenharias e para cursos superiores de tecnologia.</w:t>
      </w:r>
    </w:p>
    <w:p w14:paraId="67E047DB" w14:textId="77777777" w:rsidR="00D3608B" w:rsidRPr="00EA16B0" w:rsidRDefault="00D3608B" w:rsidP="00390F44">
      <w:pPr>
        <w:spacing w:line="360" w:lineRule="auto"/>
        <w:ind w:firstLine="709"/>
        <w:jc w:val="both"/>
        <w:rPr>
          <w:rFonts w:asciiTheme="majorHAnsi" w:hAnsiTheme="majorHAnsi" w:cstheme="majorHAnsi"/>
          <w:sz w:val="24"/>
          <w:shd w:val="clear" w:color="auto" w:fill="FFFFFF"/>
        </w:rPr>
      </w:pPr>
      <w:r w:rsidRPr="00EA16B0">
        <w:rPr>
          <w:rFonts w:asciiTheme="majorHAnsi" w:hAnsiTheme="majorHAnsi" w:cstheme="majorHAnsi"/>
          <w:sz w:val="24"/>
          <w:szCs w:val="24"/>
        </w:rPr>
        <w:t>Nas DCN, o conceito de atividade curricular se sobrepõe ao de disciplina, já que os cursos podem se desenvolver não a partir de um conjunto mínimo de disciplinas que formam uma dada matéria do curso. A flexibilidade permite que uma atividade curricular seja o conjunto de todas as unidades de ensino que formam um curso: disciplinas, visitas técnicas, projetos, Trabalhos Finais de Curso (TCC), estágio, atividades complementares etc. Desse modo, a diversidade das atividades previstas para uma dada formação passa a permitir um desenvolvimento diferenciado, o que anteriormente não era possível (CORTELAZZO et al., 2018).</w:t>
      </w:r>
    </w:p>
    <w:p w14:paraId="2231987F" w14:textId="77777777" w:rsidR="00D3608B" w:rsidRPr="00EA16B0" w:rsidRDefault="00D3608B" w:rsidP="00390F44">
      <w:pPr>
        <w:spacing w:after="240"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Hoje, a maior parte das DCN editada no início dos anos 2000 já teve pelo menos uma revisão, o que mantém atualizadas as formações proporcionadas pelos cursos de graduação mais comuns do país e abrangem todas as áreas do conhecimento. Todas elas são estruturadas de modo a atender ao disposto nos regramentos da Câmara de Educação Superior que, em 2001, aprovou o Parecer CNE n. 583, com orientação para as diretrizes curriculares dos cursos de graduação (CNE, 2001). Nesse parecer, é salientado que:</w:t>
      </w:r>
    </w:p>
    <w:p w14:paraId="63B3F4E2" w14:textId="77777777" w:rsidR="00D3608B" w:rsidRPr="00EA16B0" w:rsidRDefault="00D3608B" w:rsidP="00D3608B">
      <w:pPr>
        <w:spacing w:after="0"/>
        <w:ind w:left="2268" w:right="849"/>
        <w:jc w:val="both"/>
        <w:rPr>
          <w:rFonts w:asciiTheme="majorHAnsi" w:hAnsiTheme="majorHAnsi" w:cstheme="majorHAnsi"/>
          <w:sz w:val="20"/>
          <w:szCs w:val="20"/>
        </w:rPr>
      </w:pPr>
      <w:r w:rsidRPr="00EA16B0">
        <w:rPr>
          <w:rFonts w:asciiTheme="majorHAnsi" w:hAnsiTheme="majorHAnsi" w:cstheme="majorHAnsi"/>
          <w:sz w:val="20"/>
          <w:szCs w:val="20"/>
        </w:rPr>
        <w:t xml:space="preserve">A Câmara de Educação Superior do Conselho Nacional de Educação decidiu adotar uma orientação comum para as diretrizes que começa a aprovar e que garanta a flexibilidade, a </w:t>
      </w:r>
      <w:r w:rsidRPr="00EA16B0">
        <w:rPr>
          <w:rFonts w:asciiTheme="majorHAnsi" w:hAnsiTheme="majorHAnsi" w:cstheme="majorHAnsi"/>
          <w:spacing w:val="-2"/>
          <w:sz w:val="20"/>
          <w:szCs w:val="20"/>
        </w:rPr>
        <w:t>criatividade e a responsabilidade das instituições ao elaborarem suas propostas curriculares.</w:t>
      </w:r>
      <w:r w:rsidRPr="00EA16B0">
        <w:rPr>
          <w:rFonts w:asciiTheme="majorHAnsi" w:hAnsiTheme="majorHAnsi" w:cstheme="majorHAnsi"/>
          <w:sz w:val="20"/>
          <w:szCs w:val="20"/>
        </w:rPr>
        <w:t xml:space="preserve"> </w:t>
      </w:r>
    </w:p>
    <w:p w14:paraId="09C67D83" w14:textId="77777777" w:rsidR="00D3608B" w:rsidRPr="00EA16B0" w:rsidRDefault="00D3608B" w:rsidP="00D3608B">
      <w:pPr>
        <w:spacing w:after="0"/>
        <w:ind w:left="2268" w:right="849"/>
        <w:jc w:val="both"/>
        <w:rPr>
          <w:rFonts w:asciiTheme="majorHAnsi" w:hAnsiTheme="majorHAnsi" w:cstheme="majorHAnsi"/>
          <w:sz w:val="20"/>
          <w:szCs w:val="20"/>
        </w:rPr>
      </w:pPr>
      <w:r w:rsidRPr="00EA16B0">
        <w:rPr>
          <w:rFonts w:asciiTheme="majorHAnsi" w:hAnsiTheme="majorHAnsi" w:cstheme="majorHAnsi"/>
          <w:sz w:val="20"/>
          <w:szCs w:val="20"/>
        </w:rPr>
        <w:t xml:space="preserve">Portanto, é fundamental não confundir as diretrizes que são orientações mandatórias, mesmo às universidades, LDB, Art. 53: </w:t>
      </w:r>
    </w:p>
    <w:p w14:paraId="1EC9C449" w14:textId="0C8B70BE" w:rsidR="00D3608B" w:rsidRPr="00EA16B0" w:rsidRDefault="00D3608B" w:rsidP="00D3608B">
      <w:pPr>
        <w:spacing w:after="240"/>
        <w:ind w:left="2268" w:right="849"/>
        <w:jc w:val="both"/>
        <w:rPr>
          <w:rFonts w:asciiTheme="majorHAnsi" w:hAnsiTheme="majorHAnsi" w:cstheme="majorHAnsi"/>
          <w:sz w:val="20"/>
          <w:szCs w:val="20"/>
        </w:rPr>
      </w:pPr>
      <w:r w:rsidRPr="00EA16B0">
        <w:rPr>
          <w:rFonts w:asciiTheme="majorHAnsi" w:hAnsiTheme="majorHAnsi" w:cstheme="majorHAnsi"/>
          <w:sz w:val="20"/>
          <w:szCs w:val="20"/>
        </w:rPr>
        <w:t>“No exercício de sua autonomia, são asseguradas às universidades, sem prejuízos de outras, as seguintes atribuições: (...) II – fixar os currículos dos seus cursos e programas, observadas as diretrizes gerais pertinentes (...)” com parâmetros ou padrões — standard — curriculares que são referenciais curriculares detalhados e não obrigatórios. (CNE, 2001).</w:t>
      </w:r>
    </w:p>
    <w:p w14:paraId="5C70D395" w14:textId="77777777" w:rsidR="00390F44" w:rsidRPr="00EA16B0" w:rsidRDefault="00390F44" w:rsidP="00D3608B">
      <w:pPr>
        <w:spacing w:after="240"/>
        <w:ind w:left="2268" w:right="849"/>
        <w:jc w:val="both"/>
        <w:rPr>
          <w:rFonts w:asciiTheme="majorHAnsi" w:hAnsiTheme="majorHAnsi" w:cstheme="majorHAnsi"/>
          <w:sz w:val="20"/>
          <w:szCs w:val="20"/>
        </w:rPr>
      </w:pPr>
    </w:p>
    <w:p w14:paraId="3D7BF91D" w14:textId="77777777" w:rsidR="00D3608B" w:rsidRPr="00EA16B0" w:rsidRDefault="00D3608B" w:rsidP="00390F44">
      <w:pPr>
        <w:spacing w:after="240"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Nesse mesmo parecer, é determinado que a carga horária será objeto de um parecer e/ou uma resolução específica da Câmara de Educação Superior e que as diretrizes devem contemplar:</w:t>
      </w:r>
    </w:p>
    <w:p w14:paraId="5810AA25" w14:textId="77777777" w:rsidR="00D3608B" w:rsidRPr="00EA16B0" w:rsidRDefault="00D3608B" w:rsidP="003A7871">
      <w:pPr>
        <w:pStyle w:val="PargrafodaLista"/>
        <w:numPr>
          <w:ilvl w:val="0"/>
          <w:numId w:val="5"/>
        </w:numPr>
        <w:ind w:left="2552" w:right="849" w:hanging="284"/>
        <w:jc w:val="both"/>
        <w:rPr>
          <w:rFonts w:asciiTheme="majorHAnsi" w:hAnsiTheme="majorHAnsi" w:cstheme="majorHAnsi"/>
          <w:sz w:val="20"/>
          <w:szCs w:val="20"/>
        </w:rPr>
      </w:pPr>
      <w:r w:rsidRPr="00EA16B0">
        <w:rPr>
          <w:rFonts w:asciiTheme="majorHAnsi" w:hAnsiTheme="majorHAnsi" w:cstheme="majorHAnsi"/>
          <w:sz w:val="20"/>
          <w:szCs w:val="20"/>
        </w:rPr>
        <w:t>Perfil do formando/egresso/profissional – conforme o curso o projeto pedagógico deverá orientar o currículo para um perfil profissional desejado;</w:t>
      </w:r>
    </w:p>
    <w:p w14:paraId="125C3AC4" w14:textId="77777777" w:rsidR="00D3608B" w:rsidRPr="00EA16B0" w:rsidRDefault="00D3608B" w:rsidP="003A7871">
      <w:pPr>
        <w:pStyle w:val="PargrafodaLista"/>
        <w:numPr>
          <w:ilvl w:val="0"/>
          <w:numId w:val="5"/>
        </w:numPr>
        <w:ind w:left="2552" w:right="849" w:hanging="284"/>
        <w:jc w:val="both"/>
        <w:rPr>
          <w:rFonts w:asciiTheme="majorHAnsi" w:hAnsiTheme="majorHAnsi" w:cstheme="majorHAnsi"/>
          <w:sz w:val="20"/>
          <w:szCs w:val="20"/>
        </w:rPr>
      </w:pPr>
      <w:r w:rsidRPr="00EA16B0">
        <w:rPr>
          <w:rFonts w:asciiTheme="majorHAnsi" w:hAnsiTheme="majorHAnsi" w:cstheme="majorHAnsi"/>
          <w:sz w:val="20"/>
          <w:szCs w:val="20"/>
        </w:rPr>
        <w:t>Competência/habilidades/atitudes;</w:t>
      </w:r>
    </w:p>
    <w:p w14:paraId="77472533" w14:textId="77777777" w:rsidR="00D3608B" w:rsidRPr="00EA16B0" w:rsidRDefault="00D3608B" w:rsidP="003A7871">
      <w:pPr>
        <w:pStyle w:val="PargrafodaLista"/>
        <w:numPr>
          <w:ilvl w:val="0"/>
          <w:numId w:val="5"/>
        </w:numPr>
        <w:ind w:left="2552" w:right="849" w:hanging="284"/>
        <w:jc w:val="both"/>
        <w:rPr>
          <w:rFonts w:asciiTheme="majorHAnsi" w:hAnsiTheme="majorHAnsi" w:cstheme="majorHAnsi"/>
          <w:sz w:val="20"/>
          <w:szCs w:val="20"/>
        </w:rPr>
      </w:pPr>
      <w:r w:rsidRPr="00EA16B0">
        <w:rPr>
          <w:rFonts w:asciiTheme="majorHAnsi" w:hAnsiTheme="majorHAnsi" w:cstheme="majorHAnsi"/>
          <w:sz w:val="20"/>
          <w:szCs w:val="20"/>
        </w:rPr>
        <w:t>Habilitações e ênfases;</w:t>
      </w:r>
    </w:p>
    <w:p w14:paraId="7F6B17F9" w14:textId="77777777" w:rsidR="00D3608B" w:rsidRPr="00EA16B0" w:rsidRDefault="00D3608B" w:rsidP="003A7871">
      <w:pPr>
        <w:pStyle w:val="PargrafodaLista"/>
        <w:numPr>
          <w:ilvl w:val="0"/>
          <w:numId w:val="5"/>
        </w:numPr>
        <w:ind w:left="2552" w:right="849" w:hanging="284"/>
        <w:jc w:val="both"/>
        <w:rPr>
          <w:rFonts w:asciiTheme="majorHAnsi" w:hAnsiTheme="majorHAnsi" w:cstheme="majorHAnsi"/>
          <w:sz w:val="20"/>
          <w:szCs w:val="20"/>
        </w:rPr>
      </w:pPr>
      <w:r w:rsidRPr="00EA16B0">
        <w:rPr>
          <w:rFonts w:asciiTheme="majorHAnsi" w:hAnsiTheme="majorHAnsi" w:cstheme="majorHAnsi"/>
          <w:sz w:val="20"/>
          <w:szCs w:val="20"/>
        </w:rPr>
        <w:lastRenderedPageBreak/>
        <w:t>Conteúdos curriculares;</w:t>
      </w:r>
    </w:p>
    <w:p w14:paraId="4A83B4CD" w14:textId="77777777" w:rsidR="00D3608B" w:rsidRPr="00EA16B0" w:rsidRDefault="00D3608B" w:rsidP="003A7871">
      <w:pPr>
        <w:pStyle w:val="PargrafodaLista"/>
        <w:numPr>
          <w:ilvl w:val="0"/>
          <w:numId w:val="5"/>
        </w:numPr>
        <w:ind w:left="2552" w:right="849" w:hanging="284"/>
        <w:jc w:val="both"/>
        <w:rPr>
          <w:rFonts w:asciiTheme="majorHAnsi" w:hAnsiTheme="majorHAnsi" w:cstheme="majorHAnsi"/>
          <w:sz w:val="20"/>
          <w:szCs w:val="20"/>
        </w:rPr>
      </w:pPr>
      <w:r w:rsidRPr="00EA16B0">
        <w:rPr>
          <w:rFonts w:asciiTheme="majorHAnsi" w:hAnsiTheme="majorHAnsi" w:cstheme="majorHAnsi"/>
          <w:sz w:val="20"/>
          <w:szCs w:val="20"/>
        </w:rPr>
        <w:t>Organização do curso;</w:t>
      </w:r>
    </w:p>
    <w:p w14:paraId="39BBF45D" w14:textId="77777777" w:rsidR="00D3608B" w:rsidRPr="00EA16B0" w:rsidRDefault="00D3608B" w:rsidP="003A7871">
      <w:pPr>
        <w:pStyle w:val="PargrafodaLista"/>
        <w:numPr>
          <w:ilvl w:val="0"/>
          <w:numId w:val="5"/>
        </w:numPr>
        <w:ind w:left="2552" w:right="849" w:hanging="284"/>
        <w:jc w:val="both"/>
        <w:rPr>
          <w:rFonts w:asciiTheme="majorHAnsi" w:hAnsiTheme="majorHAnsi" w:cstheme="majorHAnsi"/>
          <w:sz w:val="20"/>
          <w:szCs w:val="20"/>
        </w:rPr>
      </w:pPr>
      <w:r w:rsidRPr="00EA16B0">
        <w:rPr>
          <w:rFonts w:asciiTheme="majorHAnsi" w:hAnsiTheme="majorHAnsi" w:cstheme="majorHAnsi"/>
          <w:sz w:val="20"/>
          <w:szCs w:val="20"/>
        </w:rPr>
        <w:t>Estágios e atividades complementares; e</w:t>
      </w:r>
    </w:p>
    <w:p w14:paraId="7A9A7018" w14:textId="77777777" w:rsidR="00D3608B" w:rsidRPr="00EA16B0" w:rsidRDefault="00D3608B" w:rsidP="003A7871">
      <w:pPr>
        <w:pStyle w:val="PargrafodaLista"/>
        <w:numPr>
          <w:ilvl w:val="0"/>
          <w:numId w:val="5"/>
        </w:numPr>
        <w:spacing w:after="240"/>
        <w:ind w:left="2552" w:right="849" w:hanging="284"/>
        <w:contextualSpacing w:val="0"/>
        <w:jc w:val="both"/>
        <w:rPr>
          <w:rFonts w:asciiTheme="majorHAnsi" w:hAnsiTheme="majorHAnsi" w:cstheme="majorHAnsi"/>
          <w:sz w:val="20"/>
          <w:szCs w:val="20"/>
        </w:rPr>
      </w:pPr>
      <w:r w:rsidRPr="00EA16B0">
        <w:rPr>
          <w:rFonts w:asciiTheme="majorHAnsi" w:hAnsiTheme="majorHAnsi" w:cstheme="majorHAnsi"/>
          <w:sz w:val="20"/>
          <w:szCs w:val="20"/>
        </w:rPr>
        <w:t>Acompanhamento e avaliação. (CNE, 2001).</w:t>
      </w:r>
    </w:p>
    <w:p w14:paraId="11CB4088" w14:textId="77777777" w:rsidR="00D3608B" w:rsidRPr="00EA16B0" w:rsidRDefault="00D3608B" w:rsidP="00390F44">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Resumidamente temos, hoje, a seguinte situação com relação à edição de Diretrizes Curriculares Nacionais, devidamente elaboradas em pareceres do CNE e, estes, levam à edição articulada de resoluções que orientam a organização e desenvolvimento dos cursos de graduação.</w:t>
      </w:r>
    </w:p>
    <w:p w14:paraId="3D7765F7" w14:textId="77777777" w:rsidR="00D3608B" w:rsidRPr="00EA16B0" w:rsidRDefault="00D3608B" w:rsidP="003A7871">
      <w:pPr>
        <w:pStyle w:val="PargrafodaLista"/>
        <w:numPr>
          <w:ilvl w:val="0"/>
          <w:numId w:val="4"/>
        </w:numPr>
        <w:shd w:val="clear" w:color="auto" w:fill="FFFFFF"/>
        <w:tabs>
          <w:tab w:val="clear" w:pos="1615"/>
        </w:tabs>
        <w:spacing w:line="360" w:lineRule="auto"/>
        <w:ind w:left="284" w:hanging="267"/>
        <w:contextualSpacing w:val="0"/>
        <w:jc w:val="both"/>
        <w:textAlignment w:val="baseline"/>
        <w:rPr>
          <w:rStyle w:val="Forte"/>
          <w:rFonts w:asciiTheme="majorHAnsi" w:hAnsiTheme="majorHAnsi" w:cstheme="majorHAnsi"/>
          <w:bCs w:val="0"/>
          <w:color w:val="000000"/>
          <w:sz w:val="24"/>
        </w:rPr>
      </w:pPr>
      <w:r w:rsidRPr="00EA16B0">
        <w:rPr>
          <w:rFonts w:asciiTheme="majorHAnsi" w:hAnsiTheme="majorHAnsi" w:cstheme="majorHAnsi"/>
          <w:b/>
          <w:sz w:val="24"/>
          <w:szCs w:val="24"/>
        </w:rPr>
        <w:t>Bacharelados:</w:t>
      </w:r>
      <w:r w:rsidRPr="00EA16B0">
        <w:rPr>
          <w:rFonts w:asciiTheme="majorHAnsi" w:hAnsiTheme="majorHAnsi" w:cstheme="majorHAnsi"/>
          <w:sz w:val="24"/>
          <w:szCs w:val="24"/>
        </w:rPr>
        <w:t xml:space="preserve"> listados em mais de 60 pareceres e suas resoluções correspondentes, envolvendo mais </w:t>
      </w:r>
      <w:r w:rsidRPr="00EA16B0">
        <w:rPr>
          <w:rFonts w:asciiTheme="majorHAnsi" w:hAnsiTheme="majorHAnsi" w:cstheme="majorHAnsi"/>
          <w:spacing w:val="-2"/>
          <w:sz w:val="24"/>
          <w:szCs w:val="24"/>
        </w:rPr>
        <w:t>formações, já que no caso das Engenharias e Letras, por exemplo, há poucos tratamentos individualizados</w:t>
      </w:r>
      <w:r w:rsidRPr="00EA16B0">
        <w:rPr>
          <w:rFonts w:asciiTheme="majorHAnsi" w:hAnsiTheme="majorHAnsi" w:cstheme="majorHAnsi"/>
          <w:sz w:val="24"/>
          <w:szCs w:val="24"/>
        </w:rPr>
        <w:t xml:space="preserve">. Envolvem os cursos e formações em: Administração/Administração Hoteleira, </w:t>
      </w:r>
      <w:r w:rsidRPr="00EA16B0">
        <w:rPr>
          <w:rStyle w:val="Forte"/>
          <w:rFonts w:asciiTheme="majorHAnsi" w:hAnsiTheme="majorHAnsi" w:cstheme="majorHAnsi"/>
          <w:color w:val="000000"/>
          <w:sz w:val="24"/>
        </w:rPr>
        <w:t xml:space="preserve">Administração Pública, </w:t>
      </w:r>
      <w:r w:rsidRPr="00EA16B0">
        <w:rPr>
          <w:rStyle w:val="Forte"/>
          <w:rFonts w:asciiTheme="majorHAnsi" w:hAnsiTheme="majorHAnsi" w:cstheme="majorHAnsi"/>
          <w:color w:val="000000"/>
          <w:spacing w:val="-2"/>
          <w:sz w:val="24"/>
        </w:rPr>
        <w:t>Arquitetura e Urbanismo, Arquivologia, Artes Visuais, Biblioteconomia, Biomedicina, Ciências Aeronáuticas</w:t>
      </w:r>
      <w:r w:rsidRPr="00EA16B0">
        <w:rPr>
          <w:rStyle w:val="Forte"/>
          <w:rFonts w:asciiTheme="majorHAnsi" w:hAnsiTheme="majorHAnsi" w:cstheme="majorHAnsi"/>
          <w:color w:val="000000"/>
          <w:sz w:val="24"/>
        </w:rPr>
        <w:t xml:space="preserve">, </w:t>
      </w:r>
      <w:r w:rsidRPr="00EA16B0">
        <w:rPr>
          <w:rStyle w:val="Forte"/>
          <w:rFonts w:asciiTheme="majorHAnsi" w:hAnsiTheme="majorHAnsi" w:cstheme="majorHAnsi"/>
          <w:color w:val="000000"/>
          <w:spacing w:val="-2"/>
          <w:sz w:val="24"/>
        </w:rPr>
        <w:t>Ciências da Religião, Ciências Biológicas, Ciência da Computação, Ciências Contábeis, Ciências Econômicas,</w:t>
      </w:r>
      <w:r w:rsidRPr="00EA16B0">
        <w:rPr>
          <w:rStyle w:val="Forte"/>
          <w:rFonts w:asciiTheme="majorHAnsi" w:hAnsiTheme="majorHAnsi" w:cstheme="majorHAnsi"/>
          <w:color w:val="000000"/>
          <w:sz w:val="24"/>
        </w:rPr>
        <w:t xml:space="preserve"> </w:t>
      </w:r>
      <w:r w:rsidRPr="00EA16B0">
        <w:rPr>
          <w:rStyle w:val="Forte"/>
          <w:rFonts w:asciiTheme="majorHAnsi" w:hAnsiTheme="majorHAnsi" w:cstheme="majorHAnsi"/>
          <w:color w:val="000000"/>
          <w:spacing w:val="-4"/>
          <w:sz w:val="24"/>
        </w:rPr>
        <w:t>Ciências Sociais - Antropologia, Ciência Política e Sociologia, Cinema e Audiovisual, Computação, Comunicação</w:t>
      </w:r>
      <w:r w:rsidRPr="00EA16B0">
        <w:rPr>
          <w:rStyle w:val="Forte"/>
          <w:rFonts w:asciiTheme="majorHAnsi" w:hAnsiTheme="majorHAnsi" w:cstheme="majorHAnsi"/>
          <w:color w:val="000000"/>
          <w:sz w:val="24"/>
        </w:rPr>
        <w:t xml:space="preserve"> </w:t>
      </w:r>
      <w:r w:rsidRPr="00EA16B0">
        <w:rPr>
          <w:rStyle w:val="Forte"/>
          <w:rFonts w:asciiTheme="majorHAnsi" w:hAnsiTheme="majorHAnsi" w:cstheme="majorHAnsi"/>
          <w:color w:val="000000"/>
          <w:spacing w:val="-2"/>
          <w:sz w:val="24"/>
        </w:rPr>
        <w:t>Social, Dança, Design, Direito, Economia Doméstica, Educação Física, Enfermagem, Engenharia, Engenharia</w:t>
      </w:r>
      <w:r w:rsidRPr="00EA16B0">
        <w:rPr>
          <w:rStyle w:val="Forte"/>
          <w:rFonts w:asciiTheme="majorHAnsi" w:hAnsiTheme="majorHAnsi" w:cstheme="majorHAnsi"/>
          <w:color w:val="000000"/>
          <w:sz w:val="24"/>
        </w:rPr>
        <w:t xml:space="preserve"> Agrícola, Engenharia de Computação, Engenharia de Pesca, Engenharia de Software, Engenharia Florestal, Estatística, Farmácia, Filosofia, Física, Fisioterapia, Fonoaudiologia, Geografia, Geologia/Engenharia Geológica, História, Jornalismo, Letras, Matemática, Medicina, Medicina Veterinária, Meteorologia, Museologia, Música, Nutrição, Oceanografia, Odontologia, Pedagogia, Psicologia, Publicidade, Química, Relações Internacionais, Relações Públicas, Saúde Coletiva, Secretariado Executivo, Serviço Social, Sistemas de Informação, Teatro, Teologia, Terapia Ocupacional, Turismo e Zootecnia (MEC, 2022).</w:t>
      </w:r>
    </w:p>
    <w:p w14:paraId="288F964A" w14:textId="77777777" w:rsidR="00D3608B" w:rsidRPr="00EA16B0" w:rsidRDefault="00D3608B" w:rsidP="003A7871">
      <w:pPr>
        <w:pStyle w:val="PargrafodaLista"/>
        <w:numPr>
          <w:ilvl w:val="0"/>
          <w:numId w:val="4"/>
        </w:numPr>
        <w:shd w:val="clear" w:color="auto" w:fill="FFFFFF"/>
        <w:tabs>
          <w:tab w:val="clear" w:pos="1615"/>
        </w:tabs>
        <w:spacing w:line="360" w:lineRule="auto"/>
        <w:ind w:left="284" w:hanging="267"/>
        <w:contextualSpacing w:val="0"/>
        <w:jc w:val="both"/>
        <w:textAlignment w:val="baseline"/>
        <w:rPr>
          <w:rFonts w:asciiTheme="majorHAnsi" w:hAnsiTheme="majorHAnsi" w:cstheme="majorHAnsi"/>
          <w:b/>
          <w:color w:val="000000"/>
          <w:sz w:val="24"/>
        </w:rPr>
      </w:pPr>
      <w:r w:rsidRPr="00EA16B0">
        <w:rPr>
          <w:rFonts w:asciiTheme="majorHAnsi" w:hAnsiTheme="majorHAnsi" w:cstheme="majorHAnsi"/>
          <w:b/>
          <w:color w:val="000000"/>
          <w:sz w:val="24"/>
        </w:rPr>
        <w:t xml:space="preserve">Licenciaturas: </w:t>
      </w:r>
      <w:r w:rsidRPr="00EA16B0">
        <w:rPr>
          <w:rFonts w:asciiTheme="majorHAnsi" w:hAnsiTheme="majorHAnsi" w:cstheme="majorHAnsi"/>
          <w:color w:val="000000"/>
          <w:sz w:val="24"/>
        </w:rPr>
        <w:t>muitas vezes tratadas em conjunto com os bacharelados da mesma área, como ocorre com Computação e Educação Física, por exemplo, têm a formação em Pedagogia e as DCN relativas à Formação de docentes para a educação básica, esta última atualizada em 2021 em função da aprovação da Base Nacional Comum Curricular (BNCC) (MEC, 2017) para a educação básica (MEC, 2022).</w:t>
      </w:r>
    </w:p>
    <w:p w14:paraId="27855B64" w14:textId="77777777" w:rsidR="00D3608B" w:rsidRPr="00EA16B0" w:rsidRDefault="00D3608B" w:rsidP="003A7871">
      <w:pPr>
        <w:pStyle w:val="PargrafodaLista"/>
        <w:numPr>
          <w:ilvl w:val="0"/>
          <w:numId w:val="4"/>
        </w:numPr>
        <w:shd w:val="clear" w:color="auto" w:fill="FFFFFF"/>
        <w:tabs>
          <w:tab w:val="clear" w:pos="720"/>
          <w:tab w:val="clear" w:pos="1615"/>
          <w:tab w:val="num" w:pos="284"/>
        </w:tabs>
        <w:spacing w:line="360" w:lineRule="auto"/>
        <w:ind w:left="284" w:hanging="284"/>
        <w:contextualSpacing w:val="0"/>
        <w:jc w:val="both"/>
        <w:textAlignment w:val="baseline"/>
        <w:rPr>
          <w:rStyle w:val="Forte"/>
          <w:rFonts w:asciiTheme="majorHAnsi" w:hAnsiTheme="majorHAnsi" w:cstheme="majorHAnsi"/>
          <w:bCs w:val="0"/>
          <w:sz w:val="24"/>
          <w:szCs w:val="24"/>
        </w:rPr>
      </w:pPr>
      <w:r w:rsidRPr="00EA16B0">
        <w:rPr>
          <w:rFonts w:asciiTheme="majorHAnsi" w:hAnsiTheme="majorHAnsi" w:cstheme="majorHAnsi"/>
          <w:b/>
          <w:color w:val="000000"/>
          <w:sz w:val="24"/>
        </w:rPr>
        <w:t xml:space="preserve">Cursos Superiores de Tecnologia: </w:t>
      </w:r>
      <w:r w:rsidRPr="00EA16B0">
        <w:rPr>
          <w:rFonts w:asciiTheme="majorHAnsi" w:hAnsiTheme="majorHAnsi" w:cstheme="majorHAnsi"/>
          <w:color w:val="000000"/>
          <w:sz w:val="24"/>
        </w:rPr>
        <w:t xml:space="preserve">tratados na página do MEC que mostra as DCN das graduações como </w:t>
      </w:r>
      <w:r w:rsidRPr="00EA16B0">
        <w:rPr>
          <w:rFonts w:asciiTheme="majorHAnsi" w:hAnsiTheme="majorHAnsi" w:cstheme="majorHAnsi"/>
          <w:color w:val="000000"/>
          <w:spacing w:val="-4"/>
          <w:sz w:val="24"/>
        </w:rPr>
        <w:t>“</w:t>
      </w:r>
      <w:r w:rsidRPr="00EA16B0">
        <w:rPr>
          <w:rStyle w:val="Forte"/>
          <w:rFonts w:asciiTheme="majorHAnsi" w:hAnsiTheme="majorHAnsi" w:cstheme="majorHAnsi"/>
          <w:color w:val="000000"/>
          <w:spacing w:val="-4"/>
          <w:sz w:val="24"/>
        </w:rPr>
        <w:t>Tecnológicos – Cursos Superiores” (MEC, 2022), com último parecer e resolução em 2021 e que, na verdade</w:t>
      </w:r>
      <w:r w:rsidRPr="00EA16B0">
        <w:rPr>
          <w:rStyle w:val="Forte"/>
          <w:rFonts w:asciiTheme="majorHAnsi" w:hAnsiTheme="majorHAnsi" w:cstheme="majorHAnsi"/>
          <w:color w:val="000000"/>
          <w:sz w:val="24"/>
        </w:rPr>
        <w:t xml:space="preserve">, trata de todos os cursos da educação profissional, o que, novamente, denota problema de identidade por </w:t>
      </w:r>
      <w:r w:rsidRPr="00EA16B0">
        <w:rPr>
          <w:rStyle w:val="Forte"/>
          <w:rFonts w:asciiTheme="majorHAnsi" w:hAnsiTheme="majorHAnsi" w:cstheme="majorHAnsi"/>
          <w:color w:val="000000"/>
          <w:spacing w:val="-4"/>
          <w:sz w:val="24"/>
        </w:rPr>
        <w:t>conta de serem tratados cursos técnicos (educação básica e agora fazendo parte dos itinerários da BNCC),</w:t>
      </w:r>
      <w:r w:rsidRPr="00EA16B0">
        <w:rPr>
          <w:rStyle w:val="Forte"/>
          <w:rFonts w:asciiTheme="majorHAnsi" w:hAnsiTheme="majorHAnsi" w:cstheme="majorHAnsi"/>
          <w:color w:val="000000"/>
          <w:sz w:val="24"/>
        </w:rPr>
        <w:t xml:space="preserve"> cursos de capacitação não escolares e programas de pós-</w:t>
      </w:r>
      <w:r w:rsidRPr="00EA16B0">
        <w:rPr>
          <w:rStyle w:val="Forte"/>
          <w:rFonts w:asciiTheme="majorHAnsi" w:hAnsiTheme="majorHAnsi" w:cstheme="majorHAnsi"/>
          <w:color w:val="000000"/>
          <w:sz w:val="24"/>
        </w:rPr>
        <w:lastRenderedPageBreak/>
        <w:t xml:space="preserve">graduação. O Catálogo </w:t>
      </w:r>
      <w:r w:rsidRPr="00EA16B0">
        <w:rPr>
          <w:rStyle w:val="Forte"/>
          <w:rFonts w:asciiTheme="majorHAnsi" w:hAnsiTheme="majorHAnsi" w:cstheme="majorHAnsi"/>
          <w:color w:val="000000"/>
          <w:spacing w:val="-4"/>
          <w:sz w:val="24"/>
        </w:rPr>
        <w:t xml:space="preserve">Nacional de </w:t>
      </w:r>
      <w:proofErr w:type="spellStart"/>
      <w:r w:rsidRPr="00EA16B0">
        <w:rPr>
          <w:rStyle w:val="Forte"/>
          <w:rFonts w:asciiTheme="majorHAnsi" w:hAnsiTheme="majorHAnsi" w:cstheme="majorHAnsi"/>
          <w:color w:val="000000"/>
          <w:spacing w:val="-4"/>
          <w:sz w:val="24"/>
        </w:rPr>
        <w:t>CSTs</w:t>
      </w:r>
      <w:proofErr w:type="spellEnd"/>
      <w:r w:rsidRPr="00EA16B0">
        <w:rPr>
          <w:rStyle w:val="Forte"/>
          <w:rFonts w:asciiTheme="majorHAnsi" w:hAnsiTheme="majorHAnsi" w:cstheme="majorHAnsi"/>
          <w:color w:val="000000"/>
          <w:spacing w:val="-4"/>
          <w:sz w:val="24"/>
        </w:rPr>
        <w:t>, na verdade, complementa e, na prática, orienta a estruturação</w:t>
      </w:r>
      <w:r w:rsidRPr="00EA16B0">
        <w:rPr>
          <w:rStyle w:val="Forte"/>
          <w:rFonts w:asciiTheme="majorHAnsi" w:hAnsiTheme="majorHAnsi" w:cstheme="majorHAnsi"/>
          <w:color w:val="000000"/>
          <w:sz w:val="24"/>
        </w:rPr>
        <w:t xml:space="preserve"> dos cursos de tecnologia, divididos em 13 eixos com um total de 134 diferentes cursos: Ambiente e Saúde, com 9 CST; Controle e Processos Industriais, com 14 CST; Desenvolvimento Educacional e Social, com 1 CST; Gestão e </w:t>
      </w:r>
      <w:r w:rsidRPr="00EA16B0">
        <w:rPr>
          <w:rStyle w:val="Forte"/>
          <w:rFonts w:asciiTheme="majorHAnsi" w:hAnsiTheme="majorHAnsi" w:cstheme="majorHAnsi"/>
          <w:color w:val="000000"/>
          <w:spacing w:val="-4"/>
          <w:sz w:val="24"/>
        </w:rPr>
        <w:t>Negócios, com 13 CST; Informação e Comunicação, com 12 CST; Infraestrutura, com 14 CST; Militar, com 11</w:t>
      </w:r>
      <w:r w:rsidRPr="00EA16B0">
        <w:rPr>
          <w:rStyle w:val="Forte"/>
          <w:rFonts w:asciiTheme="majorHAnsi" w:hAnsiTheme="majorHAnsi" w:cstheme="majorHAnsi"/>
          <w:color w:val="000000"/>
          <w:sz w:val="24"/>
        </w:rPr>
        <w:t xml:space="preserve"> </w:t>
      </w:r>
      <w:r w:rsidRPr="00EA16B0">
        <w:rPr>
          <w:rStyle w:val="Forte"/>
          <w:rFonts w:asciiTheme="majorHAnsi" w:hAnsiTheme="majorHAnsi" w:cstheme="majorHAnsi"/>
          <w:color w:val="000000"/>
          <w:spacing w:val="-2"/>
          <w:sz w:val="24"/>
        </w:rPr>
        <w:t>CST; Produção Alimentícia, com 7 CST; Produção Cultural e Design, com 14 CST, Produção Industrial, com 14 CST</w:t>
      </w:r>
      <w:r w:rsidRPr="00EA16B0">
        <w:rPr>
          <w:rStyle w:val="Forte"/>
          <w:rFonts w:asciiTheme="majorHAnsi" w:hAnsiTheme="majorHAnsi" w:cstheme="majorHAnsi"/>
          <w:color w:val="000000"/>
          <w:sz w:val="24"/>
        </w:rPr>
        <w:t>; Recursos Naturais, com 14 CST; Segurança, com 6 CST; e Turismo, Hospitalidade e Lazer, com 5 CST. (MEC, 2016).</w:t>
      </w:r>
    </w:p>
    <w:p w14:paraId="420FE23F" w14:textId="77777777" w:rsidR="00D3608B" w:rsidRPr="00EA16B0" w:rsidRDefault="00D3608B" w:rsidP="00390F44">
      <w:pPr>
        <w:shd w:val="clear" w:color="auto" w:fill="FFFFFF"/>
        <w:tabs>
          <w:tab w:val="clear" w:pos="1615"/>
        </w:tabs>
        <w:spacing w:line="360" w:lineRule="auto"/>
        <w:ind w:firstLine="709"/>
        <w:jc w:val="both"/>
        <w:textAlignment w:val="baseline"/>
        <w:rPr>
          <w:rFonts w:asciiTheme="majorHAnsi" w:hAnsiTheme="majorHAnsi" w:cstheme="majorHAnsi"/>
          <w:sz w:val="24"/>
          <w:szCs w:val="24"/>
        </w:rPr>
      </w:pPr>
      <w:r w:rsidRPr="00EA16B0">
        <w:rPr>
          <w:rFonts w:asciiTheme="majorHAnsi" w:hAnsiTheme="majorHAnsi" w:cstheme="majorHAnsi"/>
          <w:sz w:val="24"/>
          <w:szCs w:val="24"/>
        </w:rPr>
        <w:t>Algumas denominações de bacharelados e de cursos tecnológicos são praticamente idênticas e muitas instituições estão preparando projetos pedagógicos que colocam a formação tecnológica como parte inicial e integrante do bacharelado, o que em princípio distorce as duas concepções de graduação quando uma delas contempla a outra na íntegra.</w:t>
      </w:r>
    </w:p>
    <w:p w14:paraId="76675955" w14:textId="3272B711" w:rsidR="00D3608B" w:rsidRPr="00EA16B0" w:rsidRDefault="00751777" w:rsidP="003A7871">
      <w:pPr>
        <w:pStyle w:val="Ttulo3"/>
        <w:numPr>
          <w:ilvl w:val="2"/>
          <w:numId w:val="1"/>
        </w:numPr>
        <w:ind w:left="709" w:hanging="709"/>
        <w:rPr>
          <w:rFonts w:asciiTheme="majorHAnsi" w:hAnsiTheme="majorHAnsi" w:cstheme="majorHAnsi"/>
        </w:rPr>
      </w:pPr>
      <w:bookmarkStart w:id="27" w:name="_Toc102319367"/>
      <w:r w:rsidRPr="00EA16B0">
        <w:rPr>
          <w:rFonts w:asciiTheme="majorHAnsi" w:hAnsiTheme="majorHAnsi" w:cstheme="majorHAnsi"/>
        </w:rPr>
        <w:t>DCN DAS CIÊNCIAS DA COMPUTAÇÃO</w:t>
      </w:r>
      <w:bookmarkEnd w:id="27"/>
    </w:p>
    <w:p w14:paraId="75DB18E6" w14:textId="77777777" w:rsidR="00D3608B" w:rsidRPr="00EA16B0" w:rsidRDefault="00D3608B" w:rsidP="00390F44">
      <w:pPr>
        <w:shd w:val="clear" w:color="auto" w:fill="FFFFFF"/>
        <w:tabs>
          <w:tab w:val="clear" w:pos="1615"/>
        </w:tabs>
        <w:spacing w:line="360" w:lineRule="auto"/>
        <w:ind w:firstLine="708"/>
        <w:jc w:val="both"/>
        <w:textAlignment w:val="baseline"/>
        <w:rPr>
          <w:rFonts w:asciiTheme="majorHAnsi" w:hAnsiTheme="majorHAnsi" w:cstheme="majorHAnsi"/>
          <w:sz w:val="24"/>
          <w:szCs w:val="24"/>
        </w:rPr>
      </w:pPr>
      <w:r w:rsidRPr="00EA16B0">
        <w:rPr>
          <w:rFonts w:asciiTheme="majorHAnsi" w:hAnsiTheme="majorHAnsi" w:cstheme="majorHAnsi"/>
          <w:sz w:val="24"/>
          <w:szCs w:val="24"/>
        </w:rPr>
        <w:t>No caso específico das Ciências da Computação, temos a Resolução n. 5/2016 que estabelece Diretrizes Curriculares Nacionais para todos os cursos da área. A Associação Brasileira de Computação estudou e influenciou a edição de DCN comuns a todos os cursos de bacharelado e licenciatura. Assim, em 2016, foram finalmente editadas Diretrizes Curriculares Nacionais para a Computação, já que as discussões ocorriam desde 1998 (CNE, 2012). Essas diretrizes abordam os cursos de bacharelado e licenciatura, não havendo nenhuma menção à possibilidade de formações em Cursos Superiores de Tecnologia. A polêmica da discussão se retrata também no tempo decorrido após a aprovação do Parecer CNE/CES n. 136, em 9 de março de 2012, mas que foi homologado apenas em 28 de outubro de 2016, gerando a Resolução n. 5, de 16 de novembro desse mesmo ano (CNE, 2012; 2016).</w:t>
      </w:r>
    </w:p>
    <w:p w14:paraId="715715AE" w14:textId="77777777" w:rsidR="00D3608B" w:rsidRPr="00EA16B0" w:rsidRDefault="00D3608B" w:rsidP="00390F44">
      <w:pPr>
        <w:shd w:val="clear" w:color="auto" w:fill="FFFFFF"/>
        <w:tabs>
          <w:tab w:val="clear" w:pos="1615"/>
        </w:tabs>
        <w:spacing w:line="360" w:lineRule="auto"/>
        <w:ind w:firstLine="708"/>
        <w:jc w:val="both"/>
        <w:textAlignment w:val="baseline"/>
        <w:rPr>
          <w:rFonts w:asciiTheme="majorHAnsi" w:hAnsiTheme="majorHAnsi" w:cstheme="majorHAnsi"/>
          <w:sz w:val="24"/>
          <w:szCs w:val="24"/>
        </w:rPr>
      </w:pPr>
      <w:r w:rsidRPr="00EA16B0">
        <w:rPr>
          <w:rFonts w:asciiTheme="majorHAnsi" w:hAnsiTheme="majorHAnsi" w:cstheme="majorHAnsi"/>
          <w:sz w:val="24"/>
          <w:szCs w:val="24"/>
        </w:rPr>
        <w:t>A Resolução n. 5/2016, em seu Art. 11, altera a Resolução n. 2/2007 na carga horária de 3.000 horas que ela estabelecia para Computação e Informática, colocando em seu lugar três diferentes denominações, todas com 3.200 horas: Ciência da Computação, Engenharia de Computação e Engenharia de Software (CNE, 2016), o que significa ter mantido a carga horária de 3.000 horas para Sistemas de Informação e reduzido de 3.600 para 3.200 aquela das duas Engenharias (CNE, 2007); também remete às DCN para formação de professores a carga horária da licenciatura.</w:t>
      </w:r>
    </w:p>
    <w:p w14:paraId="34E7A43B" w14:textId="77777777" w:rsidR="00D3608B" w:rsidRPr="00EA16B0" w:rsidRDefault="00D3608B" w:rsidP="00390F44">
      <w:pPr>
        <w:shd w:val="clear" w:color="auto" w:fill="FFFFFF"/>
        <w:tabs>
          <w:tab w:val="clear" w:pos="1615"/>
        </w:tabs>
        <w:spacing w:line="360" w:lineRule="auto"/>
        <w:ind w:firstLine="708"/>
        <w:jc w:val="both"/>
        <w:textAlignment w:val="baseline"/>
        <w:rPr>
          <w:rFonts w:asciiTheme="majorHAnsi" w:hAnsiTheme="majorHAnsi" w:cstheme="majorHAnsi"/>
          <w:sz w:val="24"/>
          <w:szCs w:val="24"/>
        </w:rPr>
      </w:pPr>
      <w:r w:rsidRPr="00EA16B0">
        <w:rPr>
          <w:rFonts w:asciiTheme="majorHAnsi" w:hAnsiTheme="majorHAnsi" w:cstheme="majorHAnsi"/>
          <w:sz w:val="24"/>
          <w:szCs w:val="24"/>
        </w:rPr>
        <w:lastRenderedPageBreak/>
        <w:t>No caso das Engenharias, há outra particularidade: o crescimento de habilitações que já levou, inclusive, à tentativa não efetivada de ser estabelecido um catálogo nacional para convergência de denominações, como ocorreu com os Cursos Superiores de Tecnologia, já que existiam, na edição das DCN do curso em 2019, 60 (sessenta) diferentes habilitações de primeira denominação e 250 (duzentas e cinquenta) se considerada a segunda denominação ou ênfase. Na área da computação existem três denominações: Computação, Computacional e Software e, portanto, a primeira e a terceira idênticas às denominações contidas nas DCN de Ciência da Computação. Há outras denominações de Engenharia que apresentam DCN específicas: de pesca, agrícola e florestal, mas todas com a determinação das mesmas 3.600 horas de atividades. Essa diferença não é apenas de duração, mas também nos conteúdos curriculares que devem ser abordados nas formações, o que leva o próprio MEC a abordar de forma diferenciada, inclusive no censo da educação superior e em outros documentos oficiais, as duas formações de mesma denominação, explicitando: Engenharia de Computação (DCN computação) e Engenharia de Computação (DCN engenharias).</w:t>
      </w:r>
    </w:p>
    <w:p w14:paraId="35943431" w14:textId="77777777" w:rsidR="00D3608B" w:rsidRPr="00EA16B0" w:rsidRDefault="00D3608B" w:rsidP="00390F44">
      <w:pPr>
        <w:shd w:val="clear" w:color="auto" w:fill="FFFFFF"/>
        <w:tabs>
          <w:tab w:val="clear" w:pos="1615"/>
        </w:tabs>
        <w:spacing w:line="360" w:lineRule="auto"/>
        <w:ind w:firstLine="708"/>
        <w:jc w:val="both"/>
        <w:textAlignment w:val="baseline"/>
        <w:rPr>
          <w:rFonts w:asciiTheme="majorHAnsi" w:hAnsiTheme="majorHAnsi" w:cstheme="majorHAnsi"/>
          <w:sz w:val="24"/>
          <w:szCs w:val="24"/>
        </w:rPr>
      </w:pPr>
      <w:r w:rsidRPr="00EA16B0">
        <w:rPr>
          <w:rFonts w:asciiTheme="majorHAnsi" w:hAnsiTheme="majorHAnsi" w:cstheme="majorHAnsi"/>
          <w:sz w:val="24"/>
          <w:szCs w:val="24"/>
        </w:rPr>
        <w:t xml:space="preserve">Em 2018, a profissão de engenheiro de </w:t>
      </w:r>
      <w:r w:rsidRPr="00EA16B0">
        <w:rPr>
          <w:rFonts w:asciiTheme="majorHAnsi" w:hAnsiTheme="majorHAnsi" w:cstheme="majorHAnsi"/>
          <w:i/>
          <w:iCs/>
          <w:sz w:val="24"/>
          <w:szCs w:val="24"/>
        </w:rPr>
        <w:t>software</w:t>
      </w:r>
      <w:r w:rsidRPr="00EA16B0">
        <w:rPr>
          <w:rFonts w:asciiTheme="majorHAnsi" w:hAnsiTheme="majorHAnsi" w:cstheme="majorHAnsi"/>
          <w:sz w:val="24"/>
          <w:szCs w:val="24"/>
        </w:rPr>
        <w:t xml:space="preserve"> passou a fazer parte da tabela do sistema formado pelo Conselho Federal de Engenharia e Agronomia (CONFEA) e seus Conselhos Regionais (CREA) ou simplesmente Sistema CONFEA/CREA para fiscalização do exercício profissional, o que mostra que a discussão ainda não foi equacionada, já que a Associação Brasileira de Computação é contrária a essa vinculação. Porém, isso deverá levar a novas edições do Censo, agora com dois tratamentos também para essa Engenharia, como já citado para a de Computação.</w:t>
      </w:r>
    </w:p>
    <w:p w14:paraId="11A2FD97" w14:textId="77777777" w:rsidR="00D3608B" w:rsidRPr="00EA16B0" w:rsidRDefault="00D3608B" w:rsidP="00390F44">
      <w:pPr>
        <w:shd w:val="clear" w:color="auto" w:fill="FFFFFF"/>
        <w:tabs>
          <w:tab w:val="clear" w:pos="1615"/>
        </w:tabs>
        <w:spacing w:line="360" w:lineRule="auto"/>
        <w:ind w:firstLine="708"/>
        <w:jc w:val="both"/>
        <w:textAlignment w:val="baseline"/>
        <w:rPr>
          <w:rFonts w:asciiTheme="majorHAnsi" w:hAnsiTheme="majorHAnsi" w:cstheme="majorHAnsi"/>
          <w:sz w:val="24"/>
          <w:szCs w:val="24"/>
        </w:rPr>
      </w:pPr>
      <w:r w:rsidRPr="00EA16B0">
        <w:rPr>
          <w:rFonts w:asciiTheme="majorHAnsi" w:hAnsiTheme="majorHAnsi" w:cstheme="majorHAnsi"/>
          <w:sz w:val="24"/>
          <w:szCs w:val="24"/>
        </w:rPr>
        <w:t>Assim, a despeito de poder existir uma convergência formativa para as diferentes DCN aprovadas, a carga horária mínima é diferente e conflitante, o que pode gerar dificuldades para um eventual registro profissional, caso seja adotada a carga horária específica estabelecida em 2016, que é 400 horas menor do que aquela admitida como mínima para os cursos de engenharia e lhe faltam conteúdos obrigatórios exigidos nas DCN das engenharias (CNE, 2016; 2019).</w:t>
      </w:r>
    </w:p>
    <w:p w14:paraId="34E74FC4" w14:textId="0F356536" w:rsidR="00D3608B" w:rsidRPr="00EA16B0" w:rsidRDefault="00751777" w:rsidP="003A7871">
      <w:pPr>
        <w:pStyle w:val="Ttulo3"/>
        <w:numPr>
          <w:ilvl w:val="2"/>
          <w:numId w:val="1"/>
        </w:numPr>
        <w:ind w:left="709" w:hanging="709"/>
        <w:rPr>
          <w:rFonts w:asciiTheme="majorHAnsi" w:hAnsiTheme="majorHAnsi" w:cstheme="majorHAnsi"/>
        </w:rPr>
      </w:pPr>
      <w:bookmarkStart w:id="28" w:name="_Toc102319368"/>
      <w:r w:rsidRPr="00EA16B0">
        <w:rPr>
          <w:rFonts w:asciiTheme="majorHAnsi" w:hAnsiTheme="majorHAnsi" w:cstheme="majorHAnsi"/>
        </w:rPr>
        <w:t>FORMAÇÕES INTERDISCIPLINARES</w:t>
      </w:r>
      <w:bookmarkEnd w:id="28"/>
    </w:p>
    <w:p w14:paraId="28EBD7BD" w14:textId="77777777" w:rsidR="00D3608B" w:rsidRPr="00EA16B0" w:rsidRDefault="00D3608B" w:rsidP="00390F44">
      <w:pPr>
        <w:shd w:val="clear" w:color="auto" w:fill="FFFFFF"/>
        <w:tabs>
          <w:tab w:val="clear" w:pos="1615"/>
        </w:tabs>
        <w:spacing w:line="360" w:lineRule="auto"/>
        <w:ind w:firstLine="708"/>
        <w:jc w:val="both"/>
        <w:textAlignment w:val="baseline"/>
        <w:rPr>
          <w:rFonts w:asciiTheme="majorHAnsi" w:hAnsiTheme="majorHAnsi" w:cstheme="majorHAnsi"/>
          <w:sz w:val="24"/>
          <w:szCs w:val="24"/>
        </w:rPr>
      </w:pPr>
      <w:r w:rsidRPr="00EA16B0">
        <w:rPr>
          <w:rFonts w:asciiTheme="majorHAnsi" w:hAnsiTheme="majorHAnsi" w:cstheme="majorHAnsi"/>
          <w:sz w:val="24"/>
          <w:szCs w:val="24"/>
        </w:rPr>
        <w:t xml:space="preserve">A partir de 2006, conforme já salientado anteriormente, foram criados cursos de bacharelado interdisciplinar e, posteriormente, licenciaturas interdisciplinares ou algumas que envolvem mais de um componente curricular da educação básica, como Ciências Físicas e BIOLÓGICAS, por exemplo. Os cursos interdisciplinares não contam até o momento com diretrizes </w:t>
      </w:r>
      <w:r w:rsidRPr="00EA16B0">
        <w:rPr>
          <w:rFonts w:asciiTheme="majorHAnsi" w:hAnsiTheme="majorHAnsi" w:cstheme="majorHAnsi"/>
          <w:sz w:val="24"/>
          <w:szCs w:val="24"/>
        </w:rPr>
        <w:lastRenderedPageBreak/>
        <w:t>curriculares. Entretanto, em 2011 foi aprovado o Parecer CNE/CES contendo orientações para a oferta de bacharelados interdisciplinares (CNE, 2011). Nesse parecer, esse profissional deverá ser capaz de realizar leituras abrangentes, sensíveis e críticas da realidade social e do ambiente em que se encontra inserido, numa perspectiva interdisciplinar dos problemas, assim como uma perspectiva interdisciplinar das ações para enfrentamento dos problemas e questões sociais. Além disso, o egresso terá recursos para lidar, em sua atuação profissional, com a miríade de exigências do mundo do trabalho contemporâneo e em contínua interlocução com ocupações diversas, mobilizando, de modo flexível e reflexivo, competências e habilidades de distintos campos do conhecimento, sob especialmente o enfoque das humanidades. O egresso do curso, com as habilidades e competências do Bacharel em Humanidades, com o perfil de um profissional generalista interdisciplinar, sairá capacitado a desenvolver atividades de pesquisa teórica e aplicada, sejam acadêmicas, sejam aquelas vinculadas a demandas do Estado, (demandas da gestão governamental, dos setores públicos), sejam aquelas vinculadas a demandas da gestão empresarial e/ou de entidades da sociedade civil. O BIH habilitará o egresso para atuar no setor público, privado e no campo não governamental, na medida em que, ao longo do processo formativo, o curso proporcionará uma visão mais ampla e plural, contribuindo para uma formação cultural e humanística mais abrangente, o que permitirá aos egressos se posicionarem criticamente e de modo não segmentado diante dos desafios existentes na sociedade contemporânea. A formação generalista interdisciplinar do egresso o habilitará à analista de temas e de problemas diversificados, possibilitando o tratamento de problemas reais em vários âmbitos, sob o prisma de I) uma visão humanista, crítica, reflexiva, criativa, cooperativa e ética; II) forte competência intelectual e técnica; III) aptidão à atuação inovadora e empreendedora; IV) adotar, de modo flexível e compatível com os problemas e soluções, perspectivas multidisciplinares e interdisciplinares em sua prática; V) considerar os aspectos sociais, culturais, políticos, econômicos e ambientais que envolvem os problemas, em contextos, locais, nacionais ou mundiais; VI) atuar com comprometimento ético com a justiça social, o desenvolvimento sustentável e inclusivo e com o Estado Democrático de Direito. O curso buscará assegurar um perfil profissional cosmopolita, globalizado e atualizado que corresponda a profissionais capacitados a atuar na sociedade contemporânea, enfrentando seus dilemas, desafios e problemas; sociedade na qual, cada vez mais, tecnologia e conhecimento atualizados são os dois grandes fatores da produção e organização social</w:t>
      </w:r>
    </w:p>
    <w:p w14:paraId="7AC036B6" w14:textId="77777777" w:rsidR="00D3608B" w:rsidRPr="00EA16B0" w:rsidRDefault="00D3608B" w:rsidP="00390F44">
      <w:pPr>
        <w:shd w:val="clear" w:color="auto" w:fill="FFFFFF"/>
        <w:tabs>
          <w:tab w:val="clear" w:pos="1615"/>
        </w:tabs>
        <w:spacing w:line="360" w:lineRule="auto"/>
        <w:ind w:firstLine="708"/>
        <w:jc w:val="both"/>
        <w:textAlignment w:val="baseline"/>
        <w:rPr>
          <w:rFonts w:asciiTheme="majorHAnsi" w:hAnsiTheme="majorHAnsi" w:cstheme="majorHAnsi"/>
          <w:sz w:val="24"/>
          <w:szCs w:val="24"/>
        </w:rPr>
      </w:pPr>
      <w:r w:rsidRPr="00EA16B0">
        <w:rPr>
          <w:rFonts w:asciiTheme="majorHAnsi" w:hAnsiTheme="majorHAnsi" w:cstheme="majorHAnsi"/>
          <w:sz w:val="24"/>
          <w:szCs w:val="24"/>
        </w:rPr>
        <w:lastRenderedPageBreak/>
        <w:t>Essas orientações ainda não foram editadas para as licenciaturas, apesar de ter sido elaborado documento sobre o assunto por um grupo de trabalho instituído por portaria MEC prorrogada duas vezes, a última por meio da Portaria SEB/MEC n. 47, de 4 de dezembro de 2015, com nossa participação e que foi entregue em 2016.</w:t>
      </w:r>
    </w:p>
    <w:p w14:paraId="3AFFE824" w14:textId="145B098C" w:rsidR="00D3608B" w:rsidRPr="00EA16B0" w:rsidRDefault="00751777" w:rsidP="003A7871">
      <w:pPr>
        <w:pStyle w:val="Ttulo3"/>
        <w:numPr>
          <w:ilvl w:val="2"/>
          <w:numId w:val="1"/>
        </w:numPr>
        <w:ind w:left="709" w:hanging="709"/>
        <w:rPr>
          <w:rFonts w:asciiTheme="majorHAnsi" w:hAnsiTheme="majorHAnsi" w:cstheme="majorHAnsi"/>
        </w:rPr>
      </w:pPr>
      <w:bookmarkStart w:id="29" w:name="_Toc102319369"/>
      <w:r w:rsidRPr="00EA16B0">
        <w:rPr>
          <w:rFonts w:asciiTheme="majorHAnsi" w:hAnsiTheme="majorHAnsi" w:cstheme="majorHAnsi"/>
        </w:rPr>
        <w:t>NOVOS CURSOS E CONCEPÇÕES</w:t>
      </w:r>
      <w:bookmarkEnd w:id="29"/>
    </w:p>
    <w:p w14:paraId="06798905" w14:textId="77777777" w:rsidR="00D3608B" w:rsidRPr="00EA16B0" w:rsidRDefault="00D3608B" w:rsidP="00390F44">
      <w:pPr>
        <w:shd w:val="clear" w:color="auto" w:fill="FFFFFF"/>
        <w:tabs>
          <w:tab w:val="clear" w:pos="1615"/>
        </w:tabs>
        <w:spacing w:line="360" w:lineRule="auto"/>
        <w:ind w:firstLine="708"/>
        <w:jc w:val="both"/>
        <w:textAlignment w:val="baseline"/>
        <w:rPr>
          <w:rFonts w:asciiTheme="majorHAnsi" w:hAnsiTheme="majorHAnsi" w:cstheme="majorHAnsi"/>
          <w:color w:val="000000"/>
          <w:sz w:val="24"/>
          <w:shd w:val="clear" w:color="auto" w:fill="FFFFFF"/>
        </w:rPr>
      </w:pPr>
      <w:r w:rsidRPr="00EA16B0">
        <w:rPr>
          <w:rFonts w:asciiTheme="majorHAnsi" w:hAnsiTheme="majorHAnsi" w:cstheme="majorHAnsi"/>
          <w:sz w:val="24"/>
          <w:szCs w:val="24"/>
        </w:rPr>
        <w:t>Para garantir a necessária oxigenação das formações superiores visando à sua adequação às diferentes demandas sociais, a LDB n. 9.396/96 possibilita, além da flexibilização curricular expressa nas DCN, a realização de experimentação na educação, conforme determinado em seu Art. 81: “</w:t>
      </w:r>
      <w:r w:rsidRPr="00EA16B0">
        <w:rPr>
          <w:rFonts w:asciiTheme="majorHAnsi" w:hAnsiTheme="majorHAnsi" w:cstheme="majorHAnsi"/>
          <w:color w:val="000000"/>
          <w:sz w:val="24"/>
          <w:shd w:val="clear" w:color="auto" w:fill="FFFFFF"/>
        </w:rPr>
        <w:t xml:space="preserve">É permitida a organização de cursos ou instituições de ensino experimentais, desde que obedecidas as disposições desta Lei.” (BRASIL, 1996). A experimentação na educação não tem o caráter da experimentação laboratorial ou na verificação de incertezas, mas se reveste de formações, no caso da oferta de novos cursos, que ainda não existem e precisam ser “experimentadas” para dar conta das novas demandas sociais em todos os níveis da educação nacional, conforme nos ensina o Prof. José Mário Pires </w:t>
      </w:r>
      <w:proofErr w:type="spellStart"/>
      <w:r w:rsidRPr="00EA16B0">
        <w:rPr>
          <w:rFonts w:asciiTheme="majorHAnsi" w:hAnsiTheme="majorHAnsi" w:cstheme="majorHAnsi"/>
          <w:color w:val="000000"/>
          <w:sz w:val="24"/>
          <w:shd w:val="clear" w:color="auto" w:fill="FFFFFF"/>
        </w:rPr>
        <w:t>Azanha</w:t>
      </w:r>
      <w:proofErr w:type="spellEnd"/>
      <w:r w:rsidRPr="00EA16B0">
        <w:rPr>
          <w:rFonts w:asciiTheme="majorHAnsi" w:hAnsiTheme="majorHAnsi" w:cstheme="majorHAnsi"/>
          <w:color w:val="000000"/>
          <w:sz w:val="24"/>
          <w:shd w:val="clear" w:color="auto" w:fill="FFFFFF"/>
        </w:rPr>
        <w:t xml:space="preserve"> (AZANHA, 2001).</w:t>
      </w:r>
    </w:p>
    <w:p w14:paraId="7F8A336B" w14:textId="77777777" w:rsidR="00D3608B" w:rsidRPr="00EA16B0" w:rsidRDefault="00D3608B" w:rsidP="00390F44">
      <w:pPr>
        <w:spacing w:line="360" w:lineRule="auto"/>
        <w:ind w:firstLine="708"/>
        <w:jc w:val="both"/>
        <w:rPr>
          <w:rFonts w:asciiTheme="majorHAnsi" w:hAnsiTheme="majorHAnsi" w:cstheme="majorHAnsi"/>
          <w:color w:val="000000"/>
          <w:sz w:val="24"/>
          <w:shd w:val="clear" w:color="auto" w:fill="FFFFFF"/>
        </w:rPr>
      </w:pPr>
      <w:r w:rsidRPr="00EA16B0">
        <w:rPr>
          <w:rFonts w:asciiTheme="majorHAnsi" w:hAnsiTheme="majorHAnsi" w:cstheme="majorHAnsi"/>
          <w:color w:val="000000"/>
          <w:spacing w:val="-4"/>
          <w:sz w:val="24"/>
          <w:shd w:val="clear" w:color="auto" w:fill="FFFFFF"/>
        </w:rPr>
        <w:t>Com essa possibilidade, cabe às instituições universitárias, que detêm autonomia decorrente de uma maturidade</w:t>
      </w:r>
      <w:r w:rsidRPr="00EA16B0">
        <w:rPr>
          <w:rFonts w:asciiTheme="majorHAnsi" w:hAnsiTheme="majorHAnsi" w:cstheme="majorHAnsi"/>
          <w:color w:val="000000"/>
          <w:sz w:val="24"/>
          <w:shd w:val="clear" w:color="auto" w:fill="FFFFFF"/>
        </w:rPr>
        <w:t xml:space="preserve"> acadêmica conquistada e presente em sua própria organização, a proposição de novos cursos. Dessa forma, fica claro que as formações que a Instituição oferecerá poderão ter duas naturezas: cursos já consolidados e que os existem em quantidade suficiente para que haja uma regulamentação nacional por meio de DCN. Assim, com base no Art. 81 da referida LDB podem ser criados cursos específicos decorrentes da visão institucional sobre as necessidades sociais com respeito a formações de nível superior e originarão egressos com diplomas que terão validade nacional e representarão a formação recebida. Esse movimento, poderá gerar a regulamentação ou não de uma nova profissão de nível superior ou permanecer como formação limitada a um grupo de instituições, ou seja, o caráter experimental é utilizado para possibilitar sua implantação, mas a “experimentação” pode se perenizar ou levar à criação de novas formações que, nesse caso e se expressivas em termos quantitativos e de distribuição pelo país, passarão a exigir a edição de diretrizes nacionais.</w:t>
      </w:r>
    </w:p>
    <w:p w14:paraId="73E38F52" w14:textId="77777777" w:rsidR="00D3608B" w:rsidRPr="00EA16B0" w:rsidRDefault="00D3608B" w:rsidP="00390F44">
      <w:pPr>
        <w:spacing w:line="360" w:lineRule="auto"/>
        <w:ind w:firstLine="708"/>
        <w:jc w:val="both"/>
        <w:rPr>
          <w:rFonts w:asciiTheme="majorHAnsi" w:hAnsiTheme="majorHAnsi" w:cstheme="majorHAnsi"/>
          <w:color w:val="000000"/>
          <w:sz w:val="24"/>
          <w:shd w:val="clear" w:color="auto" w:fill="FFFFFF"/>
        </w:rPr>
      </w:pPr>
      <w:r w:rsidRPr="00EA16B0">
        <w:rPr>
          <w:rFonts w:asciiTheme="majorHAnsi" w:hAnsiTheme="majorHAnsi" w:cstheme="majorHAnsi"/>
          <w:color w:val="000000"/>
          <w:sz w:val="24"/>
          <w:shd w:val="clear" w:color="auto" w:fill="FFFFFF"/>
        </w:rPr>
        <w:t xml:space="preserve">Mais do que uma ação, o mecanismo expresso no parágrafo anterior é uma obrigação das universidades, especialmente aquelas criadas e mantidas pelo poder público, que podem propor </w:t>
      </w:r>
      <w:r w:rsidRPr="00EA16B0">
        <w:rPr>
          <w:rFonts w:asciiTheme="majorHAnsi" w:hAnsiTheme="majorHAnsi" w:cstheme="majorHAnsi"/>
          <w:color w:val="000000"/>
          <w:sz w:val="24"/>
          <w:shd w:val="clear" w:color="auto" w:fill="FFFFFF"/>
        </w:rPr>
        <w:lastRenderedPageBreak/>
        <w:t>novos cursos menos voltados ao atendimento imediato do mercado de trabalho e levar em conta projeções sobre necessidades sociais e para o desenvolvimento humano.</w:t>
      </w:r>
    </w:p>
    <w:p w14:paraId="7BFE3BF0" w14:textId="77777777" w:rsidR="00D3608B" w:rsidRPr="00EA16B0" w:rsidRDefault="00D3608B" w:rsidP="00390F44">
      <w:pPr>
        <w:spacing w:line="360" w:lineRule="auto"/>
        <w:ind w:firstLine="708"/>
        <w:jc w:val="both"/>
        <w:rPr>
          <w:rFonts w:asciiTheme="majorHAnsi" w:hAnsiTheme="majorHAnsi" w:cstheme="majorHAnsi"/>
          <w:color w:val="000000"/>
          <w:sz w:val="24"/>
          <w:shd w:val="clear" w:color="auto" w:fill="FFFFFF"/>
        </w:rPr>
      </w:pPr>
      <w:r w:rsidRPr="00EA16B0">
        <w:rPr>
          <w:rFonts w:asciiTheme="majorHAnsi" w:hAnsiTheme="majorHAnsi" w:cstheme="majorHAnsi"/>
          <w:color w:val="000000"/>
          <w:sz w:val="24"/>
          <w:shd w:val="clear" w:color="auto" w:fill="FFFFFF"/>
        </w:rPr>
        <w:t>Não estão estabelecidas Diretrizes Curriculares Nacionais para os cursos e programas de pós-graduação, nem tampouco dos cursos sequenciais.</w:t>
      </w:r>
    </w:p>
    <w:p w14:paraId="634E6FD4" w14:textId="77777777" w:rsidR="00D3608B" w:rsidRPr="00EA16B0" w:rsidRDefault="00D3608B" w:rsidP="00390F44">
      <w:pPr>
        <w:spacing w:line="360" w:lineRule="auto"/>
        <w:ind w:firstLine="708"/>
        <w:jc w:val="both"/>
        <w:rPr>
          <w:rFonts w:asciiTheme="majorHAnsi" w:hAnsiTheme="majorHAnsi" w:cstheme="majorHAnsi"/>
          <w:color w:val="000000"/>
          <w:sz w:val="24"/>
          <w:shd w:val="clear" w:color="auto" w:fill="FFFFFF"/>
        </w:rPr>
      </w:pPr>
      <w:r w:rsidRPr="00EA16B0">
        <w:rPr>
          <w:rFonts w:asciiTheme="majorHAnsi" w:hAnsiTheme="majorHAnsi" w:cstheme="majorHAnsi"/>
          <w:color w:val="000000"/>
          <w:sz w:val="24"/>
          <w:shd w:val="clear" w:color="auto" w:fill="FFFFFF"/>
        </w:rPr>
        <w:t>Entretanto, o CNE apresentou diretrizes e normas para a oferta de cursos de especialização discutidas no Parecer CNE n. 146/2018 (CNE, 2018a) que gerou a Resolução CNE n. 1/2018 (CNE, 2018c) para as Instituições de Educação Superior do Sistema Federal de Ensino, conforme já abordado quando da caracterização desses cursos no Item 1.1 DESTE RELATÓRIO.</w:t>
      </w:r>
    </w:p>
    <w:p w14:paraId="53250BC7" w14:textId="06BA480F" w:rsidR="00D3608B" w:rsidRPr="00EA16B0" w:rsidRDefault="00D3608B" w:rsidP="00390F44">
      <w:pPr>
        <w:spacing w:line="360" w:lineRule="auto"/>
        <w:ind w:firstLine="708"/>
        <w:jc w:val="both"/>
        <w:rPr>
          <w:rFonts w:asciiTheme="majorHAnsi" w:hAnsiTheme="majorHAnsi" w:cstheme="majorHAnsi"/>
          <w:color w:val="000000"/>
          <w:sz w:val="24"/>
          <w:shd w:val="clear" w:color="auto" w:fill="FFFFFF"/>
        </w:rPr>
      </w:pPr>
      <w:r w:rsidRPr="00EA16B0">
        <w:rPr>
          <w:rFonts w:asciiTheme="majorHAnsi" w:hAnsiTheme="majorHAnsi" w:cstheme="majorHAnsi"/>
          <w:color w:val="000000"/>
          <w:sz w:val="24"/>
          <w:shd w:val="clear" w:color="auto" w:fill="FFFFFF"/>
        </w:rPr>
        <w:t xml:space="preserve">Na resolução, o Art. 10 permite que as IES que oferecem programas de pós-graduação </w:t>
      </w:r>
      <w:r w:rsidRPr="00EA16B0">
        <w:rPr>
          <w:rFonts w:asciiTheme="majorHAnsi" w:hAnsiTheme="majorHAnsi" w:cstheme="majorHAnsi"/>
          <w:i/>
          <w:color w:val="000000"/>
          <w:sz w:val="24"/>
          <w:shd w:val="clear" w:color="auto" w:fill="FFFFFF"/>
        </w:rPr>
        <w:t xml:space="preserve">stricto sensu </w:t>
      </w:r>
      <w:r w:rsidRPr="00EA16B0">
        <w:rPr>
          <w:rFonts w:asciiTheme="majorHAnsi" w:hAnsiTheme="majorHAnsi" w:cstheme="majorHAnsi"/>
          <w:color w:val="000000"/>
          <w:sz w:val="24"/>
          <w:shd w:val="clear" w:color="auto" w:fill="FFFFFF"/>
        </w:rPr>
        <w:t>convertam em certificado de especialização os créditos de disciplinas cursadas no mestrado ou doutorado por estudantes que não concluírem esses programas, desde que devidamente estabelecido nos seus regulamentos para esses programas (CNE, 2018c).</w:t>
      </w:r>
    </w:p>
    <w:p w14:paraId="336B251E" w14:textId="77777777" w:rsidR="00390F44" w:rsidRPr="00EA16B0" w:rsidRDefault="00390F44" w:rsidP="00390F44">
      <w:pPr>
        <w:spacing w:line="360" w:lineRule="auto"/>
        <w:ind w:firstLine="708"/>
        <w:jc w:val="both"/>
        <w:rPr>
          <w:rFonts w:asciiTheme="majorHAnsi" w:hAnsiTheme="majorHAnsi" w:cstheme="majorHAnsi"/>
          <w:color w:val="000000"/>
          <w:sz w:val="24"/>
          <w:shd w:val="clear" w:color="auto" w:fill="FFFFFF"/>
        </w:rPr>
      </w:pPr>
    </w:p>
    <w:p w14:paraId="4F41C37C" w14:textId="0706979F" w:rsidR="00D3608B" w:rsidRPr="00EA16B0" w:rsidRDefault="00D3608B" w:rsidP="003A7871">
      <w:pPr>
        <w:pStyle w:val="Ttulo2"/>
        <w:numPr>
          <w:ilvl w:val="1"/>
          <w:numId w:val="1"/>
        </w:numPr>
        <w:tabs>
          <w:tab w:val="clear" w:pos="1615"/>
        </w:tabs>
        <w:spacing w:before="0" w:after="0" w:line="360" w:lineRule="auto"/>
        <w:ind w:left="993" w:hanging="576"/>
        <w:rPr>
          <w:rFonts w:asciiTheme="majorHAnsi" w:hAnsiTheme="majorHAnsi" w:cstheme="majorHAnsi"/>
        </w:rPr>
      </w:pPr>
      <w:bookmarkStart w:id="30" w:name="_Toc102319370"/>
      <w:r w:rsidRPr="00EA16B0">
        <w:rPr>
          <w:rFonts w:asciiTheme="majorHAnsi" w:hAnsiTheme="majorHAnsi" w:cstheme="majorHAnsi"/>
        </w:rPr>
        <w:t xml:space="preserve">CRIAÇÃO E COMPOSIÇÃO DA </w:t>
      </w:r>
      <w:proofErr w:type="spellStart"/>
      <w:r w:rsidRPr="00EA16B0">
        <w:rPr>
          <w:rFonts w:asciiTheme="majorHAnsi" w:hAnsiTheme="majorHAnsi" w:cstheme="majorHAnsi"/>
        </w:rPr>
        <w:t>UnDF</w:t>
      </w:r>
      <w:bookmarkEnd w:id="30"/>
      <w:proofErr w:type="spellEnd"/>
    </w:p>
    <w:p w14:paraId="28F53EFF" w14:textId="77777777" w:rsidR="00D3608B" w:rsidRPr="00EA16B0" w:rsidRDefault="00D3608B" w:rsidP="00390F44">
      <w:pPr>
        <w:spacing w:line="360" w:lineRule="auto"/>
        <w:ind w:firstLine="709"/>
        <w:rPr>
          <w:rFonts w:asciiTheme="majorHAnsi" w:hAnsiTheme="majorHAnsi" w:cstheme="majorHAnsi"/>
          <w:sz w:val="24"/>
          <w:szCs w:val="24"/>
        </w:rPr>
      </w:pPr>
      <w:r w:rsidRPr="00EA16B0">
        <w:rPr>
          <w:rFonts w:asciiTheme="majorHAnsi" w:hAnsiTheme="majorHAnsi" w:cstheme="majorHAnsi"/>
          <w:sz w:val="24"/>
          <w:szCs w:val="24"/>
        </w:rPr>
        <w:t xml:space="preserve">O texto que se segue em itálico foi copiado do capítulo I do relatório que discute a organização curricular da </w:t>
      </w:r>
      <w:proofErr w:type="spellStart"/>
      <w:r w:rsidRPr="00EA16B0">
        <w:rPr>
          <w:rFonts w:asciiTheme="majorHAnsi" w:hAnsiTheme="majorHAnsi" w:cstheme="majorHAnsi"/>
          <w:sz w:val="24"/>
          <w:szCs w:val="24"/>
        </w:rPr>
        <w:t>UnDF</w:t>
      </w:r>
      <w:proofErr w:type="spellEnd"/>
      <w:r w:rsidRPr="00EA16B0">
        <w:rPr>
          <w:rFonts w:asciiTheme="majorHAnsi" w:hAnsiTheme="majorHAnsi" w:cstheme="majorHAnsi"/>
          <w:sz w:val="24"/>
          <w:szCs w:val="24"/>
        </w:rPr>
        <w:t xml:space="preserve"> (CEBRASPE, 2022a) e cabe sua reprodução no presente relato, para contextualizar a criação dessa Universidade.</w:t>
      </w:r>
    </w:p>
    <w:p w14:paraId="637E7308" w14:textId="77777777" w:rsidR="00D3608B" w:rsidRPr="00EA16B0" w:rsidRDefault="00D3608B" w:rsidP="00390F44">
      <w:pPr>
        <w:spacing w:after="240" w:line="360" w:lineRule="auto"/>
        <w:ind w:firstLine="709"/>
        <w:jc w:val="both"/>
        <w:rPr>
          <w:rFonts w:asciiTheme="majorHAnsi" w:hAnsiTheme="majorHAnsi" w:cstheme="majorHAnsi"/>
          <w:iCs/>
          <w:sz w:val="24"/>
          <w:szCs w:val="24"/>
        </w:rPr>
      </w:pPr>
      <w:r w:rsidRPr="00EA16B0">
        <w:rPr>
          <w:rFonts w:asciiTheme="majorHAnsi" w:hAnsiTheme="majorHAnsi" w:cstheme="majorHAnsi"/>
          <w:iCs/>
          <w:sz w:val="24"/>
          <w:szCs w:val="24"/>
        </w:rPr>
        <w:t xml:space="preserve">A Lei Complementar n. 987 (DISTRITO FEDERAL, 2021a), que autoriza a criação e define as áreas de atuação da </w:t>
      </w:r>
      <w:proofErr w:type="spellStart"/>
      <w:r w:rsidRPr="00EA16B0">
        <w:rPr>
          <w:rFonts w:asciiTheme="majorHAnsi" w:hAnsiTheme="majorHAnsi" w:cstheme="majorHAnsi"/>
          <w:iCs/>
          <w:sz w:val="24"/>
          <w:szCs w:val="24"/>
        </w:rPr>
        <w:t>UnDF</w:t>
      </w:r>
      <w:proofErr w:type="spellEnd"/>
      <w:r w:rsidRPr="00EA16B0">
        <w:rPr>
          <w:rFonts w:asciiTheme="majorHAnsi" w:hAnsiTheme="majorHAnsi" w:cstheme="majorHAnsi"/>
          <w:iCs/>
          <w:sz w:val="24"/>
          <w:szCs w:val="24"/>
        </w:rPr>
        <w:t xml:space="preserve"> e dá outras providências, estabeleceu que a instituição deverá atuar nas diferentes áreas do conhecimento (Art. 7</w:t>
      </w:r>
      <w:r w:rsidRPr="00EA16B0">
        <w:rPr>
          <w:rFonts w:asciiTheme="majorHAnsi" w:hAnsiTheme="majorHAnsi" w:cstheme="majorHAnsi"/>
          <w:sz w:val="24"/>
          <w:szCs w:val="24"/>
        </w:rPr>
        <w:t>.</w:t>
      </w:r>
      <w:r w:rsidRPr="00EA16B0">
        <w:rPr>
          <w:rFonts w:asciiTheme="majorHAnsi" w:hAnsiTheme="majorHAnsi" w:cstheme="majorHAnsi"/>
          <w:sz w:val="24"/>
          <w:szCs w:val="24"/>
          <w:vertAlign w:val="superscript"/>
        </w:rPr>
        <w:t>o</w:t>
      </w:r>
      <w:r w:rsidRPr="00EA16B0">
        <w:rPr>
          <w:rFonts w:asciiTheme="majorHAnsi" w:hAnsiTheme="majorHAnsi" w:cstheme="majorHAnsi"/>
          <w:iCs/>
          <w:sz w:val="24"/>
          <w:szCs w:val="24"/>
        </w:rPr>
        <w:t>) extinguindo a Fundação Universidade Aberta do Distrito Federal (</w:t>
      </w:r>
      <w:proofErr w:type="spellStart"/>
      <w:r w:rsidRPr="00EA16B0">
        <w:rPr>
          <w:rFonts w:asciiTheme="majorHAnsi" w:hAnsiTheme="majorHAnsi" w:cstheme="majorHAnsi"/>
          <w:iCs/>
          <w:sz w:val="24"/>
          <w:szCs w:val="24"/>
        </w:rPr>
        <w:t>Funab</w:t>
      </w:r>
      <w:proofErr w:type="spellEnd"/>
      <w:r w:rsidRPr="00EA16B0">
        <w:rPr>
          <w:rFonts w:asciiTheme="majorHAnsi" w:hAnsiTheme="majorHAnsi" w:cstheme="majorHAnsi"/>
          <w:iCs/>
          <w:sz w:val="24"/>
          <w:szCs w:val="24"/>
        </w:rPr>
        <w:t>) e transferindo os órgãos e entidades a ela vinculados à nova Universidade (Art.15, §§ 1</w:t>
      </w:r>
      <w:r w:rsidRPr="00EA16B0">
        <w:rPr>
          <w:rFonts w:asciiTheme="majorHAnsi" w:hAnsiTheme="majorHAnsi" w:cstheme="majorHAnsi"/>
          <w:sz w:val="24"/>
          <w:szCs w:val="24"/>
        </w:rPr>
        <w:t>.</w:t>
      </w:r>
      <w:r w:rsidRPr="00EA16B0">
        <w:rPr>
          <w:rFonts w:asciiTheme="majorHAnsi" w:hAnsiTheme="majorHAnsi" w:cstheme="majorHAnsi"/>
          <w:sz w:val="24"/>
          <w:szCs w:val="24"/>
          <w:vertAlign w:val="superscript"/>
        </w:rPr>
        <w:t>o</w:t>
      </w:r>
      <w:r w:rsidRPr="00EA16B0" w:rsidDel="002A4265">
        <w:rPr>
          <w:rFonts w:asciiTheme="majorHAnsi" w:hAnsiTheme="majorHAnsi" w:cstheme="majorHAnsi"/>
          <w:iCs/>
          <w:sz w:val="24"/>
          <w:szCs w:val="24"/>
        </w:rPr>
        <w:t xml:space="preserve"> </w:t>
      </w:r>
      <w:r w:rsidRPr="00EA16B0">
        <w:rPr>
          <w:rFonts w:asciiTheme="majorHAnsi" w:hAnsiTheme="majorHAnsi" w:cstheme="majorHAnsi"/>
          <w:iCs/>
          <w:sz w:val="24"/>
          <w:szCs w:val="24"/>
        </w:rPr>
        <w:t>e 2</w:t>
      </w:r>
      <w:r w:rsidRPr="00EA16B0">
        <w:rPr>
          <w:rFonts w:asciiTheme="majorHAnsi" w:hAnsiTheme="majorHAnsi" w:cstheme="majorHAnsi"/>
          <w:sz w:val="24"/>
          <w:szCs w:val="24"/>
        </w:rPr>
        <w:t>.</w:t>
      </w:r>
      <w:r w:rsidRPr="00EA16B0">
        <w:rPr>
          <w:rFonts w:asciiTheme="majorHAnsi" w:hAnsiTheme="majorHAnsi" w:cstheme="majorHAnsi"/>
          <w:sz w:val="24"/>
          <w:szCs w:val="24"/>
          <w:vertAlign w:val="superscript"/>
        </w:rPr>
        <w:t>o</w:t>
      </w:r>
      <w:r w:rsidRPr="00EA16B0">
        <w:rPr>
          <w:rFonts w:asciiTheme="majorHAnsi" w:hAnsiTheme="majorHAnsi" w:cstheme="majorHAnsi"/>
          <w:iCs/>
          <w:sz w:val="24"/>
          <w:szCs w:val="24"/>
        </w:rPr>
        <w:t xml:space="preserve">), fazendo o mesmo com a Escola Superior de Ciências da Saúde (ESCS) que também passou a integrar a </w:t>
      </w:r>
      <w:proofErr w:type="spellStart"/>
      <w:r w:rsidRPr="00EA16B0">
        <w:rPr>
          <w:rFonts w:asciiTheme="majorHAnsi" w:hAnsiTheme="majorHAnsi" w:cstheme="majorHAnsi"/>
          <w:iCs/>
          <w:sz w:val="24"/>
          <w:szCs w:val="24"/>
        </w:rPr>
        <w:t>UnDF</w:t>
      </w:r>
      <w:proofErr w:type="spellEnd"/>
      <w:r w:rsidRPr="00EA16B0">
        <w:rPr>
          <w:rFonts w:asciiTheme="majorHAnsi" w:hAnsiTheme="majorHAnsi" w:cstheme="majorHAnsi"/>
          <w:iCs/>
          <w:sz w:val="24"/>
          <w:szCs w:val="24"/>
        </w:rPr>
        <w:t xml:space="preserve"> (Art. 15, § 3</w:t>
      </w:r>
      <w:r w:rsidRPr="00EA16B0">
        <w:rPr>
          <w:rFonts w:asciiTheme="majorHAnsi" w:hAnsiTheme="majorHAnsi" w:cstheme="majorHAnsi"/>
          <w:sz w:val="24"/>
          <w:szCs w:val="24"/>
        </w:rPr>
        <w:t>.</w:t>
      </w:r>
      <w:r w:rsidRPr="00EA16B0">
        <w:rPr>
          <w:rFonts w:asciiTheme="majorHAnsi" w:hAnsiTheme="majorHAnsi" w:cstheme="majorHAnsi"/>
          <w:sz w:val="24"/>
          <w:szCs w:val="24"/>
          <w:vertAlign w:val="superscript"/>
        </w:rPr>
        <w:t>o</w:t>
      </w:r>
      <w:r w:rsidRPr="00EA16B0">
        <w:rPr>
          <w:rFonts w:asciiTheme="majorHAnsi" w:hAnsiTheme="majorHAnsi" w:cstheme="majorHAnsi"/>
          <w:iCs/>
          <w:sz w:val="24"/>
          <w:szCs w:val="24"/>
        </w:rPr>
        <w:t>), conforme segue:</w:t>
      </w:r>
    </w:p>
    <w:p w14:paraId="050FF52B" w14:textId="77777777" w:rsidR="00D3608B" w:rsidRPr="00EA16B0" w:rsidRDefault="00D3608B" w:rsidP="00D3608B">
      <w:pPr>
        <w:spacing w:after="60"/>
        <w:ind w:left="2268" w:right="849"/>
        <w:jc w:val="both"/>
        <w:rPr>
          <w:rFonts w:asciiTheme="majorHAnsi" w:eastAsia="Times New Roman" w:hAnsiTheme="majorHAnsi" w:cstheme="majorHAnsi"/>
          <w:iCs/>
          <w:color w:val="000000"/>
          <w:sz w:val="20"/>
          <w:szCs w:val="20"/>
          <w:lang w:eastAsia="pt-BR"/>
        </w:rPr>
      </w:pPr>
      <w:r w:rsidRPr="00EA16B0">
        <w:rPr>
          <w:rFonts w:asciiTheme="majorHAnsi" w:eastAsia="Times New Roman" w:hAnsiTheme="majorHAnsi" w:cstheme="majorHAnsi"/>
          <w:iCs/>
          <w:color w:val="000000"/>
          <w:sz w:val="20"/>
          <w:szCs w:val="20"/>
          <w:lang w:eastAsia="pt-BR"/>
        </w:rPr>
        <w:t>Art. 15. Fica extinta a Fundação Universidade Aberta do Distrito Federal (</w:t>
      </w:r>
      <w:proofErr w:type="spellStart"/>
      <w:r w:rsidRPr="00EA16B0">
        <w:rPr>
          <w:rFonts w:asciiTheme="majorHAnsi" w:eastAsia="Times New Roman" w:hAnsiTheme="majorHAnsi" w:cstheme="majorHAnsi"/>
          <w:iCs/>
          <w:color w:val="000000"/>
          <w:sz w:val="20"/>
          <w:szCs w:val="20"/>
          <w:lang w:eastAsia="pt-BR"/>
        </w:rPr>
        <w:t>Funab</w:t>
      </w:r>
      <w:proofErr w:type="spellEnd"/>
      <w:r w:rsidRPr="00EA16B0">
        <w:rPr>
          <w:rFonts w:asciiTheme="majorHAnsi" w:eastAsia="Times New Roman" w:hAnsiTheme="majorHAnsi" w:cstheme="majorHAnsi"/>
          <w:iCs/>
          <w:color w:val="000000"/>
          <w:sz w:val="20"/>
          <w:szCs w:val="20"/>
          <w:lang w:eastAsia="pt-BR"/>
        </w:rPr>
        <w:t>), cuja criação foi autorizada por meio da Lei n. 5.141, de 31 de julho de 2013.</w:t>
      </w:r>
    </w:p>
    <w:p w14:paraId="503D1E61" w14:textId="77777777" w:rsidR="00D3608B" w:rsidRPr="00EA16B0" w:rsidRDefault="00D3608B" w:rsidP="00D3608B">
      <w:pPr>
        <w:spacing w:after="60"/>
        <w:ind w:left="2268" w:right="849"/>
        <w:jc w:val="both"/>
        <w:rPr>
          <w:rFonts w:asciiTheme="majorHAnsi" w:eastAsia="Times New Roman" w:hAnsiTheme="majorHAnsi" w:cstheme="majorHAnsi"/>
          <w:iCs/>
          <w:color w:val="000000"/>
          <w:sz w:val="20"/>
          <w:szCs w:val="20"/>
          <w:lang w:eastAsia="pt-BR"/>
        </w:rPr>
      </w:pPr>
      <w:bookmarkStart w:id="31" w:name="capV_art15_par1"/>
      <w:bookmarkEnd w:id="31"/>
      <w:r w:rsidRPr="00EA16B0">
        <w:rPr>
          <w:rFonts w:asciiTheme="majorHAnsi" w:eastAsia="Times New Roman" w:hAnsiTheme="majorHAnsi" w:cstheme="majorHAnsi"/>
          <w:iCs/>
          <w:color w:val="000000"/>
          <w:sz w:val="20"/>
          <w:szCs w:val="20"/>
          <w:lang w:eastAsia="pt-BR"/>
        </w:rPr>
        <w:t>§ 1</w:t>
      </w:r>
      <w:r w:rsidRPr="00EA16B0">
        <w:rPr>
          <w:rFonts w:asciiTheme="majorHAnsi" w:hAnsiTheme="majorHAnsi" w:cstheme="majorHAnsi"/>
        </w:rPr>
        <w:t>.</w:t>
      </w:r>
      <w:r w:rsidRPr="00EA16B0">
        <w:rPr>
          <w:rFonts w:asciiTheme="majorHAnsi" w:hAnsiTheme="majorHAnsi" w:cstheme="majorHAnsi"/>
          <w:vertAlign w:val="superscript"/>
        </w:rPr>
        <w:t>o</w:t>
      </w:r>
      <w:r w:rsidRPr="00EA16B0">
        <w:rPr>
          <w:rFonts w:asciiTheme="majorHAnsi" w:eastAsia="Times New Roman" w:hAnsiTheme="majorHAnsi" w:cstheme="majorHAnsi"/>
          <w:iCs/>
          <w:color w:val="000000"/>
          <w:sz w:val="20"/>
          <w:szCs w:val="20"/>
          <w:lang w:eastAsia="pt-BR"/>
        </w:rPr>
        <w:t xml:space="preserve"> São transferidos à </w:t>
      </w:r>
      <w:proofErr w:type="spellStart"/>
      <w:r w:rsidRPr="00EA16B0">
        <w:rPr>
          <w:rFonts w:asciiTheme="majorHAnsi" w:eastAsia="Times New Roman" w:hAnsiTheme="majorHAnsi" w:cstheme="majorHAnsi"/>
          <w:iCs/>
          <w:color w:val="000000"/>
          <w:sz w:val="20"/>
          <w:szCs w:val="20"/>
          <w:lang w:eastAsia="pt-BR"/>
        </w:rPr>
        <w:t>UnDF</w:t>
      </w:r>
      <w:proofErr w:type="spellEnd"/>
      <w:r w:rsidRPr="00EA16B0">
        <w:rPr>
          <w:rFonts w:asciiTheme="majorHAnsi" w:eastAsia="Times New Roman" w:hAnsiTheme="majorHAnsi" w:cstheme="majorHAnsi"/>
          <w:iCs/>
          <w:color w:val="000000"/>
          <w:sz w:val="20"/>
          <w:szCs w:val="20"/>
          <w:lang w:eastAsia="pt-BR"/>
        </w:rPr>
        <w:t xml:space="preserve"> as competências, direitos e obrigações estabelecidas em leis gerais ou específicas, atos administrativos, contratos, convênios, acordos de cooperação ou instrumentos congêneres relativos à </w:t>
      </w:r>
      <w:proofErr w:type="spellStart"/>
      <w:r w:rsidRPr="00EA16B0">
        <w:rPr>
          <w:rFonts w:asciiTheme="majorHAnsi" w:eastAsia="Times New Roman" w:hAnsiTheme="majorHAnsi" w:cstheme="majorHAnsi"/>
          <w:iCs/>
          <w:color w:val="000000"/>
          <w:sz w:val="20"/>
          <w:szCs w:val="20"/>
          <w:lang w:eastAsia="pt-BR"/>
        </w:rPr>
        <w:t>Funab</w:t>
      </w:r>
      <w:proofErr w:type="spellEnd"/>
      <w:r w:rsidRPr="00EA16B0">
        <w:rPr>
          <w:rFonts w:asciiTheme="majorHAnsi" w:eastAsia="Times New Roman" w:hAnsiTheme="majorHAnsi" w:cstheme="majorHAnsi"/>
          <w:iCs/>
          <w:color w:val="000000"/>
          <w:sz w:val="20"/>
          <w:szCs w:val="20"/>
          <w:lang w:eastAsia="pt-BR"/>
        </w:rPr>
        <w:t>.</w:t>
      </w:r>
    </w:p>
    <w:p w14:paraId="53C34C13" w14:textId="77777777" w:rsidR="00D3608B" w:rsidRPr="00EA16B0" w:rsidRDefault="00D3608B" w:rsidP="00D3608B">
      <w:pPr>
        <w:spacing w:after="60"/>
        <w:ind w:left="2268" w:right="849"/>
        <w:jc w:val="both"/>
        <w:rPr>
          <w:rFonts w:asciiTheme="majorHAnsi" w:eastAsia="Times New Roman" w:hAnsiTheme="majorHAnsi" w:cstheme="majorHAnsi"/>
          <w:iCs/>
          <w:color w:val="000000"/>
          <w:sz w:val="20"/>
          <w:szCs w:val="20"/>
          <w:lang w:eastAsia="pt-BR"/>
        </w:rPr>
      </w:pPr>
      <w:bookmarkStart w:id="32" w:name="capV_art15_par2"/>
      <w:bookmarkEnd w:id="32"/>
      <w:r w:rsidRPr="00EA16B0">
        <w:rPr>
          <w:rFonts w:asciiTheme="majorHAnsi" w:eastAsia="Times New Roman" w:hAnsiTheme="majorHAnsi" w:cstheme="majorHAnsi"/>
          <w:iCs/>
          <w:color w:val="000000"/>
          <w:sz w:val="20"/>
          <w:szCs w:val="20"/>
          <w:lang w:eastAsia="pt-BR"/>
        </w:rPr>
        <w:t xml:space="preserve">§ 2º Os fundos, órgãos e entidades vinculados à </w:t>
      </w:r>
      <w:proofErr w:type="spellStart"/>
      <w:r w:rsidRPr="00EA16B0">
        <w:rPr>
          <w:rFonts w:asciiTheme="majorHAnsi" w:eastAsia="Times New Roman" w:hAnsiTheme="majorHAnsi" w:cstheme="majorHAnsi"/>
          <w:iCs/>
          <w:color w:val="000000"/>
          <w:sz w:val="20"/>
          <w:szCs w:val="20"/>
          <w:lang w:eastAsia="pt-BR"/>
        </w:rPr>
        <w:t>Funab</w:t>
      </w:r>
      <w:proofErr w:type="spellEnd"/>
      <w:r w:rsidRPr="00EA16B0">
        <w:rPr>
          <w:rFonts w:asciiTheme="majorHAnsi" w:eastAsia="Times New Roman" w:hAnsiTheme="majorHAnsi" w:cstheme="majorHAnsi"/>
          <w:iCs/>
          <w:color w:val="000000"/>
          <w:sz w:val="20"/>
          <w:szCs w:val="20"/>
          <w:lang w:eastAsia="pt-BR"/>
        </w:rPr>
        <w:t xml:space="preserve"> passam a ser vinculados à </w:t>
      </w:r>
      <w:proofErr w:type="spellStart"/>
      <w:r w:rsidRPr="00EA16B0">
        <w:rPr>
          <w:rFonts w:asciiTheme="majorHAnsi" w:eastAsia="Times New Roman" w:hAnsiTheme="majorHAnsi" w:cstheme="majorHAnsi"/>
          <w:iCs/>
          <w:color w:val="000000"/>
          <w:sz w:val="20"/>
          <w:szCs w:val="20"/>
          <w:lang w:eastAsia="pt-BR"/>
        </w:rPr>
        <w:t>UnDF</w:t>
      </w:r>
      <w:proofErr w:type="spellEnd"/>
      <w:r w:rsidRPr="00EA16B0">
        <w:rPr>
          <w:rFonts w:asciiTheme="majorHAnsi" w:eastAsia="Times New Roman" w:hAnsiTheme="majorHAnsi" w:cstheme="majorHAnsi"/>
          <w:iCs/>
          <w:color w:val="000000"/>
          <w:sz w:val="20"/>
          <w:szCs w:val="20"/>
          <w:lang w:eastAsia="pt-BR"/>
        </w:rPr>
        <w:t>, procedendo-se, na forma da lei, às alterações que se tornem necessárias.</w:t>
      </w:r>
    </w:p>
    <w:p w14:paraId="064A50C5" w14:textId="77777777" w:rsidR="00D3608B" w:rsidRPr="00EA16B0" w:rsidRDefault="00D3608B" w:rsidP="00D3608B">
      <w:pPr>
        <w:ind w:left="2268" w:right="851"/>
        <w:jc w:val="both"/>
        <w:rPr>
          <w:rFonts w:asciiTheme="majorHAnsi" w:eastAsia="Times New Roman" w:hAnsiTheme="majorHAnsi" w:cstheme="majorHAnsi"/>
          <w:iCs/>
          <w:color w:val="000000"/>
          <w:sz w:val="20"/>
          <w:szCs w:val="20"/>
          <w:lang w:eastAsia="pt-BR"/>
        </w:rPr>
      </w:pPr>
      <w:bookmarkStart w:id="33" w:name="capV_art15_par3"/>
      <w:bookmarkEnd w:id="33"/>
      <w:r w:rsidRPr="00EA16B0">
        <w:rPr>
          <w:rFonts w:asciiTheme="majorHAnsi" w:eastAsia="Times New Roman" w:hAnsiTheme="majorHAnsi" w:cstheme="majorHAnsi"/>
          <w:iCs/>
          <w:color w:val="000000"/>
          <w:sz w:val="20"/>
          <w:szCs w:val="20"/>
          <w:lang w:eastAsia="pt-BR"/>
        </w:rPr>
        <w:lastRenderedPageBreak/>
        <w:t xml:space="preserve">§ 3º A Escola Superior de Ciências da Saúde (ESCS) passa a integrar a </w:t>
      </w:r>
      <w:proofErr w:type="spellStart"/>
      <w:r w:rsidRPr="00EA16B0">
        <w:rPr>
          <w:rFonts w:asciiTheme="majorHAnsi" w:eastAsia="Times New Roman" w:hAnsiTheme="majorHAnsi" w:cstheme="majorHAnsi"/>
          <w:iCs/>
          <w:color w:val="000000"/>
          <w:sz w:val="20"/>
          <w:szCs w:val="20"/>
          <w:lang w:eastAsia="pt-BR"/>
        </w:rPr>
        <w:t>UnDF</w:t>
      </w:r>
      <w:proofErr w:type="spellEnd"/>
      <w:r w:rsidRPr="00EA16B0">
        <w:rPr>
          <w:rFonts w:asciiTheme="majorHAnsi" w:eastAsia="Times New Roman" w:hAnsiTheme="majorHAnsi" w:cstheme="majorHAnsi"/>
          <w:iCs/>
          <w:color w:val="000000"/>
          <w:sz w:val="20"/>
          <w:szCs w:val="20"/>
          <w:lang w:eastAsia="pt-BR"/>
        </w:rPr>
        <w:t xml:space="preserve"> a partir da criação desta, garantida a continuidade de todas as suas atividades de ensino, pesquisa e extensão em curso no momento da sua integração.</w:t>
      </w:r>
    </w:p>
    <w:p w14:paraId="6C093D33" w14:textId="77777777" w:rsidR="00D3608B" w:rsidRPr="00EA16B0" w:rsidRDefault="00D3608B" w:rsidP="00390F44">
      <w:pPr>
        <w:spacing w:line="360" w:lineRule="auto"/>
        <w:ind w:firstLine="709"/>
        <w:jc w:val="both"/>
        <w:rPr>
          <w:rFonts w:asciiTheme="majorHAnsi" w:hAnsiTheme="majorHAnsi" w:cstheme="majorHAnsi"/>
          <w:iCs/>
          <w:sz w:val="24"/>
          <w:szCs w:val="24"/>
        </w:rPr>
      </w:pPr>
      <w:r w:rsidRPr="00EA16B0">
        <w:rPr>
          <w:rFonts w:asciiTheme="majorHAnsi" w:hAnsiTheme="majorHAnsi" w:cstheme="majorHAnsi"/>
          <w:iCs/>
          <w:sz w:val="24"/>
          <w:szCs w:val="24"/>
        </w:rPr>
        <w:t xml:space="preserve">A Lei Complementar gerou o </w:t>
      </w:r>
      <w:proofErr w:type="gramStart"/>
      <w:r w:rsidRPr="00EA16B0">
        <w:rPr>
          <w:rFonts w:asciiTheme="majorHAnsi" w:hAnsiTheme="majorHAnsi" w:cstheme="majorHAnsi"/>
          <w:iCs/>
          <w:sz w:val="24"/>
          <w:szCs w:val="24"/>
        </w:rPr>
        <w:t>Decreto  42.333</w:t>
      </w:r>
      <w:proofErr w:type="gramEnd"/>
      <w:r w:rsidRPr="00EA16B0">
        <w:rPr>
          <w:rFonts w:asciiTheme="majorHAnsi" w:hAnsiTheme="majorHAnsi" w:cstheme="majorHAnsi"/>
          <w:iCs/>
          <w:sz w:val="24"/>
          <w:szCs w:val="24"/>
        </w:rPr>
        <w:t xml:space="preserve">, de 26 de julho de 2021, que Instituiu a </w:t>
      </w:r>
      <w:proofErr w:type="spellStart"/>
      <w:r w:rsidRPr="00EA16B0">
        <w:rPr>
          <w:rFonts w:asciiTheme="majorHAnsi" w:hAnsiTheme="majorHAnsi" w:cstheme="majorHAnsi"/>
          <w:iCs/>
          <w:sz w:val="24"/>
          <w:szCs w:val="24"/>
        </w:rPr>
        <w:t>UnDF</w:t>
      </w:r>
      <w:proofErr w:type="spellEnd"/>
      <w:r w:rsidRPr="00EA16B0">
        <w:rPr>
          <w:rFonts w:asciiTheme="majorHAnsi" w:hAnsiTheme="majorHAnsi" w:cstheme="majorHAnsi"/>
          <w:iCs/>
          <w:sz w:val="24"/>
          <w:szCs w:val="24"/>
        </w:rPr>
        <w:t xml:space="preserve"> (DISTRITO FEDERAL, 2021b).</w:t>
      </w:r>
    </w:p>
    <w:p w14:paraId="397DD11A" w14:textId="77777777" w:rsidR="00D3608B" w:rsidRPr="00EA16B0" w:rsidRDefault="00D3608B" w:rsidP="00390F44">
      <w:pPr>
        <w:spacing w:line="360" w:lineRule="auto"/>
        <w:ind w:firstLine="709"/>
        <w:jc w:val="both"/>
        <w:rPr>
          <w:rFonts w:asciiTheme="majorHAnsi" w:hAnsiTheme="majorHAnsi" w:cstheme="majorHAnsi"/>
          <w:iCs/>
          <w:sz w:val="24"/>
          <w:szCs w:val="24"/>
        </w:rPr>
      </w:pPr>
      <w:r w:rsidRPr="00EA16B0">
        <w:rPr>
          <w:rFonts w:asciiTheme="majorHAnsi" w:hAnsiTheme="majorHAnsi" w:cstheme="majorHAnsi"/>
          <w:iCs/>
          <w:sz w:val="24"/>
          <w:szCs w:val="24"/>
        </w:rPr>
        <w:t>Desse modo, a nova Universidade foi criada e absorverá algumas escolas de educação superior já consolidadas e em funcionamento, conforme consta no sítio da Fundação Universidade Aberta do Distrito Federal (FUNAB, 2021), a saber:</w:t>
      </w:r>
    </w:p>
    <w:p w14:paraId="2ACBAACA" w14:textId="77777777" w:rsidR="00D3608B" w:rsidRPr="00EA16B0" w:rsidRDefault="00D3608B" w:rsidP="003A7871">
      <w:pPr>
        <w:pStyle w:val="PargrafodaLista"/>
        <w:numPr>
          <w:ilvl w:val="0"/>
          <w:numId w:val="6"/>
        </w:numPr>
        <w:spacing w:after="0" w:line="360" w:lineRule="auto"/>
        <w:ind w:left="284" w:hanging="284"/>
        <w:jc w:val="both"/>
        <w:rPr>
          <w:rFonts w:asciiTheme="majorHAnsi" w:hAnsiTheme="majorHAnsi" w:cstheme="majorHAnsi"/>
          <w:b/>
          <w:iCs/>
          <w:sz w:val="24"/>
          <w:szCs w:val="24"/>
        </w:rPr>
      </w:pPr>
      <w:r w:rsidRPr="00EA16B0">
        <w:rPr>
          <w:rFonts w:asciiTheme="majorHAnsi" w:hAnsiTheme="majorHAnsi" w:cstheme="majorHAnsi"/>
          <w:b/>
          <w:iCs/>
          <w:sz w:val="24"/>
          <w:szCs w:val="24"/>
        </w:rPr>
        <w:t>Escola Superior de Magistério;</w:t>
      </w:r>
    </w:p>
    <w:p w14:paraId="6263C0C7" w14:textId="77777777" w:rsidR="00D3608B" w:rsidRPr="00EA16B0" w:rsidRDefault="00D3608B" w:rsidP="003A7871">
      <w:pPr>
        <w:pStyle w:val="PargrafodaLista"/>
        <w:numPr>
          <w:ilvl w:val="0"/>
          <w:numId w:val="6"/>
        </w:numPr>
        <w:spacing w:after="0" w:line="360" w:lineRule="auto"/>
        <w:ind w:left="284" w:hanging="284"/>
        <w:jc w:val="both"/>
        <w:rPr>
          <w:rFonts w:asciiTheme="majorHAnsi" w:hAnsiTheme="majorHAnsi" w:cstheme="majorHAnsi"/>
          <w:b/>
          <w:iCs/>
          <w:sz w:val="24"/>
          <w:szCs w:val="24"/>
        </w:rPr>
      </w:pPr>
      <w:r w:rsidRPr="00EA16B0">
        <w:rPr>
          <w:rFonts w:asciiTheme="majorHAnsi" w:hAnsiTheme="majorHAnsi" w:cstheme="majorHAnsi"/>
          <w:b/>
          <w:iCs/>
          <w:sz w:val="24"/>
          <w:szCs w:val="24"/>
        </w:rPr>
        <w:t>Escola Superior de Polícia Civil;</w:t>
      </w:r>
    </w:p>
    <w:p w14:paraId="27E77161" w14:textId="77777777" w:rsidR="00D3608B" w:rsidRPr="00EA16B0" w:rsidRDefault="00D3608B" w:rsidP="003A7871">
      <w:pPr>
        <w:pStyle w:val="PargrafodaLista"/>
        <w:numPr>
          <w:ilvl w:val="0"/>
          <w:numId w:val="6"/>
        </w:numPr>
        <w:spacing w:after="0" w:line="360" w:lineRule="auto"/>
        <w:ind w:left="284" w:hanging="284"/>
        <w:jc w:val="both"/>
        <w:rPr>
          <w:rFonts w:asciiTheme="majorHAnsi" w:hAnsiTheme="majorHAnsi" w:cstheme="majorHAnsi"/>
          <w:b/>
          <w:iCs/>
          <w:sz w:val="24"/>
          <w:szCs w:val="24"/>
        </w:rPr>
      </w:pPr>
      <w:r w:rsidRPr="00EA16B0">
        <w:rPr>
          <w:rFonts w:asciiTheme="majorHAnsi" w:hAnsiTheme="majorHAnsi" w:cstheme="majorHAnsi"/>
          <w:b/>
          <w:iCs/>
          <w:sz w:val="24"/>
          <w:szCs w:val="24"/>
        </w:rPr>
        <w:t>Escola Superior do Cerrado;</w:t>
      </w:r>
    </w:p>
    <w:p w14:paraId="74F55CF8" w14:textId="77777777" w:rsidR="00D3608B" w:rsidRPr="00EA16B0" w:rsidRDefault="00D3608B" w:rsidP="003A7871">
      <w:pPr>
        <w:pStyle w:val="PargrafodaLista"/>
        <w:numPr>
          <w:ilvl w:val="0"/>
          <w:numId w:val="6"/>
        </w:numPr>
        <w:spacing w:after="0" w:line="360" w:lineRule="auto"/>
        <w:ind w:left="284" w:hanging="284"/>
        <w:jc w:val="both"/>
        <w:rPr>
          <w:rFonts w:asciiTheme="majorHAnsi" w:hAnsiTheme="majorHAnsi" w:cstheme="majorHAnsi"/>
          <w:iCs/>
          <w:sz w:val="24"/>
          <w:szCs w:val="24"/>
        </w:rPr>
      </w:pPr>
      <w:r w:rsidRPr="00EA16B0">
        <w:rPr>
          <w:rFonts w:asciiTheme="majorHAnsi" w:hAnsiTheme="majorHAnsi" w:cstheme="majorHAnsi"/>
          <w:b/>
          <w:iCs/>
          <w:sz w:val="24"/>
          <w:szCs w:val="24"/>
        </w:rPr>
        <w:t xml:space="preserve">Escola Superior de Gestão </w:t>
      </w:r>
      <w:r w:rsidRPr="00EA16B0">
        <w:rPr>
          <w:rFonts w:asciiTheme="majorHAnsi" w:hAnsiTheme="majorHAnsi" w:cstheme="majorHAnsi"/>
          <w:iCs/>
          <w:sz w:val="24"/>
          <w:szCs w:val="24"/>
        </w:rPr>
        <w:t>— que oferece o Curso Superior de Tecnologia em Gestão Pública e o Curso de Especialização em “Interdisciplinaridade e Metodologias Ativas;</w:t>
      </w:r>
    </w:p>
    <w:p w14:paraId="03FC81EB" w14:textId="77777777" w:rsidR="00D3608B" w:rsidRPr="00EA16B0" w:rsidRDefault="00D3608B" w:rsidP="003A7871">
      <w:pPr>
        <w:pStyle w:val="PargrafodaLista"/>
        <w:numPr>
          <w:ilvl w:val="0"/>
          <w:numId w:val="6"/>
        </w:numPr>
        <w:spacing w:line="360" w:lineRule="auto"/>
        <w:ind w:left="284" w:hanging="284"/>
        <w:jc w:val="both"/>
        <w:rPr>
          <w:rFonts w:asciiTheme="majorHAnsi" w:hAnsiTheme="majorHAnsi" w:cstheme="majorHAnsi"/>
          <w:iCs/>
          <w:sz w:val="24"/>
          <w:szCs w:val="24"/>
        </w:rPr>
      </w:pPr>
      <w:r w:rsidRPr="00EA16B0">
        <w:rPr>
          <w:rFonts w:asciiTheme="majorHAnsi" w:hAnsiTheme="majorHAnsi" w:cstheme="majorHAnsi"/>
          <w:b/>
          <w:iCs/>
          <w:sz w:val="24"/>
          <w:szCs w:val="24"/>
        </w:rPr>
        <w:t xml:space="preserve">Escola Superior de Ciências da Saúde (ESCS) </w:t>
      </w:r>
      <w:r w:rsidRPr="00EA16B0">
        <w:rPr>
          <w:rFonts w:asciiTheme="majorHAnsi" w:hAnsiTheme="majorHAnsi" w:cstheme="majorHAnsi"/>
          <w:iCs/>
          <w:sz w:val="24"/>
          <w:szCs w:val="24"/>
        </w:rPr>
        <w:t>— que oferece os cursos de graduação em Enfermagem e em Medicina, cursos de especialização na área da saúde, inclusive residência médica, mestrado acadêmico em saúde pública, mestrado profissional em Ciências para a Saúde, e mestrado profissional em Saúde da Família, este em parceria com outras instituições do país e com proposição da Associação Brasileira de Saúde Coletiva (</w:t>
      </w:r>
      <w:proofErr w:type="spellStart"/>
      <w:r w:rsidRPr="00EA16B0">
        <w:rPr>
          <w:rFonts w:asciiTheme="majorHAnsi" w:hAnsiTheme="majorHAnsi" w:cstheme="majorHAnsi"/>
          <w:iCs/>
          <w:sz w:val="24"/>
          <w:szCs w:val="24"/>
        </w:rPr>
        <w:t>Abrasco</w:t>
      </w:r>
      <w:proofErr w:type="spellEnd"/>
      <w:r w:rsidRPr="00EA16B0">
        <w:rPr>
          <w:rFonts w:asciiTheme="majorHAnsi" w:hAnsiTheme="majorHAnsi" w:cstheme="majorHAnsi"/>
          <w:iCs/>
          <w:sz w:val="24"/>
          <w:szCs w:val="24"/>
        </w:rPr>
        <w:t>).</w:t>
      </w:r>
      <w:r w:rsidRPr="00EA16B0">
        <w:rPr>
          <w:rStyle w:val="Refdenotaderodap"/>
          <w:rFonts w:asciiTheme="majorHAnsi" w:hAnsiTheme="majorHAnsi" w:cstheme="majorHAnsi"/>
          <w:iCs/>
          <w:sz w:val="24"/>
          <w:szCs w:val="24"/>
        </w:rPr>
        <w:footnoteReference w:id="1"/>
      </w:r>
    </w:p>
    <w:p w14:paraId="22BB3EC8" w14:textId="77777777" w:rsidR="00390F44" w:rsidRPr="00EA16B0" w:rsidRDefault="00D3608B" w:rsidP="00390F44">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Para a </w:t>
      </w:r>
      <w:proofErr w:type="gramStart"/>
      <w:r w:rsidRPr="00EA16B0">
        <w:rPr>
          <w:rFonts w:asciiTheme="majorHAnsi" w:hAnsiTheme="majorHAnsi" w:cstheme="majorHAnsi"/>
          <w:sz w:val="24"/>
          <w:szCs w:val="24"/>
        </w:rPr>
        <w:t xml:space="preserve">primeira oferta da </w:t>
      </w:r>
      <w:proofErr w:type="spellStart"/>
      <w:r w:rsidRPr="00EA16B0">
        <w:rPr>
          <w:rFonts w:asciiTheme="majorHAnsi" w:hAnsiTheme="majorHAnsi" w:cstheme="majorHAnsi"/>
          <w:sz w:val="24"/>
          <w:szCs w:val="24"/>
        </w:rPr>
        <w:t>UnDF</w:t>
      </w:r>
      <w:proofErr w:type="spellEnd"/>
      <w:r w:rsidRPr="00EA16B0">
        <w:rPr>
          <w:rFonts w:asciiTheme="majorHAnsi" w:hAnsiTheme="majorHAnsi" w:cstheme="majorHAnsi"/>
          <w:sz w:val="24"/>
          <w:szCs w:val="24"/>
        </w:rPr>
        <w:t xml:space="preserve"> estão</w:t>
      </w:r>
      <w:proofErr w:type="gramEnd"/>
      <w:r w:rsidRPr="00EA16B0">
        <w:rPr>
          <w:rFonts w:asciiTheme="majorHAnsi" w:hAnsiTheme="majorHAnsi" w:cstheme="majorHAnsi"/>
          <w:sz w:val="24"/>
          <w:szCs w:val="24"/>
        </w:rPr>
        <w:t xml:space="preserve"> sendo propostos cursos da área da Computação, contemplando, assim, a área de exatas. Com isso, a Instituição agrega esses cursos àqueles que foram inicialmente incorporados, de Medicina e Enfermagem, da área da saúde, e de gestão pública, da área de ciências humanas aplicadas.</w:t>
      </w:r>
    </w:p>
    <w:p w14:paraId="0910D689" w14:textId="5150C5A5" w:rsidR="00D3608B" w:rsidRPr="00EA16B0" w:rsidRDefault="00D3608B" w:rsidP="00D3608B">
      <w:pPr>
        <w:jc w:val="both"/>
        <w:rPr>
          <w:rFonts w:asciiTheme="majorHAnsi" w:hAnsiTheme="majorHAnsi" w:cstheme="majorHAnsi"/>
        </w:rPr>
      </w:pPr>
      <w:r w:rsidRPr="00EA16B0">
        <w:rPr>
          <w:rFonts w:asciiTheme="majorHAnsi" w:hAnsiTheme="majorHAnsi" w:cstheme="majorHAnsi"/>
        </w:rPr>
        <w:t xml:space="preserve"> </w:t>
      </w:r>
    </w:p>
    <w:p w14:paraId="66030827" w14:textId="2A1ED190" w:rsidR="00D3608B" w:rsidRPr="00EA16B0" w:rsidRDefault="00D3608B" w:rsidP="003A7871">
      <w:pPr>
        <w:pStyle w:val="Ttulo2"/>
        <w:numPr>
          <w:ilvl w:val="1"/>
          <w:numId w:val="1"/>
        </w:numPr>
        <w:tabs>
          <w:tab w:val="clear" w:pos="1615"/>
        </w:tabs>
        <w:spacing w:before="0" w:after="0" w:line="360" w:lineRule="auto"/>
        <w:ind w:left="993" w:hanging="576"/>
        <w:rPr>
          <w:rFonts w:asciiTheme="majorHAnsi" w:hAnsiTheme="majorHAnsi" w:cstheme="majorHAnsi"/>
        </w:rPr>
      </w:pPr>
      <w:bookmarkStart w:id="34" w:name="_Toc102319371"/>
      <w:r w:rsidRPr="00EA16B0">
        <w:rPr>
          <w:rFonts w:asciiTheme="majorHAnsi" w:hAnsiTheme="majorHAnsi" w:cstheme="majorHAnsi"/>
        </w:rPr>
        <w:t xml:space="preserve">FINALIDADE E DIRETRIZES NA CRIAÇÃO DA </w:t>
      </w:r>
      <w:proofErr w:type="spellStart"/>
      <w:r w:rsidRPr="00EA16B0">
        <w:rPr>
          <w:rFonts w:asciiTheme="majorHAnsi" w:hAnsiTheme="majorHAnsi" w:cstheme="majorHAnsi"/>
        </w:rPr>
        <w:t>UnDF</w:t>
      </w:r>
      <w:bookmarkEnd w:id="34"/>
      <w:proofErr w:type="spellEnd"/>
    </w:p>
    <w:p w14:paraId="1D5CBDD3" w14:textId="77777777" w:rsidR="00D3608B" w:rsidRPr="00EA16B0" w:rsidRDefault="00D3608B" w:rsidP="00390F44">
      <w:pPr>
        <w:spacing w:line="360" w:lineRule="auto"/>
        <w:ind w:firstLine="709"/>
        <w:rPr>
          <w:rFonts w:asciiTheme="majorHAnsi" w:hAnsiTheme="majorHAnsi" w:cstheme="majorHAnsi"/>
          <w:sz w:val="24"/>
          <w:szCs w:val="24"/>
        </w:rPr>
      </w:pPr>
      <w:r w:rsidRPr="00EA16B0">
        <w:rPr>
          <w:rFonts w:asciiTheme="majorHAnsi" w:hAnsiTheme="majorHAnsi" w:cstheme="majorHAnsi"/>
          <w:sz w:val="24"/>
          <w:szCs w:val="24"/>
        </w:rPr>
        <w:t xml:space="preserve">Conforme salientado anteriormente, foi a Lei Complementar n. 987 quem autorizou a criação da </w:t>
      </w:r>
      <w:proofErr w:type="spellStart"/>
      <w:r w:rsidRPr="00EA16B0">
        <w:rPr>
          <w:rFonts w:asciiTheme="majorHAnsi" w:hAnsiTheme="majorHAnsi" w:cstheme="majorHAnsi"/>
          <w:sz w:val="24"/>
          <w:szCs w:val="24"/>
        </w:rPr>
        <w:t>UnDF</w:t>
      </w:r>
      <w:proofErr w:type="spellEnd"/>
      <w:r w:rsidRPr="00EA16B0">
        <w:rPr>
          <w:rFonts w:asciiTheme="majorHAnsi" w:hAnsiTheme="majorHAnsi" w:cstheme="majorHAnsi"/>
          <w:sz w:val="24"/>
          <w:szCs w:val="24"/>
        </w:rPr>
        <w:t>. Ela estabeleceu em seu Art. 2.</w:t>
      </w:r>
      <w:r w:rsidRPr="00EA16B0">
        <w:rPr>
          <w:rFonts w:asciiTheme="majorHAnsi" w:hAnsiTheme="majorHAnsi" w:cstheme="majorHAnsi"/>
          <w:sz w:val="24"/>
          <w:szCs w:val="24"/>
          <w:vertAlign w:val="superscript"/>
        </w:rPr>
        <w:t>o</w:t>
      </w:r>
      <w:r w:rsidRPr="00EA16B0">
        <w:rPr>
          <w:rFonts w:asciiTheme="majorHAnsi" w:hAnsiTheme="majorHAnsi" w:cstheme="majorHAnsi"/>
          <w:sz w:val="24"/>
          <w:szCs w:val="24"/>
        </w:rPr>
        <w:t>, a finalidade da Instituição:</w:t>
      </w:r>
    </w:p>
    <w:p w14:paraId="09EB1296" w14:textId="77777777" w:rsidR="00D3608B" w:rsidRPr="00EA16B0" w:rsidRDefault="00D3608B" w:rsidP="00D3608B">
      <w:pPr>
        <w:spacing w:after="60"/>
        <w:ind w:left="2268" w:right="849"/>
        <w:jc w:val="both"/>
        <w:rPr>
          <w:rFonts w:asciiTheme="majorHAnsi" w:eastAsia="Times New Roman" w:hAnsiTheme="majorHAnsi" w:cstheme="majorHAnsi"/>
          <w:color w:val="000000"/>
          <w:sz w:val="20"/>
          <w:szCs w:val="20"/>
          <w:lang w:eastAsia="pt-BR"/>
        </w:rPr>
      </w:pPr>
      <w:r w:rsidRPr="00EA16B0">
        <w:rPr>
          <w:rFonts w:asciiTheme="majorHAnsi" w:eastAsia="Times New Roman" w:hAnsiTheme="majorHAnsi" w:cstheme="majorHAnsi"/>
          <w:b/>
          <w:color w:val="000000"/>
          <w:sz w:val="20"/>
          <w:szCs w:val="20"/>
          <w:lang w:eastAsia="pt-BR"/>
        </w:rPr>
        <w:t>Art. 2</w:t>
      </w:r>
      <w:r w:rsidRPr="00EA16B0">
        <w:rPr>
          <w:rFonts w:asciiTheme="majorHAnsi" w:hAnsiTheme="majorHAnsi" w:cstheme="majorHAnsi"/>
        </w:rPr>
        <w:t>.</w:t>
      </w:r>
      <w:r w:rsidRPr="00EA16B0">
        <w:rPr>
          <w:rFonts w:asciiTheme="majorHAnsi" w:hAnsiTheme="majorHAnsi" w:cstheme="majorHAnsi"/>
          <w:b/>
          <w:bCs/>
          <w:vertAlign w:val="superscript"/>
        </w:rPr>
        <w:t>o</w:t>
      </w:r>
      <w:r w:rsidRPr="00EA16B0">
        <w:rPr>
          <w:rFonts w:asciiTheme="majorHAnsi" w:eastAsia="Times New Roman" w:hAnsiTheme="majorHAnsi" w:cstheme="majorHAnsi"/>
          <w:color w:val="000000"/>
          <w:sz w:val="20"/>
          <w:szCs w:val="20"/>
          <w:lang w:eastAsia="pt-BR"/>
        </w:rPr>
        <w:t xml:space="preserve"> A </w:t>
      </w:r>
      <w:proofErr w:type="spellStart"/>
      <w:r w:rsidRPr="00EA16B0">
        <w:rPr>
          <w:rFonts w:asciiTheme="majorHAnsi" w:eastAsia="Times New Roman" w:hAnsiTheme="majorHAnsi" w:cstheme="majorHAnsi"/>
          <w:color w:val="000000"/>
          <w:sz w:val="20"/>
          <w:szCs w:val="20"/>
          <w:lang w:eastAsia="pt-BR"/>
        </w:rPr>
        <w:t>UnDF</w:t>
      </w:r>
      <w:proofErr w:type="spellEnd"/>
      <w:r w:rsidRPr="00EA16B0">
        <w:rPr>
          <w:rFonts w:asciiTheme="majorHAnsi" w:eastAsia="Times New Roman" w:hAnsiTheme="majorHAnsi" w:cstheme="majorHAnsi"/>
          <w:color w:val="000000"/>
          <w:sz w:val="20"/>
          <w:szCs w:val="20"/>
          <w:lang w:eastAsia="pt-BR"/>
        </w:rPr>
        <w:t xml:space="preserve"> tem por finalidade ministrar educação superior pública distrital, inclusive na modalidade a distância, autorizada pelos órgãos competentes, desenvolver pesquisas nas diversas áreas do conhecimento e promover atividades de extensão universitária, incentivando sua inserção regional </w:t>
      </w:r>
      <w:r w:rsidRPr="00EA16B0">
        <w:rPr>
          <w:rFonts w:asciiTheme="majorHAnsi" w:eastAsia="Times New Roman" w:hAnsiTheme="majorHAnsi" w:cstheme="majorHAnsi"/>
          <w:color w:val="000000"/>
          <w:sz w:val="20"/>
          <w:szCs w:val="20"/>
          <w:lang w:eastAsia="pt-BR"/>
        </w:rPr>
        <w:lastRenderedPageBreak/>
        <w:t xml:space="preserve">mediante atuação </w:t>
      </w:r>
      <w:proofErr w:type="spellStart"/>
      <w:r w:rsidRPr="00EA16B0">
        <w:rPr>
          <w:rFonts w:asciiTheme="majorHAnsi" w:eastAsia="Times New Roman" w:hAnsiTheme="majorHAnsi" w:cstheme="majorHAnsi"/>
          <w:color w:val="000000"/>
          <w:sz w:val="20"/>
          <w:szCs w:val="20"/>
          <w:lang w:eastAsia="pt-BR"/>
        </w:rPr>
        <w:t>multicampus</w:t>
      </w:r>
      <w:proofErr w:type="spellEnd"/>
      <w:r w:rsidRPr="00EA16B0">
        <w:rPr>
          <w:rFonts w:asciiTheme="majorHAnsi" w:eastAsia="Times New Roman" w:hAnsiTheme="majorHAnsi" w:cstheme="majorHAnsi"/>
          <w:color w:val="000000"/>
          <w:sz w:val="20"/>
          <w:szCs w:val="20"/>
          <w:lang w:eastAsia="pt-BR"/>
        </w:rPr>
        <w:t xml:space="preserve"> e multiespacial, predominantemente nas localidades do Distrito Federal e entorno com menor acesso à educação superior pública, com as seguintes competências:</w:t>
      </w:r>
    </w:p>
    <w:p w14:paraId="1A34AA2F" w14:textId="77777777" w:rsidR="00D3608B" w:rsidRPr="00EA16B0" w:rsidRDefault="00D3608B" w:rsidP="00D3608B">
      <w:pPr>
        <w:spacing w:after="60"/>
        <w:ind w:left="2268" w:right="849"/>
        <w:jc w:val="both"/>
        <w:rPr>
          <w:rFonts w:asciiTheme="majorHAnsi" w:eastAsia="Times New Roman" w:hAnsiTheme="majorHAnsi" w:cstheme="majorHAnsi"/>
          <w:color w:val="000000"/>
          <w:sz w:val="20"/>
          <w:szCs w:val="20"/>
          <w:lang w:eastAsia="pt-BR"/>
        </w:rPr>
      </w:pPr>
      <w:r w:rsidRPr="00EA16B0">
        <w:rPr>
          <w:rFonts w:asciiTheme="majorHAnsi" w:eastAsia="Times New Roman" w:hAnsiTheme="majorHAnsi" w:cstheme="majorHAnsi"/>
          <w:color w:val="000000"/>
          <w:sz w:val="20"/>
          <w:szCs w:val="20"/>
          <w:lang w:eastAsia="pt-BR"/>
        </w:rPr>
        <w:t xml:space="preserve">I – </w:t>
      </w:r>
      <w:proofErr w:type="gramStart"/>
      <w:r w:rsidRPr="00EA16B0">
        <w:rPr>
          <w:rFonts w:asciiTheme="majorHAnsi" w:eastAsia="Times New Roman" w:hAnsiTheme="majorHAnsi" w:cstheme="majorHAnsi"/>
          <w:color w:val="000000"/>
          <w:sz w:val="20"/>
          <w:szCs w:val="20"/>
          <w:lang w:eastAsia="pt-BR"/>
        </w:rPr>
        <w:t>elaborar e executar</w:t>
      </w:r>
      <w:proofErr w:type="gramEnd"/>
      <w:r w:rsidRPr="00EA16B0">
        <w:rPr>
          <w:rFonts w:asciiTheme="majorHAnsi" w:eastAsia="Times New Roman" w:hAnsiTheme="majorHAnsi" w:cstheme="majorHAnsi"/>
          <w:color w:val="000000"/>
          <w:sz w:val="20"/>
          <w:szCs w:val="20"/>
          <w:lang w:eastAsia="pt-BR"/>
        </w:rPr>
        <w:t xml:space="preserve"> a política de educação superior pública distrital;</w:t>
      </w:r>
    </w:p>
    <w:p w14:paraId="71718E8F" w14:textId="77777777" w:rsidR="00D3608B" w:rsidRPr="00EA16B0" w:rsidRDefault="00D3608B" w:rsidP="00D3608B">
      <w:pPr>
        <w:spacing w:after="60"/>
        <w:ind w:left="2268" w:right="849"/>
        <w:jc w:val="both"/>
        <w:rPr>
          <w:rFonts w:asciiTheme="majorHAnsi" w:eastAsia="Times New Roman" w:hAnsiTheme="majorHAnsi" w:cstheme="majorHAnsi"/>
          <w:color w:val="000000"/>
          <w:sz w:val="20"/>
          <w:szCs w:val="20"/>
          <w:lang w:eastAsia="pt-BR"/>
        </w:rPr>
      </w:pPr>
      <w:r w:rsidRPr="00EA16B0">
        <w:rPr>
          <w:rFonts w:asciiTheme="majorHAnsi" w:eastAsia="Times New Roman" w:hAnsiTheme="majorHAnsi" w:cstheme="majorHAnsi"/>
          <w:color w:val="000000"/>
          <w:sz w:val="20"/>
          <w:szCs w:val="20"/>
          <w:lang w:eastAsia="pt-BR"/>
        </w:rPr>
        <w:t xml:space="preserve">II – </w:t>
      </w:r>
      <w:proofErr w:type="gramStart"/>
      <w:r w:rsidRPr="00EA16B0">
        <w:rPr>
          <w:rFonts w:asciiTheme="majorHAnsi" w:eastAsia="Times New Roman" w:hAnsiTheme="majorHAnsi" w:cstheme="majorHAnsi"/>
          <w:color w:val="000000"/>
          <w:sz w:val="20"/>
          <w:szCs w:val="20"/>
          <w:lang w:eastAsia="pt-BR"/>
        </w:rPr>
        <w:t>manter</w:t>
      </w:r>
      <w:proofErr w:type="gramEnd"/>
      <w:r w:rsidRPr="00EA16B0">
        <w:rPr>
          <w:rFonts w:asciiTheme="majorHAnsi" w:eastAsia="Times New Roman" w:hAnsiTheme="majorHAnsi" w:cstheme="majorHAnsi"/>
          <w:color w:val="000000"/>
          <w:sz w:val="20"/>
          <w:szCs w:val="20"/>
          <w:lang w:eastAsia="pt-BR"/>
        </w:rPr>
        <w:t>, planejar, coordenar e supervisionar as atividades de educação superior;</w:t>
      </w:r>
    </w:p>
    <w:p w14:paraId="2C76FAB6" w14:textId="77777777" w:rsidR="00D3608B" w:rsidRPr="00EA16B0" w:rsidRDefault="00D3608B" w:rsidP="00D3608B">
      <w:pPr>
        <w:spacing w:after="60"/>
        <w:ind w:left="2268" w:right="849"/>
        <w:jc w:val="both"/>
        <w:rPr>
          <w:rFonts w:asciiTheme="majorHAnsi" w:eastAsia="Times New Roman" w:hAnsiTheme="majorHAnsi" w:cstheme="majorHAnsi"/>
          <w:color w:val="000000"/>
          <w:sz w:val="20"/>
          <w:szCs w:val="20"/>
          <w:lang w:eastAsia="pt-BR"/>
        </w:rPr>
      </w:pPr>
      <w:r w:rsidRPr="00EA16B0">
        <w:rPr>
          <w:rFonts w:asciiTheme="majorHAnsi" w:eastAsia="Times New Roman" w:hAnsiTheme="majorHAnsi" w:cstheme="majorHAnsi"/>
          <w:color w:val="000000"/>
          <w:sz w:val="20"/>
          <w:szCs w:val="20"/>
          <w:lang w:eastAsia="pt-BR"/>
        </w:rPr>
        <w:t>III – promover a implantação de unidades e cursos de educação superior pública;</w:t>
      </w:r>
    </w:p>
    <w:p w14:paraId="6B7CEE35" w14:textId="77777777" w:rsidR="00D3608B" w:rsidRPr="00EA16B0" w:rsidRDefault="00D3608B" w:rsidP="00D3608B">
      <w:pPr>
        <w:spacing w:after="60"/>
        <w:ind w:left="2268" w:right="849"/>
        <w:jc w:val="both"/>
        <w:rPr>
          <w:rFonts w:asciiTheme="majorHAnsi" w:eastAsia="Times New Roman" w:hAnsiTheme="majorHAnsi" w:cstheme="majorHAnsi"/>
          <w:color w:val="000000"/>
          <w:sz w:val="20"/>
          <w:szCs w:val="20"/>
          <w:lang w:eastAsia="pt-BR"/>
        </w:rPr>
      </w:pPr>
      <w:r w:rsidRPr="00EA16B0">
        <w:rPr>
          <w:rFonts w:asciiTheme="majorHAnsi" w:eastAsia="Times New Roman" w:hAnsiTheme="majorHAnsi" w:cstheme="majorHAnsi"/>
          <w:color w:val="000000"/>
          <w:sz w:val="20"/>
          <w:szCs w:val="20"/>
          <w:lang w:eastAsia="pt-BR"/>
        </w:rPr>
        <w:t xml:space="preserve">IV – </w:t>
      </w:r>
      <w:proofErr w:type="gramStart"/>
      <w:r w:rsidRPr="00EA16B0">
        <w:rPr>
          <w:rFonts w:asciiTheme="majorHAnsi" w:eastAsia="Times New Roman" w:hAnsiTheme="majorHAnsi" w:cstheme="majorHAnsi"/>
          <w:color w:val="000000"/>
          <w:sz w:val="20"/>
          <w:szCs w:val="20"/>
          <w:lang w:eastAsia="pt-BR"/>
        </w:rPr>
        <w:t>expedir</w:t>
      </w:r>
      <w:proofErr w:type="gramEnd"/>
      <w:r w:rsidRPr="00EA16B0">
        <w:rPr>
          <w:rFonts w:asciiTheme="majorHAnsi" w:eastAsia="Times New Roman" w:hAnsiTheme="majorHAnsi" w:cstheme="majorHAnsi"/>
          <w:color w:val="000000"/>
          <w:sz w:val="20"/>
          <w:szCs w:val="20"/>
          <w:lang w:eastAsia="pt-BR"/>
        </w:rPr>
        <w:t xml:space="preserve"> normas para o desempenho de suas competências;</w:t>
      </w:r>
    </w:p>
    <w:p w14:paraId="32CB5C25" w14:textId="77777777" w:rsidR="00D3608B" w:rsidRPr="00EA16B0" w:rsidRDefault="00D3608B" w:rsidP="00D3608B">
      <w:pPr>
        <w:spacing w:after="60"/>
        <w:ind w:left="2268" w:right="849"/>
        <w:jc w:val="both"/>
        <w:rPr>
          <w:rFonts w:asciiTheme="majorHAnsi" w:eastAsia="Times New Roman" w:hAnsiTheme="majorHAnsi" w:cstheme="majorHAnsi"/>
          <w:color w:val="000000"/>
          <w:sz w:val="20"/>
          <w:szCs w:val="20"/>
          <w:lang w:eastAsia="pt-BR"/>
        </w:rPr>
      </w:pPr>
      <w:r w:rsidRPr="00EA16B0">
        <w:rPr>
          <w:rFonts w:asciiTheme="majorHAnsi" w:eastAsia="Times New Roman" w:hAnsiTheme="majorHAnsi" w:cstheme="majorHAnsi"/>
          <w:color w:val="000000"/>
          <w:sz w:val="20"/>
          <w:szCs w:val="20"/>
          <w:lang w:eastAsia="pt-BR"/>
        </w:rPr>
        <w:t xml:space="preserve">V – </w:t>
      </w:r>
      <w:proofErr w:type="gramStart"/>
      <w:r w:rsidRPr="00EA16B0">
        <w:rPr>
          <w:rFonts w:asciiTheme="majorHAnsi" w:eastAsia="Times New Roman" w:hAnsiTheme="majorHAnsi" w:cstheme="majorHAnsi"/>
          <w:color w:val="000000"/>
          <w:sz w:val="20"/>
          <w:szCs w:val="20"/>
          <w:lang w:eastAsia="pt-BR"/>
        </w:rPr>
        <w:t>elaborar</w:t>
      </w:r>
      <w:proofErr w:type="gramEnd"/>
      <w:r w:rsidRPr="00EA16B0">
        <w:rPr>
          <w:rFonts w:asciiTheme="majorHAnsi" w:eastAsia="Times New Roman" w:hAnsiTheme="majorHAnsi" w:cstheme="majorHAnsi"/>
          <w:color w:val="000000"/>
          <w:sz w:val="20"/>
          <w:szCs w:val="20"/>
          <w:lang w:eastAsia="pt-BR"/>
        </w:rPr>
        <w:t xml:space="preserve"> sua proposta orçamentária e administrar suas receitas e despesas;</w:t>
      </w:r>
    </w:p>
    <w:p w14:paraId="3E9AB8B4" w14:textId="77777777" w:rsidR="00D3608B" w:rsidRPr="00EA16B0" w:rsidRDefault="00D3608B" w:rsidP="00D3608B">
      <w:pPr>
        <w:spacing w:after="60"/>
        <w:ind w:left="2268" w:right="849"/>
        <w:jc w:val="both"/>
        <w:rPr>
          <w:rFonts w:asciiTheme="majorHAnsi" w:eastAsia="Times New Roman" w:hAnsiTheme="majorHAnsi" w:cstheme="majorHAnsi"/>
          <w:color w:val="000000"/>
          <w:sz w:val="20"/>
          <w:szCs w:val="20"/>
          <w:lang w:eastAsia="pt-BR"/>
        </w:rPr>
      </w:pPr>
      <w:r w:rsidRPr="00EA16B0">
        <w:rPr>
          <w:rFonts w:asciiTheme="majorHAnsi" w:eastAsia="Times New Roman" w:hAnsiTheme="majorHAnsi" w:cstheme="majorHAnsi"/>
          <w:color w:val="000000"/>
          <w:spacing w:val="-4"/>
          <w:sz w:val="20"/>
          <w:szCs w:val="20"/>
          <w:lang w:eastAsia="pt-BR"/>
        </w:rPr>
        <w:t xml:space="preserve">VI – </w:t>
      </w:r>
      <w:proofErr w:type="gramStart"/>
      <w:r w:rsidRPr="00EA16B0">
        <w:rPr>
          <w:rFonts w:asciiTheme="majorHAnsi" w:eastAsia="Times New Roman" w:hAnsiTheme="majorHAnsi" w:cstheme="majorHAnsi"/>
          <w:color w:val="000000"/>
          <w:spacing w:val="-4"/>
          <w:sz w:val="20"/>
          <w:szCs w:val="20"/>
          <w:lang w:eastAsia="pt-BR"/>
        </w:rPr>
        <w:t>firmar</w:t>
      </w:r>
      <w:proofErr w:type="gramEnd"/>
      <w:r w:rsidRPr="00EA16B0">
        <w:rPr>
          <w:rFonts w:asciiTheme="majorHAnsi" w:eastAsia="Times New Roman" w:hAnsiTheme="majorHAnsi" w:cstheme="majorHAnsi"/>
          <w:color w:val="000000"/>
          <w:spacing w:val="-4"/>
          <w:sz w:val="20"/>
          <w:szCs w:val="20"/>
          <w:lang w:eastAsia="pt-BR"/>
        </w:rPr>
        <w:t xml:space="preserve"> convênios, termos de cooperação técnica, contratos e parcerias, especialmente com</w:t>
      </w:r>
      <w:r w:rsidRPr="00EA16B0">
        <w:rPr>
          <w:rFonts w:asciiTheme="majorHAnsi" w:eastAsia="Times New Roman" w:hAnsiTheme="majorHAnsi" w:cstheme="majorHAnsi"/>
          <w:color w:val="000000"/>
          <w:spacing w:val="-2"/>
          <w:sz w:val="20"/>
          <w:szCs w:val="20"/>
          <w:lang w:eastAsia="pt-BR"/>
        </w:rPr>
        <w:t xml:space="preserve"> a administração pública distrital, voltados à realização dos seus objetivos, na forma da lei;</w:t>
      </w:r>
    </w:p>
    <w:p w14:paraId="50ACB33F" w14:textId="77777777" w:rsidR="00D3608B" w:rsidRPr="00EA16B0" w:rsidRDefault="00D3608B" w:rsidP="00D3608B">
      <w:pPr>
        <w:spacing w:after="60"/>
        <w:ind w:left="2268" w:right="849"/>
        <w:jc w:val="both"/>
        <w:rPr>
          <w:rFonts w:asciiTheme="majorHAnsi" w:eastAsia="Times New Roman" w:hAnsiTheme="majorHAnsi" w:cstheme="majorHAnsi"/>
          <w:color w:val="000000"/>
          <w:sz w:val="20"/>
          <w:szCs w:val="20"/>
          <w:lang w:eastAsia="pt-BR"/>
        </w:rPr>
      </w:pPr>
      <w:r w:rsidRPr="00EA16B0">
        <w:rPr>
          <w:rFonts w:asciiTheme="majorHAnsi" w:eastAsia="Times New Roman" w:hAnsiTheme="majorHAnsi" w:cstheme="majorHAnsi"/>
          <w:color w:val="000000"/>
          <w:sz w:val="20"/>
          <w:szCs w:val="20"/>
          <w:lang w:eastAsia="pt-BR"/>
        </w:rPr>
        <w:t>VII – colaborar na elaboração, planejamento e avaliação das políticas de desenvolvimento regionais, inclusive com a prestação de serviços de consultoria, assessoria e correlatos;</w:t>
      </w:r>
    </w:p>
    <w:p w14:paraId="0C655A45" w14:textId="77777777" w:rsidR="00D3608B" w:rsidRPr="00EA16B0" w:rsidRDefault="00D3608B" w:rsidP="00D3608B">
      <w:pPr>
        <w:spacing w:after="60"/>
        <w:ind w:left="2268" w:right="849"/>
        <w:jc w:val="both"/>
        <w:rPr>
          <w:rFonts w:asciiTheme="majorHAnsi" w:eastAsia="Times New Roman" w:hAnsiTheme="majorHAnsi" w:cstheme="majorHAnsi"/>
          <w:color w:val="000000"/>
          <w:sz w:val="20"/>
          <w:szCs w:val="20"/>
          <w:lang w:eastAsia="pt-BR"/>
        </w:rPr>
      </w:pPr>
      <w:r w:rsidRPr="00EA16B0">
        <w:rPr>
          <w:rFonts w:asciiTheme="majorHAnsi" w:eastAsia="Times New Roman" w:hAnsiTheme="majorHAnsi" w:cstheme="majorHAnsi"/>
          <w:color w:val="000000"/>
          <w:sz w:val="20"/>
          <w:szCs w:val="20"/>
          <w:lang w:eastAsia="pt-BR"/>
        </w:rPr>
        <w:t xml:space="preserve">VIII – cooperar e fomentar parcerias e intercâmbios com universidades e outras instituições científicas, culturais e educacionais brasileiras e internacionais, visando a garantir qualidade científica, educacional e tecnológica às ações da </w:t>
      </w:r>
      <w:proofErr w:type="spellStart"/>
      <w:r w:rsidRPr="00EA16B0">
        <w:rPr>
          <w:rFonts w:asciiTheme="majorHAnsi" w:eastAsia="Times New Roman" w:hAnsiTheme="majorHAnsi" w:cstheme="majorHAnsi"/>
          <w:color w:val="000000"/>
          <w:sz w:val="20"/>
          <w:szCs w:val="20"/>
          <w:lang w:eastAsia="pt-BR"/>
        </w:rPr>
        <w:t>UnDF</w:t>
      </w:r>
      <w:proofErr w:type="spellEnd"/>
      <w:r w:rsidRPr="00EA16B0">
        <w:rPr>
          <w:rFonts w:asciiTheme="majorHAnsi" w:eastAsia="Times New Roman" w:hAnsiTheme="majorHAnsi" w:cstheme="majorHAnsi"/>
          <w:color w:val="000000"/>
          <w:sz w:val="20"/>
          <w:szCs w:val="20"/>
          <w:lang w:eastAsia="pt-BR"/>
        </w:rPr>
        <w:t>;</w:t>
      </w:r>
    </w:p>
    <w:p w14:paraId="2744CF80" w14:textId="3E1822A9" w:rsidR="00D3608B" w:rsidRPr="00EA16B0" w:rsidRDefault="00D3608B" w:rsidP="00D3608B">
      <w:pPr>
        <w:spacing w:after="240"/>
        <w:ind w:left="2268" w:right="849"/>
        <w:jc w:val="both"/>
        <w:rPr>
          <w:rFonts w:asciiTheme="majorHAnsi" w:eastAsia="Times New Roman" w:hAnsiTheme="majorHAnsi" w:cstheme="majorHAnsi"/>
          <w:color w:val="000000"/>
          <w:spacing w:val="-4"/>
          <w:sz w:val="20"/>
          <w:szCs w:val="20"/>
          <w:lang w:eastAsia="pt-BR"/>
        </w:rPr>
      </w:pPr>
      <w:r w:rsidRPr="00EA16B0">
        <w:rPr>
          <w:rFonts w:asciiTheme="majorHAnsi" w:eastAsia="Times New Roman" w:hAnsiTheme="majorHAnsi" w:cstheme="majorHAnsi"/>
          <w:color w:val="000000"/>
          <w:sz w:val="20"/>
          <w:szCs w:val="20"/>
          <w:lang w:eastAsia="pt-BR"/>
        </w:rPr>
        <w:t xml:space="preserve">IX – </w:t>
      </w:r>
      <w:proofErr w:type="gramStart"/>
      <w:r w:rsidRPr="00EA16B0">
        <w:rPr>
          <w:rFonts w:asciiTheme="majorHAnsi" w:eastAsia="Times New Roman" w:hAnsiTheme="majorHAnsi" w:cstheme="majorHAnsi"/>
          <w:color w:val="000000"/>
          <w:sz w:val="20"/>
          <w:szCs w:val="20"/>
          <w:lang w:eastAsia="pt-BR"/>
        </w:rPr>
        <w:t>elaborar e implementar</w:t>
      </w:r>
      <w:proofErr w:type="gramEnd"/>
      <w:r w:rsidRPr="00EA16B0">
        <w:rPr>
          <w:rFonts w:asciiTheme="majorHAnsi" w:eastAsia="Times New Roman" w:hAnsiTheme="majorHAnsi" w:cstheme="majorHAnsi"/>
          <w:color w:val="000000"/>
          <w:sz w:val="20"/>
          <w:szCs w:val="20"/>
          <w:lang w:eastAsia="pt-BR"/>
        </w:rPr>
        <w:t xml:space="preserve"> programa de assistência estudantil, para coibir a evasão de </w:t>
      </w:r>
      <w:r w:rsidRPr="00EA16B0">
        <w:rPr>
          <w:rFonts w:asciiTheme="majorHAnsi" w:eastAsia="Times New Roman" w:hAnsiTheme="majorHAnsi" w:cstheme="majorHAnsi"/>
          <w:color w:val="000000"/>
          <w:spacing w:val="-4"/>
          <w:sz w:val="20"/>
          <w:szCs w:val="20"/>
          <w:lang w:eastAsia="pt-BR"/>
        </w:rPr>
        <w:t>estudantes em contexto de vulnerabilidade social, observado o disposto na legislação específica. (DISTRITO FEDERAL, 2021).</w:t>
      </w:r>
    </w:p>
    <w:p w14:paraId="3EF6746D" w14:textId="77777777" w:rsidR="00390F44" w:rsidRPr="00EA16B0" w:rsidRDefault="00390F44" w:rsidP="00D3608B">
      <w:pPr>
        <w:spacing w:after="240"/>
        <w:ind w:left="2268" w:right="849"/>
        <w:jc w:val="both"/>
        <w:rPr>
          <w:rFonts w:asciiTheme="majorHAnsi" w:eastAsia="Times New Roman" w:hAnsiTheme="majorHAnsi" w:cstheme="majorHAnsi"/>
          <w:color w:val="000000"/>
          <w:sz w:val="20"/>
          <w:szCs w:val="20"/>
          <w:lang w:eastAsia="pt-BR"/>
        </w:rPr>
      </w:pPr>
    </w:p>
    <w:p w14:paraId="15D93174" w14:textId="77777777" w:rsidR="00D3608B" w:rsidRPr="00EA16B0" w:rsidRDefault="00D3608B" w:rsidP="00390F44">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Desse modo, mais do que simplesmente reforçar a oferta de ensino, pesquisa e extensão já garantida pela Constituição e ministradas de forma indissociável, o Art. 2.</w:t>
      </w:r>
      <w:r w:rsidRPr="00EA16B0">
        <w:rPr>
          <w:rFonts w:asciiTheme="majorHAnsi" w:hAnsiTheme="majorHAnsi" w:cstheme="majorHAnsi"/>
          <w:sz w:val="24"/>
          <w:szCs w:val="24"/>
          <w:vertAlign w:val="superscript"/>
        </w:rPr>
        <w:t>o</w:t>
      </w:r>
      <w:r w:rsidRPr="00EA16B0">
        <w:rPr>
          <w:rFonts w:asciiTheme="majorHAnsi" w:hAnsiTheme="majorHAnsi" w:cstheme="majorHAnsi"/>
          <w:sz w:val="24"/>
          <w:szCs w:val="24"/>
        </w:rPr>
        <w:t xml:space="preserve"> determina que isso ocorrerá em uma estrutura </w:t>
      </w:r>
      <w:proofErr w:type="spellStart"/>
      <w:r w:rsidRPr="00EA16B0">
        <w:rPr>
          <w:rFonts w:asciiTheme="majorHAnsi" w:hAnsiTheme="majorHAnsi" w:cstheme="majorHAnsi"/>
          <w:sz w:val="24"/>
          <w:szCs w:val="24"/>
        </w:rPr>
        <w:t>multicampus</w:t>
      </w:r>
      <w:proofErr w:type="spellEnd"/>
      <w:r w:rsidRPr="00EA16B0">
        <w:rPr>
          <w:rFonts w:asciiTheme="majorHAnsi" w:hAnsiTheme="majorHAnsi" w:cstheme="majorHAnsi"/>
          <w:sz w:val="24"/>
          <w:szCs w:val="24"/>
        </w:rPr>
        <w:t xml:space="preserve"> e multiespacial, abrindo, inclusive, a possibilidade de localidades no entorno do Distrito Federal. Para cursos presenciais, isso não será possível, já que se trata de instituição distrital e, portanto, com abrangência de cursos presenciais nos limites geográficos do DF. Ainda assim, como boa parte dos residentes nos municípios da Região Integrada de Desenvolvimento do Distrito Federal e Entorno (RIDE) trabalha no DF, a ideia de uma quantidade expressiva de vagas no período noturno deverá fazer parte das principais preocupações da implantação de cursos na </w:t>
      </w:r>
      <w:proofErr w:type="spellStart"/>
      <w:r w:rsidRPr="00EA16B0">
        <w:rPr>
          <w:rFonts w:asciiTheme="majorHAnsi" w:hAnsiTheme="majorHAnsi" w:cstheme="majorHAnsi"/>
          <w:sz w:val="24"/>
          <w:szCs w:val="24"/>
        </w:rPr>
        <w:t>UnDF</w:t>
      </w:r>
      <w:proofErr w:type="spellEnd"/>
      <w:r w:rsidRPr="00EA16B0">
        <w:rPr>
          <w:rFonts w:asciiTheme="majorHAnsi" w:hAnsiTheme="majorHAnsi" w:cstheme="majorHAnsi"/>
          <w:sz w:val="24"/>
          <w:szCs w:val="24"/>
        </w:rPr>
        <w:t xml:space="preserve">. Além disso, a </w:t>
      </w:r>
      <w:r w:rsidRPr="00EA16B0">
        <w:rPr>
          <w:rFonts w:asciiTheme="majorHAnsi" w:hAnsiTheme="majorHAnsi" w:cstheme="majorHAnsi"/>
          <w:spacing w:val="-2"/>
          <w:sz w:val="24"/>
          <w:szCs w:val="24"/>
        </w:rPr>
        <w:t>finalidade expressa na legislação abre a necessidade da abertura de polos de apoio presencial, especialmente</w:t>
      </w:r>
      <w:r w:rsidRPr="00EA16B0">
        <w:rPr>
          <w:rFonts w:asciiTheme="majorHAnsi" w:hAnsiTheme="majorHAnsi" w:cstheme="majorHAnsi"/>
          <w:sz w:val="24"/>
          <w:szCs w:val="24"/>
        </w:rPr>
        <w:t xml:space="preserve"> no seu entorno, o que abrange a região denominada RIDE/DF, que se caracteriza pela baixa oferta de cursos superiores públicos (CEBRASPE, 2021). Assim, e para cumprimento dessa abrangência, no período em que houver o recredenciamento da instituição junto ao Ministério da Educação, deverá ser solicitada a oferta de cursos </w:t>
      </w:r>
      <w:proofErr w:type="spellStart"/>
      <w:r w:rsidRPr="00EA16B0">
        <w:rPr>
          <w:rFonts w:asciiTheme="majorHAnsi" w:hAnsiTheme="majorHAnsi" w:cstheme="majorHAnsi"/>
          <w:sz w:val="24"/>
          <w:szCs w:val="24"/>
        </w:rPr>
        <w:t>a</w:t>
      </w:r>
      <w:proofErr w:type="spellEnd"/>
      <w:r w:rsidRPr="00EA16B0">
        <w:rPr>
          <w:rFonts w:asciiTheme="majorHAnsi" w:hAnsiTheme="majorHAnsi" w:cstheme="majorHAnsi"/>
          <w:sz w:val="24"/>
          <w:szCs w:val="24"/>
        </w:rPr>
        <w:t xml:space="preserve"> distância fora dos limites do Distrito Federal, conforme será abordado posteriormente.</w:t>
      </w:r>
    </w:p>
    <w:p w14:paraId="484ADB59" w14:textId="77777777" w:rsidR="00D3608B" w:rsidRPr="00EA16B0" w:rsidRDefault="00D3608B" w:rsidP="00390F44">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É também no Art. 2.</w:t>
      </w:r>
      <w:r w:rsidRPr="00EA16B0">
        <w:rPr>
          <w:rFonts w:asciiTheme="majorHAnsi" w:hAnsiTheme="majorHAnsi" w:cstheme="majorHAnsi"/>
          <w:sz w:val="24"/>
          <w:szCs w:val="24"/>
          <w:vertAlign w:val="superscript"/>
        </w:rPr>
        <w:t>o</w:t>
      </w:r>
      <w:r w:rsidRPr="00EA16B0" w:rsidDel="002A4265">
        <w:rPr>
          <w:rFonts w:asciiTheme="majorHAnsi" w:hAnsiTheme="majorHAnsi" w:cstheme="majorHAnsi"/>
          <w:sz w:val="24"/>
          <w:szCs w:val="24"/>
        </w:rPr>
        <w:t xml:space="preserve"> </w:t>
      </w:r>
      <w:r w:rsidRPr="00EA16B0">
        <w:rPr>
          <w:rFonts w:asciiTheme="majorHAnsi" w:hAnsiTheme="majorHAnsi" w:cstheme="majorHAnsi"/>
          <w:sz w:val="24"/>
          <w:szCs w:val="24"/>
        </w:rPr>
        <w:t xml:space="preserve">da Lei Complementar n. 987 que fica clara a responsabilidade social explícita nas finalidades da nova IES, que vai além da gratuidade de seus cursos, já que está prevista </w:t>
      </w:r>
      <w:r w:rsidRPr="00EA16B0">
        <w:rPr>
          <w:rFonts w:asciiTheme="majorHAnsi" w:hAnsiTheme="majorHAnsi" w:cstheme="majorHAnsi"/>
          <w:sz w:val="24"/>
          <w:szCs w:val="24"/>
        </w:rPr>
        <w:lastRenderedPageBreak/>
        <w:t xml:space="preserve">uma estrutura </w:t>
      </w:r>
      <w:proofErr w:type="spellStart"/>
      <w:r w:rsidRPr="00EA16B0">
        <w:rPr>
          <w:rFonts w:asciiTheme="majorHAnsi" w:hAnsiTheme="majorHAnsi" w:cstheme="majorHAnsi"/>
          <w:sz w:val="24"/>
          <w:szCs w:val="24"/>
        </w:rPr>
        <w:t>multicampus</w:t>
      </w:r>
      <w:proofErr w:type="spellEnd"/>
      <w:r w:rsidRPr="00EA16B0">
        <w:rPr>
          <w:rFonts w:asciiTheme="majorHAnsi" w:hAnsiTheme="majorHAnsi" w:cstheme="majorHAnsi"/>
          <w:sz w:val="24"/>
          <w:szCs w:val="24"/>
        </w:rPr>
        <w:t>, pulverizando sua presença em todo o DF e com a responsabilidade de contar com programas de assistência estudantil que garantam a permanência de estudantes que necessitem esse apoio.</w:t>
      </w:r>
    </w:p>
    <w:p w14:paraId="7ACDC59D" w14:textId="7903F2D1" w:rsidR="00D3608B" w:rsidRPr="00EA16B0" w:rsidRDefault="00D3608B" w:rsidP="00390F44">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No Art. 3.</w:t>
      </w:r>
      <w:r w:rsidRPr="00EA16B0">
        <w:rPr>
          <w:rFonts w:asciiTheme="majorHAnsi" w:hAnsiTheme="majorHAnsi" w:cstheme="majorHAnsi"/>
          <w:sz w:val="24"/>
          <w:szCs w:val="24"/>
          <w:vertAlign w:val="superscript"/>
        </w:rPr>
        <w:t>o</w:t>
      </w:r>
      <w:r w:rsidRPr="00EA16B0">
        <w:rPr>
          <w:rFonts w:asciiTheme="majorHAnsi" w:hAnsiTheme="majorHAnsi" w:cstheme="majorHAnsi"/>
          <w:sz w:val="24"/>
          <w:szCs w:val="24"/>
        </w:rPr>
        <w:t xml:space="preserve"> estão expressas as diretrizes para a atuação da Instituição:</w:t>
      </w:r>
    </w:p>
    <w:p w14:paraId="278738D6" w14:textId="77777777" w:rsidR="00390F44" w:rsidRPr="00EA16B0" w:rsidRDefault="00390F44" w:rsidP="00390F44">
      <w:pPr>
        <w:spacing w:line="360" w:lineRule="auto"/>
        <w:ind w:firstLine="709"/>
        <w:jc w:val="both"/>
        <w:rPr>
          <w:rFonts w:asciiTheme="majorHAnsi" w:hAnsiTheme="majorHAnsi" w:cstheme="majorHAnsi"/>
          <w:sz w:val="24"/>
          <w:szCs w:val="24"/>
        </w:rPr>
      </w:pPr>
    </w:p>
    <w:p w14:paraId="43230189" w14:textId="77777777" w:rsidR="00D3608B" w:rsidRPr="00EA16B0" w:rsidRDefault="00D3608B" w:rsidP="00D3608B">
      <w:pPr>
        <w:spacing w:after="60"/>
        <w:ind w:left="2268" w:right="849"/>
        <w:jc w:val="both"/>
        <w:rPr>
          <w:rFonts w:asciiTheme="majorHAnsi" w:eastAsia="Times New Roman" w:hAnsiTheme="majorHAnsi" w:cstheme="majorHAnsi"/>
          <w:color w:val="000000"/>
          <w:sz w:val="20"/>
          <w:szCs w:val="20"/>
          <w:lang w:eastAsia="pt-BR"/>
        </w:rPr>
      </w:pPr>
      <w:r w:rsidRPr="00EA16B0">
        <w:rPr>
          <w:rFonts w:asciiTheme="majorHAnsi" w:eastAsia="Times New Roman" w:hAnsiTheme="majorHAnsi" w:cstheme="majorHAnsi"/>
          <w:b/>
          <w:color w:val="000000"/>
          <w:sz w:val="20"/>
          <w:szCs w:val="20"/>
          <w:lang w:eastAsia="pt-BR"/>
        </w:rPr>
        <w:t>Art. 3</w:t>
      </w:r>
      <w:r w:rsidRPr="00EA16B0">
        <w:rPr>
          <w:rFonts w:asciiTheme="majorHAnsi" w:hAnsiTheme="majorHAnsi" w:cstheme="majorHAnsi"/>
        </w:rPr>
        <w:t>.</w:t>
      </w:r>
      <w:r w:rsidRPr="00EA16B0">
        <w:rPr>
          <w:rFonts w:asciiTheme="majorHAnsi" w:hAnsiTheme="majorHAnsi" w:cstheme="majorHAnsi"/>
          <w:b/>
          <w:bCs/>
          <w:vertAlign w:val="superscript"/>
        </w:rPr>
        <w:t>o</w:t>
      </w:r>
      <w:r w:rsidRPr="00EA16B0">
        <w:rPr>
          <w:rFonts w:asciiTheme="majorHAnsi" w:eastAsia="Times New Roman" w:hAnsiTheme="majorHAnsi" w:cstheme="majorHAnsi"/>
          <w:color w:val="000000"/>
          <w:sz w:val="20"/>
          <w:szCs w:val="20"/>
          <w:lang w:eastAsia="pt-BR"/>
        </w:rPr>
        <w:t xml:space="preserve"> São diretrizes de atuação da </w:t>
      </w:r>
      <w:proofErr w:type="spellStart"/>
      <w:r w:rsidRPr="00EA16B0">
        <w:rPr>
          <w:rFonts w:asciiTheme="majorHAnsi" w:eastAsia="Times New Roman" w:hAnsiTheme="majorHAnsi" w:cstheme="majorHAnsi"/>
          <w:color w:val="000000"/>
          <w:sz w:val="20"/>
          <w:szCs w:val="20"/>
          <w:lang w:eastAsia="pt-BR"/>
        </w:rPr>
        <w:t>UnDF</w:t>
      </w:r>
      <w:proofErr w:type="spellEnd"/>
      <w:r w:rsidRPr="00EA16B0">
        <w:rPr>
          <w:rFonts w:asciiTheme="majorHAnsi" w:eastAsia="Times New Roman" w:hAnsiTheme="majorHAnsi" w:cstheme="majorHAnsi"/>
          <w:color w:val="000000"/>
          <w:sz w:val="20"/>
          <w:szCs w:val="20"/>
          <w:lang w:eastAsia="pt-BR"/>
        </w:rPr>
        <w:t>:</w:t>
      </w:r>
    </w:p>
    <w:p w14:paraId="30FEB505" w14:textId="77777777" w:rsidR="00D3608B" w:rsidRPr="00EA16B0" w:rsidRDefault="00D3608B" w:rsidP="00D3608B">
      <w:pPr>
        <w:spacing w:after="60"/>
        <w:ind w:left="2268" w:right="849"/>
        <w:jc w:val="both"/>
        <w:rPr>
          <w:rFonts w:asciiTheme="majorHAnsi" w:eastAsia="Times New Roman" w:hAnsiTheme="majorHAnsi" w:cstheme="majorHAnsi"/>
          <w:sz w:val="20"/>
          <w:szCs w:val="20"/>
          <w:lang w:eastAsia="pt-BR"/>
        </w:rPr>
      </w:pPr>
      <w:r w:rsidRPr="00EA16B0">
        <w:rPr>
          <w:rFonts w:asciiTheme="majorHAnsi" w:eastAsia="Times New Roman" w:hAnsiTheme="majorHAnsi" w:cstheme="majorHAnsi"/>
          <w:sz w:val="20"/>
          <w:szCs w:val="20"/>
          <w:lang w:eastAsia="pt-BR"/>
        </w:rPr>
        <w:t xml:space="preserve">I – </w:t>
      </w:r>
      <w:proofErr w:type="gramStart"/>
      <w:r w:rsidRPr="00EA16B0">
        <w:rPr>
          <w:rFonts w:asciiTheme="majorHAnsi" w:eastAsia="Times New Roman" w:hAnsiTheme="majorHAnsi" w:cstheme="majorHAnsi"/>
          <w:sz w:val="20"/>
          <w:szCs w:val="20"/>
          <w:lang w:eastAsia="pt-BR"/>
        </w:rPr>
        <w:t>priorização</w:t>
      </w:r>
      <w:proofErr w:type="gramEnd"/>
      <w:r w:rsidRPr="00EA16B0">
        <w:rPr>
          <w:rFonts w:asciiTheme="majorHAnsi" w:eastAsia="Times New Roman" w:hAnsiTheme="majorHAnsi" w:cstheme="majorHAnsi"/>
          <w:sz w:val="20"/>
          <w:szCs w:val="20"/>
          <w:lang w:eastAsia="pt-BR"/>
        </w:rPr>
        <w:t xml:space="preserve"> das necessidades e dos problemas do Distrito Federal e entorno na manutenção e programação de cursos e outras atividades orientadas;</w:t>
      </w:r>
    </w:p>
    <w:p w14:paraId="367348E6" w14:textId="77777777" w:rsidR="00D3608B" w:rsidRPr="00EA16B0" w:rsidRDefault="00D3608B" w:rsidP="00D3608B">
      <w:pPr>
        <w:spacing w:after="60"/>
        <w:ind w:left="2268" w:right="849"/>
        <w:jc w:val="both"/>
        <w:rPr>
          <w:rFonts w:asciiTheme="majorHAnsi" w:eastAsia="Times New Roman" w:hAnsiTheme="majorHAnsi" w:cstheme="majorHAnsi"/>
          <w:sz w:val="20"/>
          <w:szCs w:val="20"/>
          <w:lang w:eastAsia="pt-BR"/>
        </w:rPr>
      </w:pPr>
      <w:r w:rsidRPr="00EA16B0">
        <w:rPr>
          <w:rFonts w:asciiTheme="majorHAnsi" w:eastAsia="Times New Roman" w:hAnsiTheme="majorHAnsi" w:cstheme="majorHAnsi"/>
          <w:sz w:val="20"/>
          <w:szCs w:val="20"/>
          <w:lang w:eastAsia="pt-BR"/>
        </w:rPr>
        <w:t xml:space="preserve">II – </w:t>
      </w:r>
      <w:proofErr w:type="gramStart"/>
      <w:r w:rsidRPr="00EA16B0">
        <w:rPr>
          <w:rFonts w:asciiTheme="majorHAnsi" w:eastAsia="Times New Roman" w:hAnsiTheme="majorHAnsi" w:cstheme="majorHAnsi"/>
          <w:sz w:val="20"/>
          <w:szCs w:val="20"/>
          <w:lang w:eastAsia="pt-BR"/>
        </w:rPr>
        <w:t>atendimento</w:t>
      </w:r>
      <w:proofErr w:type="gramEnd"/>
      <w:r w:rsidRPr="00EA16B0">
        <w:rPr>
          <w:rFonts w:asciiTheme="majorHAnsi" w:eastAsia="Times New Roman" w:hAnsiTheme="majorHAnsi" w:cstheme="majorHAnsi"/>
          <w:sz w:val="20"/>
          <w:szCs w:val="20"/>
          <w:lang w:eastAsia="pt-BR"/>
        </w:rPr>
        <w:t xml:space="preserve"> prioritário a localidades do Distrito Federal e entorno com menor acesso à educação superior pública;</w:t>
      </w:r>
    </w:p>
    <w:p w14:paraId="7FC06F5A" w14:textId="77777777" w:rsidR="00D3608B" w:rsidRPr="00EA16B0" w:rsidRDefault="00D3608B" w:rsidP="00D3608B">
      <w:pPr>
        <w:spacing w:after="60"/>
        <w:ind w:left="2268" w:right="849"/>
        <w:jc w:val="both"/>
        <w:rPr>
          <w:rFonts w:asciiTheme="majorHAnsi" w:eastAsia="Times New Roman" w:hAnsiTheme="majorHAnsi" w:cstheme="majorHAnsi"/>
          <w:sz w:val="20"/>
          <w:szCs w:val="20"/>
          <w:lang w:eastAsia="pt-BR"/>
        </w:rPr>
      </w:pPr>
      <w:r w:rsidRPr="00EA16B0">
        <w:rPr>
          <w:rFonts w:asciiTheme="majorHAnsi" w:eastAsia="Times New Roman" w:hAnsiTheme="majorHAnsi" w:cstheme="majorHAnsi"/>
          <w:sz w:val="20"/>
          <w:szCs w:val="20"/>
          <w:lang w:eastAsia="pt-BR"/>
        </w:rPr>
        <w:t xml:space="preserve">III – integração da educação superior pública com as políticas públicas, programas e ações institucionais desenvolvidos em âmbito </w:t>
      </w:r>
      <w:proofErr w:type="spellStart"/>
      <w:r w:rsidRPr="00EA16B0">
        <w:rPr>
          <w:rFonts w:asciiTheme="majorHAnsi" w:eastAsia="Times New Roman" w:hAnsiTheme="majorHAnsi" w:cstheme="majorHAnsi"/>
          <w:sz w:val="20"/>
          <w:szCs w:val="20"/>
          <w:lang w:eastAsia="pt-BR"/>
        </w:rPr>
        <w:t>locorregional</w:t>
      </w:r>
      <w:proofErr w:type="spellEnd"/>
      <w:r w:rsidRPr="00EA16B0">
        <w:rPr>
          <w:rFonts w:asciiTheme="majorHAnsi" w:eastAsia="Times New Roman" w:hAnsiTheme="majorHAnsi" w:cstheme="majorHAnsi"/>
          <w:sz w:val="20"/>
          <w:szCs w:val="20"/>
          <w:lang w:eastAsia="pt-BR"/>
        </w:rPr>
        <w:t>;</w:t>
      </w:r>
    </w:p>
    <w:p w14:paraId="147CBAB2" w14:textId="77777777" w:rsidR="00D3608B" w:rsidRPr="00EA16B0" w:rsidRDefault="00D3608B" w:rsidP="00D3608B">
      <w:pPr>
        <w:spacing w:after="60"/>
        <w:ind w:left="2268" w:right="849"/>
        <w:jc w:val="both"/>
        <w:rPr>
          <w:rFonts w:asciiTheme="majorHAnsi" w:eastAsia="Times New Roman" w:hAnsiTheme="majorHAnsi" w:cstheme="majorHAnsi"/>
          <w:sz w:val="20"/>
          <w:szCs w:val="20"/>
          <w:lang w:eastAsia="pt-BR"/>
        </w:rPr>
      </w:pPr>
      <w:r w:rsidRPr="00EA16B0">
        <w:rPr>
          <w:rFonts w:asciiTheme="majorHAnsi" w:eastAsia="Times New Roman" w:hAnsiTheme="majorHAnsi" w:cstheme="majorHAnsi"/>
          <w:sz w:val="20"/>
          <w:szCs w:val="20"/>
          <w:lang w:eastAsia="pt-BR"/>
        </w:rPr>
        <w:t xml:space="preserve">IV – </w:t>
      </w:r>
      <w:proofErr w:type="gramStart"/>
      <w:r w:rsidRPr="00EA16B0">
        <w:rPr>
          <w:rFonts w:asciiTheme="majorHAnsi" w:eastAsia="Times New Roman" w:hAnsiTheme="majorHAnsi" w:cstheme="majorHAnsi"/>
          <w:sz w:val="20"/>
          <w:szCs w:val="20"/>
          <w:lang w:eastAsia="pt-BR"/>
        </w:rPr>
        <w:t>utilização</w:t>
      </w:r>
      <w:proofErr w:type="gramEnd"/>
      <w:r w:rsidRPr="00EA16B0">
        <w:rPr>
          <w:rFonts w:asciiTheme="majorHAnsi" w:eastAsia="Times New Roman" w:hAnsiTheme="majorHAnsi" w:cstheme="majorHAnsi"/>
          <w:sz w:val="20"/>
          <w:szCs w:val="20"/>
          <w:lang w:eastAsia="pt-BR"/>
        </w:rPr>
        <w:t xml:space="preserve"> de metodologias problematizadoras de ensino e aprendizagem, respeitadas:</w:t>
      </w:r>
    </w:p>
    <w:p w14:paraId="101300D4" w14:textId="77777777" w:rsidR="00D3608B" w:rsidRPr="00EA16B0" w:rsidRDefault="00D3608B" w:rsidP="00D3608B">
      <w:pPr>
        <w:spacing w:after="60"/>
        <w:ind w:left="2268" w:right="849"/>
        <w:jc w:val="both"/>
        <w:rPr>
          <w:rFonts w:asciiTheme="majorHAnsi" w:eastAsia="Times New Roman" w:hAnsiTheme="majorHAnsi" w:cstheme="majorHAnsi"/>
          <w:sz w:val="20"/>
          <w:szCs w:val="20"/>
          <w:lang w:eastAsia="pt-BR"/>
        </w:rPr>
      </w:pPr>
      <w:r w:rsidRPr="00EA16B0">
        <w:rPr>
          <w:rFonts w:asciiTheme="majorHAnsi" w:eastAsia="Times New Roman" w:hAnsiTheme="majorHAnsi" w:cstheme="majorHAnsi"/>
          <w:sz w:val="20"/>
          <w:szCs w:val="20"/>
          <w:lang w:eastAsia="pt-BR"/>
        </w:rPr>
        <w:t>a) as referências curriculares de cada área do saber;</w:t>
      </w:r>
    </w:p>
    <w:p w14:paraId="44138767" w14:textId="77777777" w:rsidR="00D3608B" w:rsidRPr="00EA16B0" w:rsidRDefault="00D3608B" w:rsidP="00D3608B">
      <w:pPr>
        <w:spacing w:after="60"/>
        <w:ind w:left="2268" w:right="849"/>
        <w:jc w:val="both"/>
        <w:rPr>
          <w:rFonts w:asciiTheme="majorHAnsi" w:eastAsia="Times New Roman" w:hAnsiTheme="majorHAnsi" w:cstheme="majorHAnsi"/>
          <w:sz w:val="20"/>
          <w:szCs w:val="20"/>
          <w:lang w:eastAsia="pt-BR"/>
        </w:rPr>
      </w:pPr>
      <w:r w:rsidRPr="00EA16B0">
        <w:rPr>
          <w:rFonts w:asciiTheme="majorHAnsi" w:eastAsia="Times New Roman" w:hAnsiTheme="majorHAnsi" w:cstheme="majorHAnsi"/>
          <w:sz w:val="20"/>
          <w:szCs w:val="20"/>
          <w:lang w:eastAsia="pt-BR"/>
        </w:rPr>
        <w:t>b) a liberdade de cátedra;</w:t>
      </w:r>
    </w:p>
    <w:p w14:paraId="3C3E51B6" w14:textId="77777777" w:rsidR="00D3608B" w:rsidRPr="00EA16B0" w:rsidRDefault="00D3608B" w:rsidP="00D3608B">
      <w:pPr>
        <w:spacing w:after="60"/>
        <w:ind w:left="2268" w:right="849"/>
        <w:jc w:val="both"/>
        <w:rPr>
          <w:rFonts w:asciiTheme="majorHAnsi" w:eastAsia="Times New Roman" w:hAnsiTheme="majorHAnsi" w:cstheme="majorHAnsi"/>
          <w:spacing w:val="-2"/>
          <w:sz w:val="20"/>
          <w:szCs w:val="20"/>
          <w:lang w:eastAsia="pt-BR"/>
        </w:rPr>
      </w:pPr>
      <w:r w:rsidRPr="00EA16B0">
        <w:rPr>
          <w:rFonts w:asciiTheme="majorHAnsi" w:eastAsia="Times New Roman" w:hAnsiTheme="majorHAnsi" w:cstheme="majorHAnsi"/>
          <w:spacing w:val="-2"/>
          <w:sz w:val="20"/>
          <w:szCs w:val="20"/>
          <w:lang w:eastAsia="pt-BR"/>
        </w:rPr>
        <w:t>c) a autonomia pedagógica e didático-científica no processo de construção do conhecimento;</w:t>
      </w:r>
    </w:p>
    <w:p w14:paraId="3DD17E0C" w14:textId="77777777" w:rsidR="00D3608B" w:rsidRPr="00EA16B0" w:rsidRDefault="00D3608B" w:rsidP="00D3608B">
      <w:pPr>
        <w:spacing w:after="60"/>
        <w:ind w:left="2268" w:right="849"/>
        <w:jc w:val="both"/>
        <w:rPr>
          <w:rFonts w:asciiTheme="majorHAnsi" w:eastAsia="Times New Roman" w:hAnsiTheme="majorHAnsi" w:cstheme="majorHAnsi"/>
          <w:sz w:val="20"/>
          <w:szCs w:val="20"/>
          <w:lang w:eastAsia="pt-BR"/>
        </w:rPr>
      </w:pPr>
      <w:r w:rsidRPr="00EA16B0">
        <w:rPr>
          <w:rFonts w:asciiTheme="majorHAnsi" w:eastAsia="Times New Roman" w:hAnsiTheme="majorHAnsi" w:cstheme="majorHAnsi"/>
          <w:sz w:val="20"/>
          <w:szCs w:val="20"/>
          <w:lang w:eastAsia="pt-BR"/>
        </w:rPr>
        <w:t xml:space="preserve">V – </w:t>
      </w:r>
      <w:proofErr w:type="gramStart"/>
      <w:r w:rsidRPr="00EA16B0">
        <w:rPr>
          <w:rFonts w:asciiTheme="majorHAnsi" w:eastAsia="Times New Roman" w:hAnsiTheme="majorHAnsi" w:cstheme="majorHAnsi"/>
          <w:sz w:val="20"/>
          <w:szCs w:val="20"/>
          <w:lang w:eastAsia="pt-BR"/>
        </w:rPr>
        <w:t>formação</w:t>
      </w:r>
      <w:proofErr w:type="gramEnd"/>
      <w:r w:rsidRPr="00EA16B0">
        <w:rPr>
          <w:rFonts w:asciiTheme="majorHAnsi" w:eastAsia="Times New Roman" w:hAnsiTheme="majorHAnsi" w:cstheme="majorHAnsi"/>
          <w:sz w:val="20"/>
          <w:szCs w:val="20"/>
          <w:lang w:eastAsia="pt-BR"/>
        </w:rPr>
        <w:t xml:space="preserve"> profissional que considere o conhecimento baseado em evidências científicas e as práticas desenvolvidas no mundo do trabalho;</w:t>
      </w:r>
    </w:p>
    <w:p w14:paraId="28DD5E6A" w14:textId="77777777" w:rsidR="00D3608B" w:rsidRPr="00EA16B0" w:rsidRDefault="00D3608B" w:rsidP="00D3608B">
      <w:pPr>
        <w:spacing w:after="60"/>
        <w:ind w:left="2268" w:right="849"/>
        <w:jc w:val="both"/>
        <w:rPr>
          <w:rFonts w:asciiTheme="majorHAnsi" w:eastAsia="Times New Roman" w:hAnsiTheme="majorHAnsi" w:cstheme="majorHAnsi"/>
          <w:sz w:val="20"/>
          <w:szCs w:val="20"/>
          <w:lang w:eastAsia="pt-BR"/>
        </w:rPr>
      </w:pPr>
      <w:r w:rsidRPr="00EA16B0">
        <w:rPr>
          <w:rFonts w:asciiTheme="majorHAnsi" w:eastAsia="Times New Roman" w:hAnsiTheme="majorHAnsi" w:cstheme="majorHAnsi"/>
          <w:sz w:val="20"/>
          <w:szCs w:val="20"/>
          <w:lang w:eastAsia="pt-BR"/>
        </w:rPr>
        <w:t xml:space="preserve">VI – </w:t>
      </w:r>
      <w:proofErr w:type="gramStart"/>
      <w:r w:rsidRPr="00EA16B0">
        <w:rPr>
          <w:rFonts w:asciiTheme="majorHAnsi" w:eastAsia="Times New Roman" w:hAnsiTheme="majorHAnsi" w:cstheme="majorHAnsi"/>
          <w:sz w:val="20"/>
          <w:szCs w:val="20"/>
          <w:lang w:eastAsia="pt-BR"/>
        </w:rPr>
        <w:t>organização</w:t>
      </w:r>
      <w:proofErr w:type="gramEnd"/>
      <w:r w:rsidRPr="00EA16B0">
        <w:rPr>
          <w:rFonts w:asciiTheme="majorHAnsi" w:eastAsia="Times New Roman" w:hAnsiTheme="majorHAnsi" w:cstheme="majorHAnsi"/>
          <w:sz w:val="20"/>
          <w:szCs w:val="20"/>
          <w:lang w:eastAsia="pt-BR"/>
        </w:rPr>
        <w:t xml:space="preserve"> administrativa descentralizada, flexível e horizontalizada, observados os referenciais da </w:t>
      </w:r>
      <w:proofErr w:type="spellStart"/>
      <w:r w:rsidRPr="00EA16B0">
        <w:rPr>
          <w:rFonts w:asciiTheme="majorHAnsi" w:eastAsia="Times New Roman" w:hAnsiTheme="majorHAnsi" w:cstheme="majorHAnsi"/>
          <w:sz w:val="20"/>
          <w:szCs w:val="20"/>
          <w:lang w:eastAsia="pt-BR"/>
        </w:rPr>
        <w:t>multiespacialidade</w:t>
      </w:r>
      <w:proofErr w:type="spellEnd"/>
      <w:r w:rsidRPr="00EA16B0">
        <w:rPr>
          <w:rFonts w:asciiTheme="majorHAnsi" w:eastAsia="Times New Roman" w:hAnsiTheme="majorHAnsi" w:cstheme="majorHAnsi"/>
          <w:sz w:val="20"/>
          <w:szCs w:val="20"/>
          <w:lang w:eastAsia="pt-BR"/>
        </w:rPr>
        <w:t xml:space="preserve">, garantindo-se a cada </w:t>
      </w:r>
      <w:r w:rsidRPr="00EA16B0">
        <w:rPr>
          <w:rFonts w:asciiTheme="majorHAnsi" w:eastAsia="Times New Roman" w:hAnsiTheme="majorHAnsi" w:cstheme="majorHAnsi"/>
          <w:i/>
          <w:iCs/>
          <w:sz w:val="20"/>
          <w:szCs w:val="20"/>
          <w:lang w:eastAsia="pt-BR"/>
        </w:rPr>
        <w:t>campus</w:t>
      </w:r>
      <w:r w:rsidRPr="00EA16B0">
        <w:rPr>
          <w:rFonts w:asciiTheme="majorHAnsi" w:eastAsia="Times New Roman" w:hAnsiTheme="majorHAnsi" w:cstheme="majorHAnsi"/>
          <w:sz w:val="20"/>
          <w:szCs w:val="20"/>
          <w:lang w:eastAsia="pt-BR"/>
        </w:rPr>
        <w:t xml:space="preserve"> da </w:t>
      </w:r>
      <w:proofErr w:type="spellStart"/>
      <w:r w:rsidRPr="00EA16B0">
        <w:rPr>
          <w:rFonts w:asciiTheme="majorHAnsi" w:eastAsia="Times New Roman" w:hAnsiTheme="majorHAnsi" w:cstheme="majorHAnsi"/>
          <w:sz w:val="20"/>
          <w:szCs w:val="20"/>
          <w:lang w:eastAsia="pt-BR"/>
        </w:rPr>
        <w:t>UnDF</w:t>
      </w:r>
      <w:proofErr w:type="spellEnd"/>
      <w:r w:rsidRPr="00EA16B0">
        <w:rPr>
          <w:rFonts w:asciiTheme="majorHAnsi" w:eastAsia="Times New Roman" w:hAnsiTheme="majorHAnsi" w:cstheme="majorHAnsi"/>
          <w:sz w:val="20"/>
          <w:szCs w:val="20"/>
          <w:lang w:eastAsia="pt-BR"/>
        </w:rPr>
        <w:t xml:space="preserve"> a infraestrutura que assegure os serviços administrativos essenciais de interesse comum das unidades acadêmicas que a compõem;</w:t>
      </w:r>
    </w:p>
    <w:p w14:paraId="4F7BC9FF" w14:textId="77777777" w:rsidR="00D3608B" w:rsidRPr="00EA16B0" w:rsidRDefault="00D3608B" w:rsidP="00D3608B">
      <w:pPr>
        <w:spacing w:after="60"/>
        <w:ind w:left="2268" w:right="849"/>
        <w:jc w:val="both"/>
        <w:rPr>
          <w:rFonts w:asciiTheme="majorHAnsi" w:eastAsia="Times New Roman" w:hAnsiTheme="majorHAnsi" w:cstheme="majorHAnsi"/>
          <w:sz w:val="20"/>
          <w:szCs w:val="20"/>
          <w:lang w:eastAsia="pt-BR"/>
        </w:rPr>
      </w:pPr>
      <w:r w:rsidRPr="00EA16B0">
        <w:rPr>
          <w:rFonts w:asciiTheme="majorHAnsi" w:eastAsia="Times New Roman" w:hAnsiTheme="majorHAnsi" w:cstheme="majorHAnsi"/>
          <w:sz w:val="20"/>
          <w:szCs w:val="20"/>
          <w:lang w:eastAsia="pt-BR"/>
        </w:rPr>
        <w:t>VII – oferta gratuita de cursos, observado o princípio de indissociabilidade entre ensino, pesquisa e extensão;</w:t>
      </w:r>
    </w:p>
    <w:p w14:paraId="5B010C09" w14:textId="77777777" w:rsidR="00D3608B" w:rsidRPr="00EA16B0" w:rsidRDefault="00D3608B" w:rsidP="00D3608B">
      <w:pPr>
        <w:spacing w:after="60"/>
        <w:ind w:left="2268" w:right="849"/>
        <w:jc w:val="both"/>
        <w:rPr>
          <w:rFonts w:asciiTheme="majorHAnsi" w:eastAsia="Times New Roman" w:hAnsiTheme="majorHAnsi" w:cstheme="majorHAnsi"/>
          <w:sz w:val="20"/>
          <w:szCs w:val="20"/>
          <w:lang w:eastAsia="pt-BR"/>
        </w:rPr>
      </w:pPr>
      <w:r w:rsidRPr="00EA16B0">
        <w:rPr>
          <w:rFonts w:asciiTheme="majorHAnsi" w:eastAsia="Times New Roman" w:hAnsiTheme="majorHAnsi" w:cstheme="majorHAnsi"/>
          <w:sz w:val="20"/>
          <w:szCs w:val="20"/>
          <w:lang w:eastAsia="pt-BR"/>
        </w:rPr>
        <w:t>VIII – oferta de programa de permanência estudantil, bem como prestação de serviços e demais atividades afins, com ações especiais que objetivem a expansão do ensino, da pesquisa e da cultura, com vista ao processo de geração de empregos e inovação;</w:t>
      </w:r>
    </w:p>
    <w:p w14:paraId="52378B49" w14:textId="77777777" w:rsidR="00D3608B" w:rsidRPr="00EA16B0" w:rsidRDefault="00D3608B" w:rsidP="00D3608B">
      <w:pPr>
        <w:spacing w:after="60"/>
        <w:ind w:left="2268" w:right="849"/>
        <w:jc w:val="both"/>
        <w:rPr>
          <w:rFonts w:asciiTheme="majorHAnsi" w:eastAsia="Times New Roman" w:hAnsiTheme="majorHAnsi" w:cstheme="majorHAnsi"/>
          <w:sz w:val="20"/>
          <w:szCs w:val="20"/>
          <w:lang w:eastAsia="pt-BR"/>
        </w:rPr>
      </w:pPr>
      <w:r w:rsidRPr="00EA16B0">
        <w:rPr>
          <w:rFonts w:asciiTheme="majorHAnsi" w:eastAsia="Times New Roman" w:hAnsiTheme="majorHAnsi" w:cstheme="majorHAnsi"/>
          <w:sz w:val="20"/>
          <w:szCs w:val="20"/>
          <w:lang w:eastAsia="pt-BR"/>
        </w:rPr>
        <w:t xml:space="preserve">IX – </w:t>
      </w:r>
      <w:proofErr w:type="gramStart"/>
      <w:r w:rsidRPr="00EA16B0">
        <w:rPr>
          <w:rFonts w:asciiTheme="majorHAnsi" w:eastAsia="Times New Roman" w:hAnsiTheme="majorHAnsi" w:cstheme="majorHAnsi"/>
          <w:sz w:val="20"/>
          <w:szCs w:val="20"/>
          <w:lang w:eastAsia="pt-BR"/>
        </w:rPr>
        <w:t>promoção</w:t>
      </w:r>
      <w:proofErr w:type="gramEnd"/>
      <w:r w:rsidRPr="00EA16B0">
        <w:rPr>
          <w:rFonts w:asciiTheme="majorHAnsi" w:eastAsia="Times New Roman" w:hAnsiTheme="majorHAnsi" w:cstheme="majorHAnsi"/>
          <w:sz w:val="20"/>
          <w:szCs w:val="20"/>
          <w:lang w:eastAsia="pt-BR"/>
        </w:rPr>
        <w:t xml:space="preserve"> da educação, das ciências e das tecnologias, desenvolvendo o conhecimento científico, junto com os valores éticos capazes de integrar a pessoa humana à sociedade, formando profissionais competentes para atuação no mundo do trabalho e para melhoria das condições de vida em sociedade;</w:t>
      </w:r>
    </w:p>
    <w:p w14:paraId="37E75D71" w14:textId="77777777" w:rsidR="00D3608B" w:rsidRPr="00EA16B0" w:rsidRDefault="00D3608B" w:rsidP="00D3608B">
      <w:pPr>
        <w:spacing w:after="60"/>
        <w:ind w:left="2268" w:right="849"/>
        <w:jc w:val="both"/>
        <w:rPr>
          <w:rFonts w:asciiTheme="majorHAnsi" w:eastAsia="Times New Roman" w:hAnsiTheme="majorHAnsi" w:cstheme="majorHAnsi"/>
          <w:sz w:val="20"/>
          <w:szCs w:val="20"/>
          <w:lang w:eastAsia="pt-BR"/>
        </w:rPr>
      </w:pPr>
      <w:r w:rsidRPr="00EA16B0">
        <w:rPr>
          <w:rFonts w:asciiTheme="majorHAnsi" w:eastAsia="Times New Roman" w:hAnsiTheme="majorHAnsi" w:cstheme="majorHAnsi"/>
          <w:sz w:val="20"/>
          <w:szCs w:val="20"/>
          <w:lang w:eastAsia="pt-BR"/>
        </w:rPr>
        <w:t xml:space="preserve">X – </w:t>
      </w:r>
      <w:proofErr w:type="gramStart"/>
      <w:r w:rsidRPr="00EA16B0">
        <w:rPr>
          <w:rFonts w:asciiTheme="majorHAnsi" w:eastAsia="Times New Roman" w:hAnsiTheme="majorHAnsi" w:cstheme="majorHAnsi"/>
          <w:sz w:val="20"/>
          <w:szCs w:val="20"/>
          <w:lang w:eastAsia="pt-BR"/>
        </w:rPr>
        <w:t>fomento</w:t>
      </w:r>
      <w:proofErr w:type="gramEnd"/>
      <w:r w:rsidRPr="00EA16B0">
        <w:rPr>
          <w:rFonts w:asciiTheme="majorHAnsi" w:eastAsia="Times New Roman" w:hAnsiTheme="majorHAnsi" w:cstheme="majorHAnsi"/>
          <w:sz w:val="20"/>
          <w:szCs w:val="20"/>
          <w:lang w:eastAsia="pt-BR"/>
        </w:rPr>
        <w:t xml:space="preserve"> ao desenvolvimento de pesquisas científicas e tecnológicas e formação de recursos humanos para a pesquisa, principalmente no Distrito Federal e no entorno;</w:t>
      </w:r>
    </w:p>
    <w:p w14:paraId="41F87D6F" w14:textId="77777777" w:rsidR="00D3608B" w:rsidRPr="00EA16B0" w:rsidRDefault="00D3608B" w:rsidP="00D3608B">
      <w:pPr>
        <w:spacing w:after="60"/>
        <w:ind w:left="2268" w:right="849"/>
        <w:jc w:val="both"/>
        <w:rPr>
          <w:rFonts w:asciiTheme="majorHAnsi" w:eastAsia="Times New Roman" w:hAnsiTheme="majorHAnsi" w:cstheme="majorHAnsi"/>
          <w:sz w:val="20"/>
          <w:szCs w:val="20"/>
          <w:lang w:eastAsia="pt-BR"/>
        </w:rPr>
      </w:pPr>
      <w:r w:rsidRPr="00EA16B0">
        <w:rPr>
          <w:rFonts w:asciiTheme="majorHAnsi" w:eastAsia="Times New Roman" w:hAnsiTheme="majorHAnsi" w:cstheme="majorHAnsi"/>
          <w:sz w:val="20"/>
          <w:szCs w:val="20"/>
          <w:lang w:eastAsia="pt-BR"/>
        </w:rPr>
        <w:t xml:space="preserve">XI – garantia de prioridade na utilização dos serviços públicos do Distrito Federal aos cursos da </w:t>
      </w:r>
      <w:proofErr w:type="spellStart"/>
      <w:r w:rsidRPr="00EA16B0">
        <w:rPr>
          <w:rFonts w:asciiTheme="majorHAnsi" w:eastAsia="Times New Roman" w:hAnsiTheme="majorHAnsi" w:cstheme="majorHAnsi"/>
          <w:sz w:val="20"/>
          <w:szCs w:val="20"/>
          <w:lang w:eastAsia="pt-BR"/>
        </w:rPr>
        <w:t>UnDF</w:t>
      </w:r>
      <w:proofErr w:type="spellEnd"/>
      <w:r w:rsidRPr="00EA16B0">
        <w:rPr>
          <w:rFonts w:asciiTheme="majorHAnsi" w:eastAsia="Times New Roman" w:hAnsiTheme="majorHAnsi" w:cstheme="majorHAnsi"/>
          <w:sz w:val="20"/>
          <w:szCs w:val="20"/>
          <w:lang w:eastAsia="pt-BR"/>
        </w:rPr>
        <w:t>, considerando os respectivos cenários das atividades acadêmicas, de modo a fortalecer a integração entre o ensino, os serviços públicos e a comunidade;</w:t>
      </w:r>
    </w:p>
    <w:p w14:paraId="74F0ECCE" w14:textId="77777777" w:rsidR="00D3608B" w:rsidRPr="00EA16B0" w:rsidRDefault="00D3608B" w:rsidP="00D3608B">
      <w:pPr>
        <w:spacing w:after="60"/>
        <w:ind w:left="2268" w:right="849"/>
        <w:jc w:val="both"/>
        <w:rPr>
          <w:rFonts w:asciiTheme="majorHAnsi" w:eastAsia="Times New Roman" w:hAnsiTheme="majorHAnsi" w:cstheme="majorHAnsi"/>
          <w:sz w:val="20"/>
          <w:szCs w:val="20"/>
          <w:lang w:eastAsia="pt-BR"/>
        </w:rPr>
      </w:pPr>
      <w:r w:rsidRPr="00EA16B0">
        <w:rPr>
          <w:rFonts w:asciiTheme="majorHAnsi" w:eastAsia="Times New Roman" w:hAnsiTheme="majorHAnsi" w:cstheme="majorHAnsi"/>
          <w:sz w:val="20"/>
          <w:szCs w:val="20"/>
          <w:lang w:eastAsia="pt-BR"/>
        </w:rPr>
        <w:t xml:space="preserve">XII – democratização do acesso ao ensino superior público, gratuito e de qualidade, por meio da implementação de cotas raciais e sociais para ingresso em cursos de graduação ofertados pela </w:t>
      </w:r>
      <w:proofErr w:type="spellStart"/>
      <w:r w:rsidRPr="00EA16B0">
        <w:rPr>
          <w:rFonts w:asciiTheme="majorHAnsi" w:eastAsia="Times New Roman" w:hAnsiTheme="majorHAnsi" w:cstheme="majorHAnsi"/>
          <w:sz w:val="20"/>
          <w:szCs w:val="20"/>
          <w:lang w:eastAsia="pt-BR"/>
        </w:rPr>
        <w:t>UnDF</w:t>
      </w:r>
      <w:proofErr w:type="spellEnd"/>
      <w:r w:rsidRPr="00EA16B0">
        <w:rPr>
          <w:rFonts w:asciiTheme="majorHAnsi" w:eastAsia="Times New Roman" w:hAnsiTheme="majorHAnsi" w:cstheme="majorHAnsi"/>
          <w:sz w:val="20"/>
          <w:szCs w:val="20"/>
          <w:lang w:eastAsia="pt-BR"/>
        </w:rPr>
        <w:t>, conforme legislações específicas, a ser disciplinada no Estatuto;</w:t>
      </w:r>
    </w:p>
    <w:p w14:paraId="59B980BD" w14:textId="77777777" w:rsidR="00D3608B" w:rsidRPr="00EA16B0" w:rsidRDefault="00D3608B" w:rsidP="00D3608B">
      <w:pPr>
        <w:spacing w:after="60"/>
        <w:ind w:left="2268" w:right="849"/>
        <w:jc w:val="both"/>
        <w:rPr>
          <w:rFonts w:asciiTheme="majorHAnsi" w:eastAsia="Times New Roman" w:hAnsiTheme="majorHAnsi" w:cstheme="majorHAnsi"/>
          <w:sz w:val="20"/>
          <w:szCs w:val="20"/>
          <w:lang w:eastAsia="pt-BR"/>
        </w:rPr>
      </w:pPr>
      <w:r w:rsidRPr="00EA16B0">
        <w:rPr>
          <w:rFonts w:asciiTheme="majorHAnsi" w:eastAsia="Times New Roman" w:hAnsiTheme="majorHAnsi" w:cstheme="majorHAnsi"/>
          <w:sz w:val="20"/>
          <w:szCs w:val="20"/>
          <w:lang w:eastAsia="pt-BR"/>
        </w:rPr>
        <w:t xml:space="preserve">XIII – fomento ao desenvolvimento, ao fortalecimento e à consolidação de incubadoras, cooperativas, aceleradoras e núcleos de inovação e </w:t>
      </w:r>
      <w:r w:rsidRPr="00EA16B0">
        <w:rPr>
          <w:rFonts w:asciiTheme="majorHAnsi" w:eastAsia="Times New Roman" w:hAnsiTheme="majorHAnsi" w:cstheme="majorHAnsi"/>
          <w:sz w:val="20"/>
          <w:szCs w:val="20"/>
          <w:lang w:eastAsia="pt-BR"/>
        </w:rPr>
        <w:lastRenderedPageBreak/>
        <w:t>empreendedorismo em conhecimento tecnológico com capacidade para desenvolver novos produtos, processos, serviços competitivos e outras iniciativas;</w:t>
      </w:r>
    </w:p>
    <w:p w14:paraId="3C8CADB3" w14:textId="77777777" w:rsidR="00D3608B" w:rsidRPr="00EA16B0" w:rsidRDefault="00D3608B" w:rsidP="00D3608B">
      <w:pPr>
        <w:spacing w:after="60"/>
        <w:ind w:left="2268" w:right="849"/>
        <w:jc w:val="both"/>
        <w:rPr>
          <w:rFonts w:asciiTheme="majorHAnsi" w:eastAsia="Times New Roman" w:hAnsiTheme="majorHAnsi" w:cstheme="majorHAnsi"/>
          <w:sz w:val="20"/>
          <w:szCs w:val="20"/>
          <w:lang w:eastAsia="pt-BR"/>
        </w:rPr>
      </w:pPr>
      <w:r w:rsidRPr="00EA16B0">
        <w:rPr>
          <w:rFonts w:asciiTheme="majorHAnsi" w:eastAsia="Times New Roman" w:hAnsiTheme="majorHAnsi" w:cstheme="majorHAnsi"/>
          <w:sz w:val="20"/>
          <w:szCs w:val="20"/>
          <w:lang w:eastAsia="pt-BR"/>
        </w:rPr>
        <w:t>XIV – estímulo à associação entre pesquisadores, empreendedores e o setor produtivo local, assim como à interação entre empresas incubadas e instituições públicas e privadas que desenvolvam atividades inovadoras e empreendedoras, visando à transferência recíproca de conhecimento e modelos de gestão;</w:t>
      </w:r>
    </w:p>
    <w:p w14:paraId="7BF07A19" w14:textId="77777777" w:rsidR="00D3608B" w:rsidRPr="00EA16B0" w:rsidRDefault="00D3608B" w:rsidP="00D3608B">
      <w:pPr>
        <w:spacing w:after="60"/>
        <w:ind w:left="2268" w:right="849"/>
        <w:jc w:val="both"/>
        <w:rPr>
          <w:rFonts w:asciiTheme="majorHAnsi" w:eastAsia="Times New Roman" w:hAnsiTheme="majorHAnsi" w:cstheme="majorHAnsi"/>
          <w:sz w:val="20"/>
          <w:szCs w:val="20"/>
          <w:lang w:eastAsia="pt-BR"/>
        </w:rPr>
      </w:pPr>
      <w:r w:rsidRPr="00EA16B0">
        <w:rPr>
          <w:rFonts w:asciiTheme="majorHAnsi" w:eastAsia="Times New Roman" w:hAnsiTheme="majorHAnsi" w:cstheme="majorHAnsi"/>
          <w:sz w:val="20"/>
          <w:szCs w:val="20"/>
          <w:lang w:eastAsia="pt-BR"/>
        </w:rPr>
        <w:t xml:space="preserve">XV – </w:t>
      </w:r>
      <w:proofErr w:type="gramStart"/>
      <w:r w:rsidRPr="00EA16B0">
        <w:rPr>
          <w:rFonts w:asciiTheme="majorHAnsi" w:eastAsia="Times New Roman" w:hAnsiTheme="majorHAnsi" w:cstheme="majorHAnsi"/>
          <w:sz w:val="20"/>
          <w:szCs w:val="20"/>
          <w:lang w:eastAsia="pt-BR"/>
        </w:rPr>
        <w:t>fomento</w:t>
      </w:r>
      <w:proofErr w:type="gramEnd"/>
      <w:r w:rsidRPr="00EA16B0">
        <w:rPr>
          <w:rFonts w:asciiTheme="majorHAnsi" w:eastAsia="Times New Roman" w:hAnsiTheme="majorHAnsi" w:cstheme="majorHAnsi"/>
          <w:sz w:val="20"/>
          <w:szCs w:val="20"/>
          <w:lang w:eastAsia="pt-BR"/>
        </w:rPr>
        <w:t xml:space="preserve"> a projetos integrados de extensão e pesquisa em linhas de atuação nas áreas de educação profissional, trabalho, empreendedorismo, produção, desenvolvimento, tecnologias sociais e sustentabilidade, com enfoque em inovação e integração social;</w:t>
      </w:r>
    </w:p>
    <w:p w14:paraId="53891BA0" w14:textId="77777777" w:rsidR="00D3608B" w:rsidRPr="00EA16B0" w:rsidRDefault="00D3608B" w:rsidP="00D3608B">
      <w:pPr>
        <w:spacing w:after="60"/>
        <w:ind w:left="2268" w:right="849"/>
        <w:jc w:val="both"/>
        <w:rPr>
          <w:rFonts w:asciiTheme="majorHAnsi" w:eastAsia="Times New Roman" w:hAnsiTheme="majorHAnsi" w:cstheme="majorHAnsi"/>
          <w:sz w:val="20"/>
          <w:szCs w:val="20"/>
          <w:lang w:eastAsia="pt-BR"/>
        </w:rPr>
      </w:pPr>
      <w:r w:rsidRPr="00EA16B0">
        <w:rPr>
          <w:rFonts w:asciiTheme="majorHAnsi" w:eastAsia="Times New Roman" w:hAnsiTheme="majorHAnsi" w:cstheme="majorHAnsi"/>
          <w:sz w:val="20"/>
          <w:szCs w:val="20"/>
          <w:lang w:eastAsia="pt-BR"/>
        </w:rPr>
        <w:t>XVI – garantia de pluralidade de ideias e gestão democrática do ensino;</w:t>
      </w:r>
    </w:p>
    <w:p w14:paraId="4DF59D6B" w14:textId="77777777" w:rsidR="00D3608B" w:rsidRPr="00EA16B0" w:rsidRDefault="00D3608B" w:rsidP="00D3608B">
      <w:pPr>
        <w:spacing w:after="60"/>
        <w:ind w:left="2268" w:right="849"/>
        <w:jc w:val="both"/>
        <w:rPr>
          <w:rFonts w:asciiTheme="majorHAnsi" w:eastAsia="Times New Roman" w:hAnsiTheme="majorHAnsi" w:cstheme="majorHAnsi"/>
          <w:sz w:val="20"/>
          <w:szCs w:val="20"/>
          <w:lang w:eastAsia="pt-BR"/>
        </w:rPr>
      </w:pPr>
      <w:r w:rsidRPr="00EA16B0">
        <w:rPr>
          <w:rFonts w:asciiTheme="majorHAnsi" w:eastAsia="Times New Roman" w:hAnsiTheme="majorHAnsi" w:cstheme="majorHAnsi"/>
          <w:sz w:val="20"/>
          <w:szCs w:val="20"/>
          <w:lang w:eastAsia="pt-BR"/>
        </w:rPr>
        <w:t>XVII – fomento, no desenvolvimento de suas pesquisas, à geração de novas tecnologias e processos, visando à promoção do desenvolvimento econômico e técnico-científico do Distrito Federal.</w:t>
      </w:r>
    </w:p>
    <w:p w14:paraId="62A4F8F8" w14:textId="5C8C318D" w:rsidR="00D3608B" w:rsidRPr="00EA16B0" w:rsidRDefault="00D3608B" w:rsidP="00D3608B">
      <w:pPr>
        <w:ind w:left="2268" w:right="851"/>
        <w:jc w:val="both"/>
        <w:rPr>
          <w:rFonts w:asciiTheme="majorHAnsi" w:eastAsia="Times New Roman" w:hAnsiTheme="majorHAnsi" w:cstheme="majorHAnsi"/>
          <w:sz w:val="20"/>
          <w:szCs w:val="20"/>
          <w:lang w:eastAsia="pt-BR"/>
        </w:rPr>
      </w:pPr>
      <w:r w:rsidRPr="00EA16B0">
        <w:rPr>
          <w:rFonts w:asciiTheme="majorHAnsi" w:eastAsia="Times New Roman" w:hAnsiTheme="majorHAnsi" w:cstheme="majorHAnsi"/>
          <w:sz w:val="20"/>
          <w:szCs w:val="20"/>
          <w:lang w:eastAsia="pt-BR"/>
        </w:rPr>
        <w:t xml:space="preserve">Parágrafo único. Para cumprimento de suas finalidades, a </w:t>
      </w:r>
      <w:proofErr w:type="spellStart"/>
      <w:r w:rsidRPr="00EA16B0">
        <w:rPr>
          <w:rFonts w:asciiTheme="majorHAnsi" w:eastAsia="Times New Roman" w:hAnsiTheme="majorHAnsi" w:cstheme="majorHAnsi"/>
          <w:sz w:val="20"/>
          <w:szCs w:val="20"/>
          <w:lang w:eastAsia="pt-BR"/>
        </w:rPr>
        <w:t>UnDF</w:t>
      </w:r>
      <w:proofErr w:type="spellEnd"/>
      <w:r w:rsidRPr="00EA16B0">
        <w:rPr>
          <w:rFonts w:asciiTheme="majorHAnsi" w:eastAsia="Times New Roman" w:hAnsiTheme="majorHAnsi" w:cstheme="majorHAnsi"/>
          <w:sz w:val="20"/>
          <w:szCs w:val="20"/>
          <w:lang w:eastAsia="pt-BR"/>
        </w:rPr>
        <w:t xml:space="preserve"> pode prestar serviços a instituições públicas e privadas cujas áreas de excelência interessem aos seus programas e projetos. (DISTRITO FEDERAL, 2021).</w:t>
      </w:r>
    </w:p>
    <w:p w14:paraId="0955C4D8" w14:textId="77777777" w:rsidR="00390F44" w:rsidRPr="00EA16B0" w:rsidRDefault="00390F44" w:rsidP="00D3608B">
      <w:pPr>
        <w:ind w:left="2268" w:right="851"/>
        <w:jc w:val="both"/>
        <w:rPr>
          <w:rFonts w:asciiTheme="majorHAnsi" w:eastAsia="Times New Roman" w:hAnsiTheme="majorHAnsi" w:cstheme="majorHAnsi"/>
          <w:sz w:val="20"/>
          <w:szCs w:val="20"/>
          <w:lang w:eastAsia="pt-BR"/>
        </w:rPr>
      </w:pPr>
    </w:p>
    <w:p w14:paraId="6DF03FE5" w14:textId="6BF5D946" w:rsidR="00D3608B" w:rsidRPr="00EA16B0" w:rsidRDefault="00D3608B" w:rsidP="00390F44">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Desse modo, percebe-se a nítida intenção dos legisladores em garantir a criação de uma instituição inovadora, socialmente comprometida com o desenvolvimento regional e que deverá contemplar uma série de objetivos que só reforçam essa vocação, conforme será tratado no capítulo 2 do presente relatório. </w:t>
      </w:r>
    </w:p>
    <w:p w14:paraId="519D30EA" w14:textId="77777777" w:rsidR="00390F44" w:rsidRPr="00EA16B0" w:rsidRDefault="00390F44" w:rsidP="00390F44">
      <w:pPr>
        <w:spacing w:line="360" w:lineRule="auto"/>
        <w:ind w:firstLine="709"/>
        <w:jc w:val="both"/>
        <w:rPr>
          <w:rFonts w:asciiTheme="majorHAnsi" w:hAnsiTheme="majorHAnsi" w:cstheme="majorHAnsi"/>
          <w:sz w:val="24"/>
          <w:szCs w:val="24"/>
        </w:rPr>
      </w:pPr>
    </w:p>
    <w:p w14:paraId="34D0336C" w14:textId="2A160BFA" w:rsidR="00D3608B" w:rsidRPr="00EA16B0" w:rsidRDefault="00D3608B" w:rsidP="003A7871">
      <w:pPr>
        <w:pStyle w:val="Ttulo2"/>
        <w:numPr>
          <w:ilvl w:val="1"/>
          <w:numId w:val="1"/>
        </w:numPr>
        <w:tabs>
          <w:tab w:val="clear" w:pos="1615"/>
        </w:tabs>
        <w:spacing w:before="0" w:after="0" w:line="360" w:lineRule="auto"/>
        <w:ind w:left="993" w:hanging="576"/>
        <w:rPr>
          <w:rFonts w:asciiTheme="majorHAnsi" w:hAnsiTheme="majorHAnsi" w:cstheme="majorHAnsi"/>
        </w:rPr>
      </w:pPr>
      <w:bookmarkStart w:id="35" w:name="_Toc102319372"/>
      <w:r w:rsidRPr="00EA16B0">
        <w:rPr>
          <w:rFonts w:asciiTheme="majorHAnsi" w:hAnsiTheme="majorHAnsi" w:cstheme="majorHAnsi"/>
        </w:rPr>
        <w:t xml:space="preserve">O SISTEMA DE ENSINO DISTRITAL E A </w:t>
      </w:r>
      <w:proofErr w:type="spellStart"/>
      <w:r w:rsidRPr="00EA16B0">
        <w:rPr>
          <w:rFonts w:asciiTheme="majorHAnsi" w:hAnsiTheme="majorHAnsi" w:cstheme="majorHAnsi"/>
        </w:rPr>
        <w:t>UnDF</w:t>
      </w:r>
      <w:bookmarkEnd w:id="35"/>
      <w:proofErr w:type="spellEnd"/>
    </w:p>
    <w:p w14:paraId="32517A32" w14:textId="77777777" w:rsidR="00D3608B" w:rsidRPr="00EA16B0" w:rsidRDefault="00D3608B" w:rsidP="00390F44">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O Sistema de Ensino do Distrito Federal, segundo determina o parágrafo único do Art. 10 da LDB, tem competências referentes àquelas determinadas para os Estados e Municípios da União. Em termos de ensino escolar, isso significa ter responsabilidade sobre toda a educação básica pública e privada e pelas Instituições de Educação Superior por ele criadas (BRASIL, 1996), o que remete ao Conselho de Educação do Distrito Federal (CEDF) a regulamentação referente à organização, credenciamento e recredenciamento da Universidade do Distrito Federal (</w:t>
      </w:r>
      <w:proofErr w:type="spellStart"/>
      <w:r w:rsidRPr="00EA16B0">
        <w:rPr>
          <w:rFonts w:asciiTheme="majorHAnsi" w:hAnsiTheme="majorHAnsi" w:cstheme="majorHAnsi"/>
          <w:sz w:val="24"/>
          <w:szCs w:val="24"/>
        </w:rPr>
        <w:t>UnDF</w:t>
      </w:r>
      <w:proofErr w:type="spellEnd"/>
      <w:r w:rsidRPr="00EA16B0">
        <w:rPr>
          <w:rFonts w:asciiTheme="majorHAnsi" w:hAnsiTheme="majorHAnsi" w:cstheme="majorHAnsi"/>
          <w:sz w:val="24"/>
          <w:szCs w:val="24"/>
        </w:rPr>
        <w:t xml:space="preserve">). Além disso, a Universidade deve seguir as Diretrizes Curriculares Nacionais existentes para os cursos de graduação e, no caso de organizar cursos </w:t>
      </w:r>
      <w:proofErr w:type="spellStart"/>
      <w:r w:rsidRPr="00EA16B0">
        <w:rPr>
          <w:rFonts w:asciiTheme="majorHAnsi" w:hAnsiTheme="majorHAnsi" w:cstheme="majorHAnsi"/>
          <w:sz w:val="24"/>
          <w:szCs w:val="24"/>
        </w:rPr>
        <w:t>EaD</w:t>
      </w:r>
      <w:proofErr w:type="spellEnd"/>
      <w:r w:rsidRPr="00EA16B0">
        <w:rPr>
          <w:rFonts w:asciiTheme="majorHAnsi" w:hAnsiTheme="majorHAnsi" w:cstheme="majorHAnsi"/>
          <w:sz w:val="24"/>
          <w:szCs w:val="24"/>
        </w:rPr>
        <w:t xml:space="preserve"> que extrapolem os limites geográficos do DF, obter credenciamento específico para essa atividade junto ao Ministério de Educação.</w:t>
      </w:r>
    </w:p>
    <w:p w14:paraId="7AC9A056" w14:textId="77777777" w:rsidR="00D3608B" w:rsidRPr="00EA16B0" w:rsidRDefault="00D3608B" w:rsidP="00390F44">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Desse modo, o primeiro passo para efetivar a existência da </w:t>
      </w:r>
      <w:proofErr w:type="spellStart"/>
      <w:r w:rsidRPr="00EA16B0">
        <w:rPr>
          <w:rFonts w:asciiTheme="majorHAnsi" w:hAnsiTheme="majorHAnsi" w:cstheme="majorHAnsi"/>
          <w:sz w:val="24"/>
          <w:szCs w:val="24"/>
        </w:rPr>
        <w:t>UnDF</w:t>
      </w:r>
      <w:proofErr w:type="spellEnd"/>
      <w:r w:rsidRPr="00EA16B0">
        <w:rPr>
          <w:rFonts w:asciiTheme="majorHAnsi" w:hAnsiTheme="majorHAnsi" w:cstheme="majorHAnsi"/>
          <w:sz w:val="24"/>
          <w:szCs w:val="24"/>
        </w:rPr>
        <w:t xml:space="preserve"> como instituição escolar com atos acadêmico-administrativos válidos em todo o território nacional, será o seu </w:t>
      </w:r>
      <w:r w:rsidRPr="00EA16B0">
        <w:rPr>
          <w:rFonts w:asciiTheme="majorHAnsi" w:hAnsiTheme="majorHAnsi" w:cstheme="majorHAnsi"/>
          <w:sz w:val="24"/>
          <w:szCs w:val="24"/>
        </w:rPr>
        <w:lastRenderedPageBreak/>
        <w:t>credenciamento junto ao CEDF, nos termos determinados pela legislação desse egrégio Conselho de Educação.</w:t>
      </w:r>
    </w:p>
    <w:p w14:paraId="6B323184" w14:textId="25F185A8" w:rsidR="00390F44" w:rsidRPr="00EA16B0" w:rsidRDefault="00D3608B" w:rsidP="00390F44">
      <w:pPr>
        <w:tabs>
          <w:tab w:val="clear" w:pos="1615"/>
        </w:tabs>
        <w:autoSpaceDE w:val="0"/>
        <w:autoSpaceDN w:val="0"/>
        <w:adjustRightInd w:val="0"/>
        <w:spacing w:after="240" w:line="360" w:lineRule="auto"/>
        <w:ind w:firstLine="709"/>
        <w:jc w:val="both"/>
        <w:rPr>
          <w:rFonts w:asciiTheme="majorHAnsi" w:hAnsiTheme="majorHAnsi" w:cstheme="majorHAnsi"/>
          <w:sz w:val="24"/>
          <w:szCs w:val="24"/>
        </w:rPr>
      </w:pPr>
      <w:proofErr w:type="spellStart"/>
      <w:r w:rsidRPr="00EA16B0">
        <w:rPr>
          <w:rFonts w:asciiTheme="majorHAnsi" w:hAnsiTheme="majorHAnsi" w:cstheme="majorHAnsi"/>
          <w:sz w:val="24"/>
          <w:szCs w:val="24"/>
        </w:rPr>
        <w:t>onselho</w:t>
      </w:r>
      <w:proofErr w:type="spellEnd"/>
      <w:r w:rsidRPr="00EA16B0">
        <w:rPr>
          <w:rFonts w:asciiTheme="majorHAnsi" w:hAnsiTheme="majorHAnsi" w:cstheme="majorHAnsi"/>
          <w:sz w:val="24"/>
          <w:szCs w:val="24"/>
        </w:rPr>
        <w:t xml:space="preserve"> de Educação do Distrito Federal (CEDF) define atualmente em sua Resolução n. 2/2017 as normas para a Educação Superior:</w:t>
      </w:r>
    </w:p>
    <w:p w14:paraId="6AF168D6" w14:textId="77777777" w:rsidR="00D3608B" w:rsidRPr="00EA16B0" w:rsidRDefault="00D3608B" w:rsidP="00D3608B">
      <w:pPr>
        <w:tabs>
          <w:tab w:val="clear" w:pos="1615"/>
        </w:tabs>
        <w:autoSpaceDE w:val="0"/>
        <w:autoSpaceDN w:val="0"/>
        <w:adjustRightInd w:val="0"/>
        <w:spacing w:after="0"/>
        <w:ind w:left="2268" w:right="849"/>
        <w:jc w:val="both"/>
        <w:rPr>
          <w:rFonts w:asciiTheme="majorHAnsi" w:hAnsiTheme="majorHAnsi" w:cstheme="majorHAnsi"/>
          <w:color w:val="000000"/>
          <w:sz w:val="20"/>
          <w:szCs w:val="20"/>
        </w:rPr>
      </w:pPr>
      <w:r w:rsidRPr="00EA16B0">
        <w:rPr>
          <w:rFonts w:asciiTheme="majorHAnsi" w:hAnsiTheme="majorHAnsi" w:cstheme="majorHAnsi"/>
          <w:b/>
          <w:bCs/>
          <w:color w:val="000000"/>
          <w:sz w:val="20"/>
          <w:szCs w:val="20"/>
        </w:rPr>
        <w:t>Art. 6</w:t>
      </w:r>
      <w:r w:rsidRPr="00EA16B0">
        <w:rPr>
          <w:rFonts w:asciiTheme="majorHAnsi" w:hAnsiTheme="majorHAnsi" w:cstheme="majorHAnsi"/>
        </w:rPr>
        <w:t>.</w:t>
      </w:r>
      <w:r w:rsidRPr="00EA16B0">
        <w:rPr>
          <w:rFonts w:asciiTheme="majorHAnsi" w:hAnsiTheme="majorHAnsi" w:cstheme="majorHAnsi"/>
          <w:b/>
          <w:bCs/>
          <w:vertAlign w:val="superscript"/>
        </w:rPr>
        <w:t>o</w:t>
      </w:r>
      <w:r w:rsidRPr="00EA16B0" w:rsidDel="0037165D">
        <w:rPr>
          <w:rFonts w:asciiTheme="majorHAnsi" w:hAnsiTheme="majorHAnsi" w:cstheme="majorHAnsi"/>
          <w:b/>
          <w:bCs/>
          <w:color w:val="000000"/>
          <w:sz w:val="20"/>
          <w:szCs w:val="20"/>
        </w:rPr>
        <w:t xml:space="preserve"> </w:t>
      </w:r>
      <w:r w:rsidRPr="00EA16B0">
        <w:rPr>
          <w:rFonts w:asciiTheme="majorHAnsi" w:hAnsiTheme="majorHAnsi" w:cstheme="majorHAnsi"/>
          <w:color w:val="000000"/>
          <w:sz w:val="20"/>
          <w:szCs w:val="20"/>
        </w:rPr>
        <w:t>As instituições de educação superior, vinculadas ao Sistema de Ensino do Distrito Federal, podem organizar-se sob a forma de:</w:t>
      </w:r>
    </w:p>
    <w:p w14:paraId="4A4FCB55" w14:textId="77777777" w:rsidR="00D3608B" w:rsidRPr="00EA16B0" w:rsidRDefault="00D3608B" w:rsidP="00D3608B">
      <w:pPr>
        <w:tabs>
          <w:tab w:val="clear" w:pos="1615"/>
        </w:tabs>
        <w:autoSpaceDE w:val="0"/>
        <w:autoSpaceDN w:val="0"/>
        <w:adjustRightInd w:val="0"/>
        <w:spacing w:after="0"/>
        <w:ind w:left="2268"/>
        <w:jc w:val="both"/>
        <w:rPr>
          <w:rFonts w:asciiTheme="majorHAnsi" w:hAnsiTheme="majorHAnsi" w:cstheme="majorHAnsi"/>
          <w:color w:val="00000A"/>
          <w:sz w:val="20"/>
          <w:szCs w:val="20"/>
        </w:rPr>
      </w:pPr>
      <w:r w:rsidRPr="00EA16B0">
        <w:rPr>
          <w:rFonts w:asciiTheme="majorHAnsi" w:hAnsiTheme="majorHAnsi" w:cstheme="majorHAnsi"/>
          <w:color w:val="00000A"/>
          <w:sz w:val="20"/>
          <w:szCs w:val="20"/>
        </w:rPr>
        <w:t xml:space="preserve">I </w:t>
      </w:r>
      <w:r w:rsidRPr="00EA16B0">
        <w:rPr>
          <w:rFonts w:asciiTheme="majorHAnsi" w:hAnsiTheme="majorHAnsi" w:cstheme="majorHAnsi"/>
          <w:color w:val="00000A"/>
          <w:sz w:val="20"/>
          <w:szCs w:val="20"/>
        </w:rPr>
        <w:softHyphen/>
        <w:t>– Universidades;</w:t>
      </w:r>
    </w:p>
    <w:p w14:paraId="723863CD" w14:textId="77777777" w:rsidR="00D3608B" w:rsidRPr="00EA16B0" w:rsidRDefault="00D3608B" w:rsidP="00D3608B">
      <w:pPr>
        <w:tabs>
          <w:tab w:val="clear" w:pos="1615"/>
        </w:tabs>
        <w:autoSpaceDE w:val="0"/>
        <w:autoSpaceDN w:val="0"/>
        <w:adjustRightInd w:val="0"/>
        <w:spacing w:after="0"/>
        <w:ind w:left="2268"/>
        <w:jc w:val="both"/>
        <w:rPr>
          <w:rFonts w:asciiTheme="majorHAnsi" w:hAnsiTheme="majorHAnsi" w:cstheme="majorHAnsi"/>
          <w:color w:val="00000A"/>
          <w:sz w:val="20"/>
          <w:szCs w:val="20"/>
        </w:rPr>
      </w:pPr>
      <w:r w:rsidRPr="00EA16B0">
        <w:rPr>
          <w:rFonts w:asciiTheme="majorHAnsi" w:hAnsiTheme="majorHAnsi" w:cstheme="majorHAnsi"/>
          <w:color w:val="00000A"/>
          <w:sz w:val="20"/>
          <w:szCs w:val="20"/>
        </w:rPr>
        <w:t>II – Centros Universitários;</w:t>
      </w:r>
    </w:p>
    <w:p w14:paraId="7859AD33" w14:textId="77777777" w:rsidR="00D3608B" w:rsidRPr="00EA16B0" w:rsidRDefault="00D3608B" w:rsidP="00D3608B">
      <w:pPr>
        <w:tabs>
          <w:tab w:val="clear" w:pos="1615"/>
        </w:tabs>
        <w:autoSpaceDE w:val="0"/>
        <w:autoSpaceDN w:val="0"/>
        <w:adjustRightInd w:val="0"/>
        <w:spacing w:after="0"/>
        <w:ind w:left="2268"/>
        <w:jc w:val="both"/>
        <w:rPr>
          <w:rFonts w:asciiTheme="majorHAnsi" w:hAnsiTheme="majorHAnsi" w:cstheme="majorHAnsi"/>
          <w:color w:val="00000A"/>
          <w:sz w:val="20"/>
          <w:szCs w:val="20"/>
        </w:rPr>
      </w:pPr>
      <w:r w:rsidRPr="00EA16B0">
        <w:rPr>
          <w:rFonts w:asciiTheme="majorHAnsi" w:hAnsiTheme="majorHAnsi" w:cstheme="majorHAnsi"/>
          <w:color w:val="00000A"/>
          <w:sz w:val="20"/>
          <w:szCs w:val="20"/>
        </w:rPr>
        <w:t>III – Faculdades, Institutos ou Escolas Superiores;</w:t>
      </w:r>
    </w:p>
    <w:p w14:paraId="235675F0" w14:textId="3DA13A6D" w:rsidR="00D3608B" w:rsidRPr="00EA16B0" w:rsidRDefault="00D3608B" w:rsidP="00D3608B">
      <w:pPr>
        <w:tabs>
          <w:tab w:val="clear" w:pos="1615"/>
        </w:tabs>
        <w:autoSpaceDE w:val="0"/>
        <w:autoSpaceDN w:val="0"/>
        <w:adjustRightInd w:val="0"/>
        <w:ind w:firstLine="2268"/>
        <w:jc w:val="both"/>
        <w:rPr>
          <w:rFonts w:asciiTheme="majorHAnsi" w:hAnsiTheme="majorHAnsi" w:cstheme="majorHAnsi"/>
          <w:color w:val="00000A"/>
          <w:sz w:val="20"/>
          <w:szCs w:val="20"/>
        </w:rPr>
      </w:pPr>
      <w:r w:rsidRPr="00EA16B0">
        <w:rPr>
          <w:rFonts w:asciiTheme="majorHAnsi" w:hAnsiTheme="majorHAnsi" w:cstheme="majorHAnsi"/>
          <w:color w:val="00000A"/>
          <w:sz w:val="20"/>
          <w:szCs w:val="20"/>
        </w:rPr>
        <w:t>IV – Escolas de Governo. (CEDF, 2017).</w:t>
      </w:r>
    </w:p>
    <w:p w14:paraId="6D4B2A82" w14:textId="77777777" w:rsidR="00390F44" w:rsidRPr="00EA16B0" w:rsidRDefault="00390F44" w:rsidP="00D3608B">
      <w:pPr>
        <w:tabs>
          <w:tab w:val="clear" w:pos="1615"/>
        </w:tabs>
        <w:autoSpaceDE w:val="0"/>
        <w:autoSpaceDN w:val="0"/>
        <w:adjustRightInd w:val="0"/>
        <w:ind w:firstLine="2268"/>
        <w:jc w:val="both"/>
        <w:rPr>
          <w:rFonts w:asciiTheme="majorHAnsi" w:hAnsiTheme="majorHAnsi" w:cstheme="majorHAnsi"/>
          <w:color w:val="00000A"/>
          <w:sz w:val="20"/>
          <w:szCs w:val="20"/>
        </w:rPr>
      </w:pPr>
    </w:p>
    <w:p w14:paraId="46F74E21" w14:textId="5F209DA6" w:rsidR="00D3608B" w:rsidRPr="00EA16B0" w:rsidRDefault="00D3608B" w:rsidP="00390F44">
      <w:pPr>
        <w:tabs>
          <w:tab w:val="clear" w:pos="1615"/>
        </w:tabs>
        <w:autoSpaceDE w:val="0"/>
        <w:autoSpaceDN w:val="0"/>
        <w:adjustRightInd w:val="0"/>
        <w:spacing w:line="360" w:lineRule="auto"/>
        <w:ind w:right="-1" w:firstLine="709"/>
        <w:jc w:val="both"/>
        <w:rPr>
          <w:rFonts w:asciiTheme="majorHAnsi" w:hAnsiTheme="majorHAnsi" w:cstheme="majorHAnsi"/>
          <w:color w:val="00000A"/>
          <w:sz w:val="24"/>
          <w:szCs w:val="28"/>
        </w:rPr>
      </w:pPr>
      <w:r w:rsidRPr="00EA16B0">
        <w:rPr>
          <w:rFonts w:asciiTheme="majorHAnsi" w:hAnsiTheme="majorHAnsi" w:cstheme="majorHAnsi"/>
          <w:color w:val="00000A"/>
          <w:sz w:val="24"/>
          <w:szCs w:val="28"/>
        </w:rPr>
        <w:t>Para as Universidades, a mesma resolução estabelece as suas características e requisitos, nos dois artigos seguintes:</w:t>
      </w:r>
    </w:p>
    <w:p w14:paraId="014CC3E6" w14:textId="77777777" w:rsidR="00390F44" w:rsidRPr="00EA16B0" w:rsidRDefault="00390F44" w:rsidP="00390F44">
      <w:pPr>
        <w:tabs>
          <w:tab w:val="clear" w:pos="1615"/>
        </w:tabs>
        <w:autoSpaceDE w:val="0"/>
        <w:autoSpaceDN w:val="0"/>
        <w:adjustRightInd w:val="0"/>
        <w:spacing w:line="360" w:lineRule="auto"/>
        <w:ind w:right="-1" w:firstLine="709"/>
        <w:jc w:val="both"/>
        <w:rPr>
          <w:rFonts w:asciiTheme="majorHAnsi" w:hAnsiTheme="majorHAnsi" w:cstheme="majorHAnsi"/>
          <w:color w:val="00000A"/>
          <w:sz w:val="24"/>
          <w:szCs w:val="28"/>
        </w:rPr>
      </w:pPr>
    </w:p>
    <w:p w14:paraId="67A00B44" w14:textId="77777777" w:rsidR="00390F44" w:rsidRPr="00EA16B0" w:rsidRDefault="00390F44" w:rsidP="00D3608B">
      <w:pPr>
        <w:tabs>
          <w:tab w:val="clear" w:pos="1615"/>
        </w:tabs>
        <w:autoSpaceDE w:val="0"/>
        <w:autoSpaceDN w:val="0"/>
        <w:adjustRightInd w:val="0"/>
        <w:ind w:right="-1" w:firstLine="708"/>
        <w:jc w:val="both"/>
        <w:rPr>
          <w:rFonts w:asciiTheme="majorHAnsi" w:hAnsiTheme="majorHAnsi" w:cstheme="majorHAnsi"/>
          <w:color w:val="00000A"/>
          <w:szCs w:val="24"/>
        </w:rPr>
      </w:pPr>
    </w:p>
    <w:p w14:paraId="187D2EF1" w14:textId="77777777" w:rsidR="00D3608B" w:rsidRPr="00EA16B0" w:rsidRDefault="00D3608B" w:rsidP="00D3608B">
      <w:pPr>
        <w:tabs>
          <w:tab w:val="clear" w:pos="1615"/>
        </w:tabs>
        <w:autoSpaceDE w:val="0"/>
        <w:autoSpaceDN w:val="0"/>
        <w:adjustRightInd w:val="0"/>
        <w:spacing w:after="0"/>
        <w:ind w:left="2268" w:right="849"/>
        <w:jc w:val="both"/>
        <w:rPr>
          <w:rFonts w:asciiTheme="majorHAnsi" w:hAnsiTheme="majorHAnsi" w:cstheme="majorHAnsi"/>
          <w:color w:val="000000"/>
          <w:sz w:val="20"/>
          <w:szCs w:val="20"/>
        </w:rPr>
      </w:pPr>
      <w:r w:rsidRPr="00EA16B0">
        <w:rPr>
          <w:rFonts w:asciiTheme="majorHAnsi" w:hAnsiTheme="majorHAnsi" w:cstheme="majorHAnsi"/>
          <w:b/>
          <w:bCs/>
          <w:color w:val="000000"/>
          <w:sz w:val="20"/>
          <w:szCs w:val="20"/>
        </w:rPr>
        <w:t>Art. 7</w:t>
      </w:r>
      <w:r w:rsidRPr="00EA16B0">
        <w:rPr>
          <w:rFonts w:asciiTheme="majorHAnsi" w:hAnsiTheme="majorHAnsi" w:cstheme="majorHAnsi"/>
        </w:rPr>
        <w:t>.</w:t>
      </w:r>
      <w:r w:rsidRPr="00EA16B0">
        <w:rPr>
          <w:rFonts w:asciiTheme="majorHAnsi" w:hAnsiTheme="majorHAnsi" w:cstheme="majorHAnsi"/>
          <w:b/>
          <w:bCs/>
          <w:vertAlign w:val="superscript"/>
        </w:rPr>
        <w:t>o</w:t>
      </w:r>
      <w:r w:rsidRPr="00EA16B0">
        <w:rPr>
          <w:rFonts w:asciiTheme="majorHAnsi" w:hAnsiTheme="majorHAnsi" w:cstheme="majorHAnsi"/>
          <w:bCs/>
          <w:color w:val="000000"/>
          <w:sz w:val="20"/>
          <w:szCs w:val="20"/>
        </w:rPr>
        <w:t xml:space="preserve"> </w:t>
      </w:r>
      <w:r w:rsidRPr="00EA16B0">
        <w:rPr>
          <w:rFonts w:asciiTheme="majorHAnsi" w:hAnsiTheme="majorHAnsi" w:cstheme="majorHAnsi"/>
          <w:color w:val="000000"/>
          <w:sz w:val="20"/>
          <w:szCs w:val="20"/>
        </w:rPr>
        <w:t>As Universidades, instituições pluridisciplinares de formação dos quadros profissionais de nível superior, de pesquisa, de extensão e de domínio e cultivo do saber humano, caracterizam-se por:</w:t>
      </w:r>
    </w:p>
    <w:p w14:paraId="157E9D0F" w14:textId="77777777" w:rsidR="00D3608B" w:rsidRPr="00EA16B0" w:rsidRDefault="00D3608B" w:rsidP="00D3608B">
      <w:pPr>
        <w:tabs>
          <w:tab w:val="clear" w:pos="1615"/>
        </w:tabs>
        <w:autoSpaceDE w:val="0"/>
        <w:autoSpaceDN w:val="0"/>
        <w:adjustRightInd w:val="0"/>
        <w:spacing w:after="0"/>
        <w:ind w:left="2694" w:right="849" w:hanging="426"/>
        <w:jc w:val="both"/>
        <w:rPr>
          <w:rFonts w:asciiTheme="majorHAnsi" w:hAnsiTheme="majorHAnsi" w:cstheme="majorHAnsi"/>
          <w:color w:val="00000A"/>
          <w:sz w:val="20"/>
          <w:szCs w:val="20"/>
        </w:rPr>
      </w:pPr>
      <w:r w:rsidRPr="00EA16B0">
        <w:rPr>
          <w:rFonts w:asciiTheme="majorHAnsi" w:hAnsiTheme="majorHAnsi" w:cstheme="majorHAnsi"/>
          <w:color w:val="00000A"/>
          <w:sz w:val="20"/>
          <w:szCs w:val="20"/>
        </w:rPr>
        <w:t xml:space="preserve">I – </w:t>
      </w:r>
      <w:proofErr w:type="gramStart"/>
      <w:r w:rsidRPr="00EA16B0">
        <w:rPr>
          <w:rFonts w:asciiTheme="majorHAnsi" w:hAnsiTheme="majorHAnsi" w:cstheme="majorHAnsi"/>
          <w:color w:val="00000A"/>
          <w:sz w:val="20"/>
          <w:szCs w:val="20"/>
        </w:rPr>
        <w:t>indissociabilidade</w:t>
      </w:r>
      <w:proofErr w:type="gramEnd"/>
      <w:r w:rsidRPr="00EA16B0">
        <w:rPr>
          <w:rFonts w:asciiTheme="majorHAnsi" w:hAnsiTheme="majorHAnsi" w:cstheme="majorHAnsi"/>
          <w:color w:val="00000A"/>
          <w:sz w:val="20"/>
          <w:szCs w:val="20"/>
        </w:rPr>
        <w:t xml:space="preserve"> das atividades de ensino, pesquisa e extensão;</w:t>
      </w:r>
    </w:p>
    <w:p w14:paraId="355C0332" w14:textId="77777777" w:rsidR="00D3608B" w:rsidRPr="00EA16B0" w:rsidRDefault="00D3608B" w:rsidP="00D3608B">
      <w:pPr>
        <w:tabs>
          <w:tab w:val="clear" w:pos="1615"/>
        </w:tabs>
        <w:autoSpaceDE w:val="0"/>
        <w:autoSpaceDN w:val="0"/>
        <w:adjustRightInd w:val="0"/>
        <w:spacing w:after="0"/>
        <w:ind w:left="2410" w:right="849" w:hanging="142"/>
        <w:jc w:val="both"/>
        <w:rPr>
          <w:rFonts w:asciiTheme="majorHAnsi" w:hAnsiTheme="majorHAnsi" w:cstheme="majorHAnsi"/>
          <w:color w:val="00000A"/>
          <w:sz w:val="20"/>
          <w:szCs w:val="20"/>
        </w:rPr>
      </w:pPr>
      <w:r w:rsidRPr="00EA16B0">
        <w:rPr>
          <w:rFonts w:asciiTheme="majorHAnsi" w:hAnsiTheme="majorHAnsi" w:cstheme="majorHAnsi"/>
          <w:color w:val="00000A"/>
          <w:sz w:val="20"/>
          <w:szCs w:val="20"/>
        </w:rPr>
        <w:t xml:space="preserve">II – </w:t>
      </w:r>
      <w:proofErr w:type="gramStart"/>
      <w:r w:rsidRPr="00EA16B0">
        <w:rPr>
          <w:rFonts w:asciiTheme="majorHAnsi" w:hAnsiTheme="majorHAnsi" w:cstheme="majorHAnsi"/>
          <w:color w:val="00000A"/>
          <w:sz w:val="20"/>
          <w:szCs w:val="20"/>
        </w:rPr>
        <w:t>produção</w:t>
      </w:r>
      <w:proofErr w:type="gramEnd"/>
      <w:r w:rsidRPr="00EA16B0">
        <w:rPr>
          <w:rFonts w:asciiTheme="majorHAnsi" w:hAnsiTheme="majorHAnsi" w:cstheme="majorHAnsi"/>
          <w:color w:val="00000A"/>
          <w:sz w:val="20"/>
          <w:szCs w:val="20"/>
        </w:rPr>
        <w:t xml:space="preserve"> intelectual institucionalizada, mediante o estudo sistemático dos temas e problemas mais relevantes, tanto do ponto de vista científico e cultural, quanto regional e nacional;</w:t>
      </w:r>
    </w:p>
    <w:p w14:paraId="25F3583A" w14:textId="77777777" w:rsidR="00D3608B" w:rsidRPr="00EA16B0" w:rsidRDefault="00D3608B" w:rsidP="00D3608B">
      <w:pPr>
        <w:tabs>
          <w:tab w:val="clear" w:pos="1615"/>
        </w:tabs>
        <w:autoSpaceDE w:val="0"/>
        <w:autoSpaceDN w:val="0"/>
        <w:adjustRightInd w:val="0"/>
        <w:spacing w:after="0"/>
        <w:ind w:left="2552" w:right="849" w:hanging="284"/>
        <w:jc w:val="both"/>
        <w:rPr>
          <w:rFonts w:asciiTheme="majorHAnsi" w:hAnsiTheme="majorHAnsi" w:cstheme="majorHAnsi"/>
          <w:color w:val="00000A"/>
          <w:sz w:val="20"/>
          <w:szCs w:val="20"/>
        </w:rPr>
      </w:pPr>
      <w:r w:rsidRPr="00EA16B0">
        <w:rPr>
          <w:rFonts w:asciiTheme="majorHAnsi" w:hAnsiTheme="majorHAnsi" w:cstheme="majorHAnsi"/>
          <w:color w:val="00000A"/>
          <w:sz w:val="20"/>
          <w:szCs w:val="20"/>
        </w:rPr>
        <w:t xml:space="preserve">III – corpo docente com titulação obtida em programas de pós-graduação </w:t>
      </w:r>
      <w:r w:rsidRPr="00EA16B0">
        <w:rPr>
          <w:rFonts w:asciiTheme="majorHAnsi" w:hAnsiTheme="majorHAnsi" w:cstheme="majorHAnsi"/>
          <w:i/>
          <w:iCs/>
          <w:color w:val="00000A"/>
          <w:sz w:val="20"/>
          <w:szCs w:val="20"/>
        </w:rPr>
        <w:t>stricto sensu</w:t>
      </w:r>
      <w:r w:rsidRPr="00EA16B0">
        <w:rPr>
          <w:rFonts w:asciiTheme="majorHAnsi" w:hAnsiTheme="majorHAnsi" w:cstheme="majorHAnsi"/>
          <w:color w:val="00000A"/>
          <w:sz w:val="20"/>
          <w:szCs w:val="20"/>
        </w:rPr>
        <w:t>, de, no mínimo, 33% (trinta e três por cento) do total;</w:t>
      </w:r>
    </w:p>
    <w:p w14:paraId="038C725B" w14:textId="77777777" w:rsidR="00D3608B" w:rsidRPr="00EA16B0" w:rsidRDefault="00D3608B" w:rsidP="00D3608B">
      <w:pPr>
        <w:tabs>
          <w:tab w:val="clear" w:pos="1615"/>
        </w:tabs>
        <w:autoSpaceDE w:val="0"/>
        <w:autoSpaceDN w:val="0"/>
        <w:adjustRightInd w:val="0"/>
        <w:spacing w:after="0"/>
        <w:ind w:left="2552" w:right="849" w:hanging="284"/>
        <w:jc w:val="both"/>
        <w:rPr>
          <w:rFonts w:asciiTheme="majorHAnsi" w:hAnsiTheme="majorHAnsi" w:cstheme="majorHAnsi"/>
          <w:color w:val="00000A"/>
          <w:sz w:val="20"/>
          <w:szCs w:val="20"/>
        </w:rPr>
      </w:pPr>
      <w:r w:rsidRPr="00EA16B0">
        <w:rPr>
          <w:rFonts w:asciiTheme="majorHAnsi" w:hAnsiTheme="majorHAnsi" w:cstheme="majorHAnsi"/>
          <w:color w:val="00000A"/>
          <w:sz w:val="20"/>
          <w:szCs w:val="20"/>
        </w:rPr>
        <w:t xml:space="preserve">IV – </w:t>
      </w:r>
      <w:proofErr w:type="gramStart"/>
      <w:r w:rsidRPr="00EA16B0">
        <w:rPr>
          <w:rFonts w:asciiTheme="majorHAnsi" w:hAnsiTheme="majorHAnsi" w:cstheme="majorHAnsi"/>
          <w:color w:val="00000A"/>
          <w:sz w:val="20"/>
          <w:szCs w:val="20"/>
        </w:rPr>
        <w:t>corpo</w:t>
      </w:r>
      <w:proofErr w:type="gramEnd"/>
      <w:r w:rsidRPr="00EA16B0">
        <w:rPr>
          <w:rFonts w:asciiTheme="majorHAnsi" w:hAnsiTheme="majorHAnsi" w:cstheme="majorHAnsi"/>
          <w:color w:val="00000A"/>
          <w:sz w:val="20"/>
          <w:szCs w:val="20"/>
        </w:rPr>
        <w:t xml:space="preserve"> docente em regime de tempo integral de, no mínimo, 33% (trinta e três por cento) do total;</w:t>
      </w:r>
    </w:p>
    <w:p w14:paraId="3E0BB2E6" w14:textId="77777777" w:rsidR="00D3608B" w:rsidRPr="00EA16B0" w:rsidRDefault="00D3608B" w:rsidP="00D3608B">
      <w:pPr>
        <w:tabs>
          <w:tab w:val="clear" w:pos="1615"/>
        </w:tabs>
        <w:autoSpaceDE w:val="0"/>
        <w:autoSpaceDN w:val="0"/>
        <w:adjustRightInd w:val="0"/>
        <w:spacing w:after="0"/>
        <w:ind w:left="2552" w:right="849" w:hanging="284"/>
        <w:jc w:val="both"/>
        <w:rPr>
          <w:rFonts w:asciiTheme="majorHAnsi" w:hAnsiTheme="majorHAnsi" w:cstheme="majorHAnsi"/>
          <w:color w:val="000000"/>
          <w:sz w:val="20"/>
          <w:szCs w:val="20"/>
        </w:rPr>
      </w:pPr>
      <w:r w:rsidRPr="00EA16B0">
        <w:rPr>
          <w:rFonts w:asciiTheme="majorHAnsi" w:hAnsiTheme="majorHAnsi" w:cstheme="majorHAnsi"/>
          <w:color w:val="00000A"/>
          <w:sz w:val="20"/>
          <w:szCs w:val="20"/>
        </w:rPr>
        <w:t xml:space="preserve">V – </w:t>
      </w:r>
      <w:proofErr w:type="gramStart"/>
      <w:r w:rsidRPr="00EA16B0">
        <w:rPr>
          <w:rFonts w:asciiTheme="majorHAnsi" w:hAnsiTheme="majorHAnsi" w:cstheme="majorHAnsi"/>
          <w:color w:val="00000A"/>
          <w:sz w:val="20"/>
          <w:szCs w:val="20"/>
        </w:rPr>
        <w:t>p</w:t>
      </w:r>
      <w:r w:rsidRPr="00EA16B0">
        <w:rPr>
          <w:rFonts w:asciiTheme="majorHAnsi" w:hAnsiTheme="majorHAnsi" w:cstheme="majorHAnsi"/>
          <w:color w:val="000000"/>
          <w:sz w:val="20"/>
          <w:szCs w:val="20"/>
        </w:rPr>
        <w:t>ropostas</w:t>
      </w:r>
      <w:proofErr w:type="gramEnd"/>
      <w:r w:rsidRPr="00EA16B0">
        <w:rPr>
          <w:rFonts w:asciiTheme="majorHAnsi" w:hAnsiTheme="majorHAnsi" w:cstheme="majorHAnsi"/>
          <w:color w:val="000000"/>
          <w:sz w:val="20"/>
          <w:szCs w:val="20"/>
        </w:rPr>
        <w:t xml:space="preserve"> curriculares que contemplem as diversas áreas do conhecimento;</w:t>
      </w:r>
    </w:p>
    <w:p w14:paraId="61DAF0FA" w14:textId="77777777" w:rsidR="00D3608B" w:rsidRPr="00EA16B0" w:rsidRDefault="00D3608B" w:rsidP="00D3608B">
      <w:pPr>
        <w:tabs>
          <w:tab w:val="clear" w:pos="1615"/>
        </w:tabs>
        <w:autoSpaceDE w:val="0"/>
        <w:autoSpaceDN w:val="0"/>
        <w:adjustRightInd w:val="0"/>
        <w:spacing w:after="0"/>
        <w:ind w:left="2552" w:right="849" w:hanging="284"/>
        <w:jc w:val="both"/>
        <w:rPr>
          <w:rFonts w:asciiTheme="majorHAnsi" w:hAnsiTheme="majorHAnsi" w:cstheme="majorHAnsi"/>
          <w:color w:val="000000"/>
          <w:sz w:val="20"/>
          <w:szCs w:val="20"/>
        </w:rPr>
      </w:pPr>
      <w:r w:rsidRPr="00EA16B0">
        <w:rPr>
          <w:rFonts w:asciiTheme="majorHAnsi" w:hAnsiTheme="majorHAnsi" w:cstheme="majorHAnsi"/>
          <w:color w:val="000000"/>
          <w:sz w:val="20"/>
          <w:szCs w:val="20"/>
        </w:rPr>
        <w:t xml:space="preserve">VI </w:t>
      </w:r>
      <w:r w:rsidRPr="00EA16B0">
        <w:rPr>
          <w:rFonts w:asciiTheme="majorHAnsi" w:hAnsiTheme="majorHAnsi" w:cstheme="majorHAnsi"/>
          <w:color w:val="00000A"/>
          <w:sz w:val="20"/>
          <w:szCs w:val="20"/>
        </w:rPr>
        <w:t>–</w:t>
      </w:r>
      <w:r w:rsidRPr="00EA16B0">
        <w:rPr>
          <w:rFonts w:asciiTheme="majorHAnsi" w:hAnsiTheme="majorHAnsi" w:cstheme="majorHAnsi"/>
          <w:color w:val="000000"/>
          <w:sz w:val="20"/>
          <w:szCs w:val="20"/>
        </w:rPr>
        <w:t xml:space="preserve"> </w:t>
      </w:r>
      <w:proofErr w:type="gramStart"/>
      <w:r w:rsidRPr="00EA16B0">
        <w:rPr>
          <w:rFonts w:asciiTheme="majorHAnsi" w:hAnsiTheme="majorHAnsi" w:cstheme="majorHAnsi"/>
          <w:color w:val="000000"/>
          <w:sz w:val="20"/>
          <w:szCs w:val="20"/>
        </w:rPr>
        <w:t>oferta</w:t>
      </w:r>
      <w:proofErr w:type="gramEnd"/>
      <w:r w:rsidRPr="00EA16B0">
        <w:rPr>
          <w:rFonts w:asciiTheme="majorHAnsi" w:hAnsiTheme="majorHAnsi" w:cstheme="majorHAnsi"/>
          <w:color w:val="000000"/>
          <w:sz w:val="20"/>
          <w:szCs w:val="20"/>
        </w:rPr>
        <w:t xml:space="preserve"> regular de, no mínimo, 4 (quatro) cursos de mestrado e 2 (dois) de doutorado reconhecidos pelo Sistema Federal de Ensino, nos termos da legislação vigente.</w:t>
      </w:r>
    </w:p>
    <w:p w14:paraId="275B9557" w14:textId="77777777" w:rsidR="00D3608B" w:rsidRPr="00EA16B0" w:rsidRDefault="00D3608B" w:rsidP="00D3608B">
      <w:pPr>
        <w:tabs>
          <w:tab w:val="clear" w:pos="1615"/>
        </w:tabs>
        <w:autoSpaceDE w:val="0"/>
        <w:autoSpaceDN w:val="0"/>
        <w:adjustRightInd w:val="0"/>
        <w:spacing w:after="0"/>
        <w:ind w:left="2268" w:right="849"/>
        <w:jc w:val="both"/>
        <w:rPr>
          <w:rFonts w:asciiTheme="majorHAnsi" w:hAnsiTheme="majorHAnsi" w:cstheme="majorHAnsi"/>
          <w:color w:val="00000A"/>
          <w:spacing w:val="-2"/>
          <w:sz w:val="20"/>
          <w:szCs w:val="20"/>
        </w:rPr>
      </w:pPr>
      <w:r w:rsidRPr="00EA16B0">
        <w:rPr>
          <w:rFonts w:asciiTheme="majorHAnsi" w:hAnsiTheme="majorHAnsi" w:cstheme="majorHAnsi"/>
          <w:color w:val="00000A"/>
          <w:spacing w:val="-2"/>
          <w:sz w:val="20"/>
          <w:szCs w:val="20"/>
        </w:rPr>
        <w:t>Parágrafo único. As Universidades gozam de autonomia, nos termos da Constituição Federal.</w:t>
      </w:r>
    </w:p>
    <w:p w14:paraId="7F7D015E" w14:textId="77777777" w:rsidR="00D3608B" w:rsidRPr="00EA16B0" w:rsidRDefault="00D3608B" w:rsidP="00D3608B">
      <w:pPr>
        <w:tabs>
          <w:tab w:val="clear" w:pos="1615"/>
        </w:tabs>
        <w:autoSpaceDE w:val="0"/>
        <w:autoSpaceDN w:val="0"/>
        <w:adjustRightInd w:val="0"/>
        <w:spacing w:after="0"/>
        <w:ind w:left="2268" w:right="849"/>
        <w:jc w:val="both"/>
        <w:rPr>
          <w:rFonts w:asciiTheme="majorHAnsi" w:hAnsiTheme="majorHAnsi" w:cstheme="majorHAnsi"/>
          <w:color w:val="00000A"/>
          <w:sz w:val="20"/>
          <w:szCs w:val="20"/>
        </w:rPr>
      </w:pPr>
    </w:p>
    <w:p w14:paraId="79AA8063" w14:textId="77777777" w:rsidR="00D3608B" w:rsidRPr="00EA16B0" w:rsidRDefault="00D3608B" w:rsidP="00D3608B">
      <w:pPr>
        <w:tabs>
          <w:tab w:val="clear" w:pos="1615"/>
        </w:tabs>
        <w:autoSpaceDE w:val="0"/>
        <w:autoSpaceDN w:val="0"/>
        <w:adjustRightInd w:val="0"/>
        <w:spacing w:after="60"/>
        <w:ind w:left="2268" w:right="849"/>
        <w:jc w:val="both"/>
        <w:rPr>
          <w:rFonts w:asciiTheme="majorHAnsi" w:hAnsiTheme="majorHAnsi" w:cstheme="majorHAnsi"/>
          <w:color w:val="000000"/>
          <w:sz w:val="20"/>
          <w:szCs w:val="20"/>
        </w:rPr>
      </w:pPr>
      <w:bookmarkStart w:id="36" w:name="art52i"/>
      <w:bookmarkEnd w:id="36"/>
      <w:r w:rsidRPr="00EA16B0">
        <w:rPr>
          <w:rFonts w:asciiTheme="majorHAnsi" w:hAnsiTheme="majorHAnsi" w:cstheme="majorHAnsi"/>
          <w:b/>
          <w:bCs/>
          <w:color w:val="000000"/>
          <w:sz w:val="20"/>
          <w:szCs w:val="20"/>
        </w:rPr>
        <w:t>Art. 8</w:t>
      </w:r>
      <w:r w:rsidRPr="00EA16B0">
        <w:rPr>
          <w:rFonts w:asciiTheme="majorHAnsi" w:hAnsiTheme="majorHAnsi" w:cstheme="majorHAnsi"/>
        </w:rPr>
        <w:t>.</w:t>
      </w:r>
      <w:r w:rsidRPr="00EA16B0">
        <w:rPr>
          <w:rFonts w:asciiTheme="majorHAnsi" w:hAnsiTheme="majorHAnsi" w:cstheme="majorHAnsi"/>
          <w:b/>
          <w:bCs/>
          <w:vertAlign w:val="superscript"/>
        </w:rPr>
        <w:t>o</w:t>
      </w:r>
      <w:r w:rsidRPr="00EA16B0" w:rsidDel="005A2EF2">
        <w:rPr>
          <w:rFonts w:asciiTheme="majorHAnsi" w:hAnsiTheme="majorHAnsi" w:cstheme="majorHAnsi"/>
          <w:b/>
          <w:bCs/>
          <w:color w:val="000000"/>
          <w:sz w:val="20"/>
          <w:szCs w:val="20"/>
        </w:rPr>
        <w:t xml:space="preserve"> </w:t>
      </w:r>
      <w:r w:rsidRPr="00EA16B0">
        <w:rPr>
          <w:rFonts w:asciiTheme="majorHAnsi" w:hAnsiTheme="majorHAnsi" w:cstheme="majorHAnsi"/>
          <w:color w:val="000000"/>
          <w:sz w:val="20"/>
          <w:szCs w:val="20"/>
        </w:rPr>
        <w:t xml:space="preserve">As Universidades podem organizar-se na forma </w:t>
      </w:r>
      <w:proofErr w:type="spellStart"/>
      <w:r w:rsidRPr="00EA16B0">
        <w:rPr>
          <w:rFonts w:asciiTheme="majorHAnsi" w:hAnsiTheme="majorHAnsi" w:cstheme="majorHAnsi"/>
          <w:color w:val="000000"/>
          <w:sz w:val="20"/>
          <w:szCs w:val="20"/>
        </w:rPr>
        <w:t>multicampi</w:t>
      </w:r>
      <w:proofErr w:type="spellEnd"/>
      <w:r w:rsidRPr="00EA16B0">
        <w:rPr>
          <w:rFonts w:asciiTheme="majorHAnsi" w:hAnsiTheme="majorHAnsi" w:cstheme="majorHAnsi"/>
          <w:color w:val="000000"/>
          <w:sz w:val="20"/>
          <w:szCs w:val="20"/>
        </w:rPr>
        <w:t>.</w:t>
      </w:r>
    </w:p>
    <w:p w14:paraId="1D0C3EF1" w14:textId="77777777" w:rsidR="00D3608B" w:rsidRPr="00EA16B0" w:rsidRDefault="00D3608B" w:rsidP="00D3608B">
      <w:pPr>
        <w:tabs>
          <w:tab w:val="clear" w:pos="1615"/>
        </w:tabs>
        <w:autoSpaceDE w:val="0"/>
        <w:autoSpaceDN w:val="0"/>
        <w:adjustRightInd w:val="0"/>
        <w:spacing w:after="60"/>
        <w:ind w:left="2268" w:right="849"/>
        <w:jc w:val="both"/>
        <w:rPr>
          <w:rFonts w:asciiTheme="majorHAnsi" w:hAnsiTheme="majorHAnsi" w:cstheme="majorHAnsi"/>
          <w:color w:val="00000A"/>
          <w:sz w:val="20"/>
          <w:szCs w:val="20"/>
        </w:rPr>
      </w:pPr>
      <w:r w:rsidRPr="00EA16B0">
        <w:rPr>
          <w:rFonts w:asciiTheme="majorHAnsi" w:hAnsiTheme="majorHAnsi" w:cstheme="majorHAnsi"/>
          <w:color w:val="00000A"/>
          <w:sz w:val="20"/>
          <w:szCs w:val="20"/>
        </w:rPr>
        <w:t>§ 1</w:t>
      </w:r>
      <w:r w:rsidRPr="00EA16B0">
        <w:rPr>
          <w:rFonts w:asciiTheme="majorHAnsi" w:hAnsiTheme="majorHAnsi" w:cstheme="majorHAnsi"/>
        </w:rPr>
        <w:t>.</w:t>
      </w:r>
      <w:r w:rsidRPr="00EA16B0">
        <w:rPr>
          <w:rFonts w:asciiTheme="majorHAnsi" w:hAnsiTheme="majorHAnsi" w:cstheme="majorHAnsi"/>
          <w:b/>
          <w:bCs/>
          <w:vertAlign w:val="superscript"/>
        </w:rPr>
        <w:t>o</w:t>
      </w:r>
      <w:r w:rsidRPr="00EA16B0">
        <w:rPr>
          <w:rFonts w:asciiTheme="majorHAnsi" w:hAnsiTheme="majorHAnsi" w:cstheme="majorHAnsi"/>
          <w:color w:val="00000A"/>
          <w:sz w:val="20"/>
          <w:szCs w:val="20"/>
        </w:rPr>
        <w:t xml:space="preserve"> Considera-se como </w:t>
      </w:r>
      <w:r w:rsidRPr="00EA16B0">
        <w:rPr>
          <w:rFonts w:asciiTheme="majorHAnsi" w:hAnsiTheme="majorHAnsi" w:cstheme="majorHAnsi"/>
          <w:i/>
          <w:iCs/>
          <w:color w:val="00000A"/>
          <w:sz w:val="20"/>
          <w:szCs w:val="20"/>
        </w:rPr>
        <w:t xml:space="preserve">campus </w:t>
      </w:r>
      <w:r w:rsidRPr="00EA16B0">
        <w:rPr>
          <w:rFonts w:asciiTheme="majorHAnsi" w:hAnsiTheme="majorHAnsi" w:cstheme="majorHAnsi"/>
          <w:color w:val="00000A"/>
          <w:sz w:val="20"/>
          <w:szCs w:val="20"/>
        </w:rPr>
        <w:t>sede o local central de funcionamento da instituição, circunscrito aos limites do Distrito Federal, incluindo os órgãos administrativos e acadêmicos centrais, a oferta dos cursos e demais atividades educacionais.</w:t>
      </w:r>
    </w:p>
    <w:p w14:paraId="79D76975" w14:textId="77777777" w:rsidR="00D3608B" w:rsidRPr="00EA16B0" w:rsidRDefault="00D3608B" w:rsidP="00D3608B">
      <w:pPr>
        <w:tabs>
          <w:tab w:val="clear" w:pos="1615"/>
        </w:tabs>
        <w:autoSpaceDE w:val="0"/>
        <w:autoSpaceDN w:val="0"/>
        <w:adjustRightInd w:val="0"/>
        <w:spacing w:after="60"/>
        <w:ind w:left="2268" w:right="849"/>
        <w:jc w:val="both"/>
        <w:rPr>
          <w:rFonts w:asciiTheme="majorHAnsi" w:hAnsiTheme="majorHAnsi" w:cstheme="majorHAnsi"/>
          <w:color w:val="000000"/>
          <w:sz w:val="20"/>
          <w:szCs w:val="20"/>
        </w:rPr>
      </w:pPr>
      <w:r w:rsidRPr="00EA16B0">
        <w:rPr>
          <w:rFonts w:asciiTheme="majorHAnsi" w:hAnsiTheme="majorHAnsi" w:cstheme="majorHAnsi"/>
          <w:color w:val="000000"/>
          <w:sz w:val="20"/>
          <w:szCs w:val="20"/>
        </w:rPr>
        <w:t>§ 2</w:t>
      </w:r>
      <w:r w:rsidRPr="00EA16B0">
        <w:rPr>
          <w:rFonts w:asciiTheme="majorHAnsi" w:hAnsiTheme="majorHAnsi" w:cstheme="majorHAnsi"/>
        </w:rPr>
        <w:t>.</w:t>
      </w:r>
      <w:r w:rsidRPr="00EA16B0">
        <w:rPr>
          <w:rFonts w:asciiTheme="majorHAnsi" w:hAnsiTheme="majorHAnsi" w:cstheme="majorHAnsi"/>
          <w:b/>
          <w:bCs/>
          <w:vertAlign w:val="superscript"/>
        </w:rPr>
        <w:t>o</w:t>
      </w:r>
      <w:r w:rsidRPr="00EA16B0" w:rsidDel="005A2EF2">
        <w:rPr>
          <w:rFonts w:asciiTheme="majorHAnsi" w:hAnsiTheme="majorHAnsi" w:cstheme="majorHAnsi"/>
          <w:color w:val="000000"/>
          <w:sz w:val="20"/>
          <w:szCs w:val="20"/>
        </w:rPr>
        <w:t xml:space="preserve"> </w:t>
      </w:r>
      <w:r w:rsidRPr="00EA16B0">
        <w:rPr>
          <w:rFonts w:asciiTheme="majorHAnsi" w:hAnsiTheme="majorHAnsi" w:cstheme="majorHAnsi"/>
          <w:color w:val="000000"/>
          <w:sz w:val="20"/>
          <w:szCs w:val="20"/>
        </w:rPr>
        <w:t xml:space="preserve">Considera-se </w:t>
      </w:r>
      <w:r w:rsidRPr="00EA16B0">
        <w:rPr>
          <w:rFonts w:asciiTheme="majorHAnsi" w:hAnsiTheme="majorHAnsi" w:cstheme="majorHAnsi"/>
          <w:i/>
          <w:iCs/>
          <w:color w:val="000000"/>
          <w:sz w:val="20"/>
          <w:szCs w:val="20"/>
        </w:rPr>
        <w:t xml:space="preserve">campus </w:t>
      </w:r>
      <w:r w:rsidRPr="00EA16B0">
        <w:rPr>
          <w:rFonts w:asciiTheme="majorHAnsi" w:hAnsiTheme="majorHAnsi" w:cstheme="majorHAnsi"/>
          <w:color w:val="000000"/>
          <w:sz w:val="20"/>
          <w:szCs w:val="20"/>
        </w:rPr>
        <w:t>fora da sede as unidades educacionais em outros locais de funcionamento da instituição nos limites do Distrito Federal.</w:t>
      </w:r>
    </w:p>
    <w:p w14:paraId="57F59966" w14:textId="099C20F8" w:rsidR="00D3608B" w:rsidRPr="00EA16B0" w:rsidRDefault="00D3608B" w:rsidP="00D3608B">
      <w:pPr>
        <w:tabs>
          <w:tab w:val="clear" w:pos="1615"/>
        </w:tabs>
        <w:autoSpaceDE w:val="0"/>
        <w:autoSpaceDN w:val="0"/>
        <w:adjustRightInd w:val="0"/>
        <w:ind w:left="2268" w:right="851"/>
        <w:jc w:val="both"/>
        <w:rPr>
          <w:rFonts w:asciiTheme="majorHAnsi" w:hAnsiTheme="majorHAnsi" w:cstheme="majorHAnsi"/>
          <w:color w:val="000000"/>
          <w:sz w:val="20"/>
          <w:szCs w:val="20"/>
        </w:rPr>
      </w:pPr>
      <w:r w:rsidRPr="00EA16B0">
        <w:rPr>
          <w:rFonts w:asciiTheme="majorHAnsi" w:hAnsiTheme="majorHAnsi" w:cstheme="majorHAnsi"/>
          <w:color w:val="000000"/>
          <w:sz w:val="20"/>
          <w:szCs w:val="20"/>
        </w:rPr>
        <w:t>§ 3</w:t>
      </w:r>
      <w:r w:rsidRPr="00EA16B0">
        <w:rPr>
          <w:rFonts w:asciiTheme="majorHAnsi" w:hAnsiTheme="majorHAnsi" w:cstheme="majorHAnsi"/>
        </w:rPr>
        <w:t>.</w:t>
      </w:r>
      <w:r w:rsidRPr="00EA16B0">
        <w:rPr>
          <w:rFonts w:asciiTheme="majorHAnsi" w:hAnsiTheme="majorHAnsi" w:cstheme="majorHAnsi"/>
          <w:b/>
          <w:bCs/>
          <w:vertAlign w:val="superscript"/>
        </w:rPr>
        <w:t>o</w:t>
      </w:r>
      <w:r w:rsidRPr="00EA16B0" w:rsidDel="005A2EF2">
        <w:rPr>
          <w:rFonts w:asciiTheme="majorHAnsi" w:hAnsiTheme="majorHAnsi" w:cstheme="majorHAnsi"/>
          <w:color w:val="000000"/>
          <w:sz w:val="20"/>
          <w:szCs w:val="20"/>
        </w:rPr>
        <w:t xml:space="preserve"> </w:t>
      </w:r>
      <w:r w:rsidRPr="00EA16B0">
        <w:rPr>
          <w:rFonts w:asciiTheme="majorHAnsi" w:hAnsiTheme="majorHAnsi" w:cstheme="majorHAnsi"/>
          <w:color w:val="000000"/>
          <w:sz w:val="20"/>
          <w:szCs w:val="20"/>
        </w:rPr>
        <w:t xml:space="preserve">Os </w:t>
      </w:r>
      <w:r w:rsidRPr="00EA16B0">
        <w:rPr>
          <w:rFonts w:asciiTheme="majorHAnsi" w:hAnsiTheme="majorHAnsi" w:cstheme="majorHAnsi"/>
          <w:i/>
          <w:iCs/>
          <w:color w:val="000000"/>
          <w:sz w:val="20"/>
          <w:szCs w:val="20"/>
        </w:rPr>
        <w:t xml:space="preserve">campi </w:t>
      </w:r>
      <w:r w:rsidRPr="00EA16B0">
        <w:rPr>
          <w:rFonts w:asciiTheme="majorHAnsi" w:hAnsiTheme="majorHAnsi" w:cstheme="majorHAnsi"/>
          <w:color w:val="000000"/>
          <w:sz w:val="20"/>
          <w:szCs w:val="20"/>
        </w:rPr>
        <w:t>fora da sede, em outras Unidades da Federação, não fazem parte de Sistema de Ensino do Distrito Federal. (CEDF, 2017).</w:t>
      </w:r>
    </w:p>
    <w:p w14:paraId="45A9788D" w14:textId="77777777" w:rsidR="00390F44" w:rsidRPr="00EA16B0" w:rsidRDefault="00390F44" w:rsidP="00D3608B">
      <w:pPr>
        <w:tabs>
          <w:tab w:val="clear" w:pos="1615"/>
        </w:tabs>
        <w:autoSpaceDE w:val="0"/>
        <w:autoSpaceDN w:val="0"/>
        <w:adjustRightInd w:val="0"/>
        <w:ind w:left="2268" w:right="851"/>
        <w:jc w:val="both"/>
        <w:rPr>
          <w:rFonts w:asciiTheme="majorHAnsi" w:hAnsiTheme="majorHAnsi" w:cstheme="majorHAnsi"/>
          <w:color w:val="000000"/>
          <w:sz w:val="20"/>
          <w:szCs w:val="20"/>
        </w:rPr>
      </w:pPr>
    </w:p>
    <w:p w14:paraId="1BDA3C19" w14:textId="77777777" w:rsidR="00390F44" w:rsidRPr="00EA16B0" w:rsidRDefault="00390F44" w:rsidP="00D3608B">
      <w:pPr>
        <w:tabs>
          <w:tab w:val="clear" w:pos="1615"/>
        </w:tabs>
        <w:autoSpaceDE w:val="0"/>
        <w:autoSpaceDN w:val="0"/>
        <w:adjustRightInd w:val="0"/>
        <w:ind w:left="2268" w:right="851"/>
        <w:jc w:val="both"/>
        <w:rPr>
          <w:rFonts w:asciiTheme="majorHAnsi" w:hAnsiTheme="majorHAnsi" w:cstheme="majorHAnsi"/>
          <w:color w:val="000000"/>
          <w:sz w:val="20"/>
          <w:szCs w:val="20"/>
        </w:rPr>
      </w:pPr>
    </w:p>
    <w:p w14:paraId="040ACD7A" w14:textId="77777777" w:rsidR="00D3608B" w:rsidRPr="00EA16B0" w:rsidRDefault="00D3608B" w:rsidP="00390F44">
      <w:pPr>
        <w:tabs>
          <w:tab w:val="clear" w:pos="1615"/>
        </w:tabs>
        <w:autoSpaceDE w:val="0"/>
        <w:autoSpaceDN w:val="0"/>
        <w:adjustRightInd w:val="0"/>
        <w:spacing w:line="360" w:lineRule="auto"/>
        <w:ind w:firstLine="709"/>
        <w:jc w:val="both"/>
        <w:rPr>
          <w:rFonts w:asciiTheme="majorHAnsi" w:hAnsiTheme="majorHAnsi" w:cstheme="majorHAnsi"/>
          <w:color w:val="00000A"/>
          <w:sz w:val="24"/>
          <w:szCs w:val="28"/>
        </w:rPr>
      </w:pPr>
      <w:r w:rsidRPr="00EA16B0">
        <w:rPr>
          <w:rFonts w:asciiTheme="majorHAnsi" w:hAnsiTheme="majorHAnsi" w:cstheme="majorHAnsi"/>
          <w:color w:val="00000A"/>
          <w:sz w:val="24"/>
          <w:szCs w:val="28"/>
        </w:rPr>
        <w:lastRenderedPageBreak/>
        <w:t>No que diz respeito às características estabelecidas no Art. 7</w:t>
      </w:r>
      <w:r w:rsidRPr="00EA16B0">
        <w:rPr>
          <w:rFonts w:asciiTheme="majorHAnsi" w:hAnsiTheme="majorHAnsi" w:cstheme="majorHAnsi"/>
          <w:sz w:val="24"/>
          <w:szCs w:val="24"/>
        </w:rPr>
        <w:t>.</w:t>
      </w:r>
      <w:r w:rsidRPr="00EA16B0">
        <w:rPr>
          <w:rFonts w:asciiTheme="majorHAnsi" w:hAnsiTheme="majorHAnsi" w:cstheme="majorHAnsi"/>
          <w:b/>
          <w:bCs/>
          <w:sz w:val="24"/>
          <w:szCs w:val="24"/>
          <w:vertAlign w:val="superscript"/>
        </w:rPr>
        <w:t>o</w:t>
      </w:r>
      <w:r w:rsidRPr="00EA16B0">
        <w:rPr>
          <w:rFonts w:asciiTheme="majorHAnsi" w:hAnsiTheme="majorHAnsi" w:cstheme="majorHAnsi"/>
          <w:color w:val="00000A"/>
          <w:sz w:val="24"/>
          <w:szCs w:val="28"/>
        </w:rPr>
        <w:t>, o inciso I reproduz preceito constitucional e os incisos II, III e IV, o art. 52 da LDB. Entretanto, ao transcrever a quantidade mínima de docentes titulados e em regime de dedicação integral, transforma a fração mínima estabelecida na LDB (1/3) em percentual (33%), o que não atende totalmente à norma legal, já que esse percentual deveria ter sido arredondado a maior (34%) por tratar-se de mínimo necessário (33,3%). Caso não haja modificação da redação da Resolução n. 2/2017 do CEDF, seria interessante se atentar para o fato citado, evitando qualquer tipo de situação que possa colocar em risco o credenciamento obtido.</w:t>
      </w:r>
    </w:p>
    <w:p w14:paraId="2D79789E" w14:textId="77777777" w:rsidR="00D3608B" w:rsidRPr="00EA16B0" w:rsidRDefault="00D3608B" w:rsidP="00390F44">
      <w:pPr>
        <w:tabs>
          <w:tab w:val="clear" w:pos="1615"/>
        </w:tabs>
        <w:autoSpaceDE w:val="0"/>
        <w:autoSpaceDN w:val="0"/>
        <w:adjustRightInd w:val="0"/>
        <w:spacing w:line="360" w:lineRule="auto"/>
        <w:ind w:firstLine="709"/>
        <w:jc w:val="both"/>
        <w:rPr>
          <w:rFonts w:asciiTheme="majorHAnsi" w:hAnsiTheme="majorHAnsi" w:cstheme="majorHAnsi"/>
          <w:color w:val="00000A"/>
          <w:sz w:val="24"/>
          <w:szCs w:val="28"/>
        </w:rPr>
      </w:pPr>
      <w:r w:rsidRPr="00EA16B0">
        <w:rPr>
          <w:rFonts w:asciiTheme="majorHAnsi" w:hAnsiTheme="majorHAnsi" w:cstheme="majorHAnsi"/>
          <w:color w:val="00000A"/>
          <w:sz w:val="24"/>
          <w:szCs w:val="28"/>
        </w:rPr>
        <w:t xml:space="preserve">A existência de “propostas curriculares que contemplem as diversas áreas do conhecimento”, já em seu início pode ser considerada contemplada, já que, atualmente, a </w:t>
      </w:r>
      <w:proofErr w:type="spellStart"/>
      <w:r w:rsidRPr="00EA16B0">
        <w:rPr>
          <w:rFonts w:asciiTheme="majorHAnsi" w:hAnsiTheme="majorHAnsi" w:cstheme="majorHAnsi"/>
          <w:color w:val="00000A"/>
          <w:sz w:val="24"/>
          <w:szCs w:val="28"/>
        </w:rPr>
        <w:t>UnDF</w:t>
      </w:r>
      <w:proofErr w:type="spellEnd"/>
      <w:r w:rsidRPr="00EA16B0">
        <w:rPr>
          <w:rFonts w:asciiTheme="majorHAnsi" w:hAnsiTheme="majorHAnsi" w:cstheme="majorHAnsi"/>
          <w:color w:val="00000A"/>
          <w:sz w:val="24"/>
          <w:szCs w:val="28"/>
        </w:rPr>
        <w:t xml:space="preserve"> conta com cursos na área da saúde e na área de gestão e pretende priorizar a oferta de cursos da área de Tecnologia e Computação em um primeiro momento, o que implicará no atendimento das três áreas clássicas de humanas, biológicas e exatas. Além disso, o PDI já preverá cursos que reforçarão essa diversificação e abrangência.</w:t>
      </w:r>
    </w:p>
    <w:p w14:paraId="28152130" w14:textId="77777777" w:rsidR="00D3608B" w:rsidRPr="00EA16B0" w:rsidRDefault="00D3608B" w:rsidP="00390F44">
      <w:pPr>
        <w:tabs>
          <w:tab w:val="clear" w:pos="1615"/>
        </w:tabs>
        <w:autoSpaceDE w:val="0"/>
        <w:autoSpaceDN w:val="0"/>
        <w:adjustRightInd w:val="0"/>
        <w:spacing w:line="360" w:lineRule="auto"/>
        <w:ind w:firstLine="709"/>
        <w:jc w:val="both"/>
        <w:rPr>
          <w:rFonts w:asciiTheme="majorHAnsi" w:hAnsiTheme="majorHAnsi" w:cstheme="majorHAnsi"/>
          <w:color w:val="00000A"/>
          <w:sz w:val="24"/>
          <w:szCs w:val="28"/>
        </w:rPr>
      </w:pPr>
      <w:r w:rsidRPr="00EA16B0">
        <w:rPr>
          <w:rFonts w:asciiTheme="majorHAnsi" w:hAnsiTheme="majorHAnsi" w:cstheme="majorHAnsi"/>
          <w:color w:val="00000A"/>
          <w:spacing w:val="-4"/>
          <w:sz w:val="24"/>
          <w:szCs w:val="28"/>
        </w:rPr>
        <w:t xml:space="preserve">A oferta de pós-graduação </w:t>
      </w:r>
      <w:r w:rsidRPr="00EA16B0">
        <w:rPr>
          <w:rFonts w:asciiTheme="majorHAnsi" w:hAnsiTheme="majorHAnsi" w:cstheme="majorHAnsi"/>
          <w:i/>
          <w:color w:val="00000A"/>
          <w:spacing w:val="-4"/>
          <w:sz w:val="24"/>
          <w:szCs w:val="28"/>
        </w:rPr>
        <w:t>lato</w:t>
      </w:r>
      <w:r w:rsidRPr="00EA16B0">
        <w:rPr>
          <w:rFonts w:asciiTheme="majorHAnsi" w:hAnsiTheme="majorHAnsi" w:cstheme="majorHAnsi"/>
          <w:color w:val="00000A"/>
          <w:spacing w:val="-4"/>
          <w:sz w:val="24"/>
          <w:szCs w:val="28"/>
        </w:rPr>
        <w:t xml:space="preserve"> e </w:t>
      </w:r>
      <w:r w:rsidRPr="00EA16B0">
        <w:rPr>
          <w:rFonts w:asciiTheme="majorHAnsi" w:hAnsiTheme="majorHAnsi" w:cstheme="majorHAnsi"/>
          <w:i/>
          <w:color w:val="00000A"/>
          <w:spacing w:val="-4"/>
          <w:sz w:val="24"/>
          <w:szCs w:val="28"/>
        </w:rPr>
        <w:t>stricto sensu</w:t>
      </w:r>
      <w:r w:rsidRPr="00EA16B0">
        <w:rPr>
          <w:rFonts w:asciiTheme="majorHAnsi" w:hAnsiTheme="majorHAnsi" w:cstheme="majorHAnsi"/>
          <w:color w:val="00000A"/>
          <w:spacing w:val="-4"/>
          <w:sz w:val="24"/>
          <w:szCs w:val="28"/>
        </w:rPr>
        <w:t xml:space="preserve"> já existe e, atualmente, contempla dois cursos de mestrado da própria</w:t>
      </w:r>
      <w:r w:rsidRPr="00EA16B0">
        <w:rPr>
          <w:rFonts w:asciiTheme="majorHAnsi" w:hAnsiTheme="majorHAnsi" w:cstheme="majorHAnsi"/>
          <w:color w:val="00000A"/>
          <w:sz w:val="24"/>
          <w:szCs w:val="28"/>
        </w:rPr>
        <w:t xml:space="preserve"> Instituição e um curso de mestrado profissional em parceria com a </w:t>
      </w:r>
      <w:r w:rsidRPr="00EA16B0">
        <w:rPr>
          <w:rFonts w:asciiTheme="majorHAnsi" w:hAnsiTheme="majorHAnsi" w:cstheme="majorHAnsi"/>
          <w:sz w:val="24"/>
          <w:szCs w:val="24"/>
        </w:rPr>
        <w:t>Associação Brasileira de Saúde Coletiva (</w:t>
      </w:r>
      <w:proofErr w:type="spellStart"/>
      <w:r w:rsidRPr="00EA16B0">
        <w:rPr>
          <w:rFonts w:asciiTheme="majorHAnsi" w:hAnsiTheme="majorHAnsi" w:cstheme="majorHAnsi"/>
          <w:sz w:val="24"/>
          <w:szCs w:val="24"/>
        </w:rPr>
        <w:t>Abrasco</w:t>
      </w:r>
      <w:proofErr w:type="spellEnd"/>
      <w:r w:rsidRPr="00EA16B0">
        <w:rPr>
          <w:rFonts w:asciiTheme="majorHAnsi" w:hAnsiTheme="majorHAnsi" w:cstheme="majorHAnsi"/>
          <w:sz w:val="24"/>
          <w:szCs w:val="24"/>
        </w:rPr>
        <w:t xml:space="preserve">). Com esses 3 mestrados (um acadêmico e dois profissionais, todos recomendados pela CAPES), basta a oferta de um novo programa de mestrado (na área da computação, ao que tudo indica) e projetar dois desses programas para atendimento também da formação em doutorado. Essa condição pode ser aprovada em caráter excepcional pelo CEDF que tem competência para tal prevista no Art. 36 da Resolução 2/2017 (CEDF, 2017), estabelecendo um prazo (de cinco </w:t>
      </w:r>
      <w:proofErr w:type="gramStart"/>
      <w:r w:rsidRPr="00EA16B0">
        <w:rPr>
          <w:rFonts w:asciiTheme="majorHAnsi" w:hAnsiTheme="majorHAnsi" w:cstheme="majorHAnsi"/>
          <w:sz w:val="24"/>
          <w:szCs w:val="24"/>
        </w:rPr>
        <w:t>anos ,</w:t>
      </w:r>
      <w:proofErr w:type="gramEnd"/>
      <w:r w:rsidRPr="00EA16B0">
        <w:rPr>
          <w:rFonts w:asciiTheme="majorHAnsi" w:hAnsiTheme="majorHAnsi" w:cstheme="majorHAnsi"/>
          <w:sz w:val="24"/>
          <w:szCs w:val="24"/>
        </w:rPr>
        <w:t xml:space="preserve"> por exemplo) para que o número de programas de pós-graduação </w:t>
      </w:r>
      <w:r w:rsidRPr="00EA16B0">
        <w:rPr>
          <w:rFonts w:asciiTheme="majorHAnsi" w:hAnsiTheme="majorHAnsi" w:cstheme="majorHAnsi"/>
          <w:i/>
          <w:sz w:val="24"/>
          <w:szCs w:val="24"/>
        </w:rPr>
        <w:t>stricto sensu</w:t>
      </w:r>
      <w:r w:rsidRPr="00EA16B0">
        <w:rPr>
          <w:rFonts w:asciiTheme="majorHAnsi" w:hAnsiTheme="majorHAnsi" w:cstheme="majorHAnsi"/>
          <w:sz w:val="24"/>
          <w:szCs w:val="24"/>
        </w:rPr>
        <w:t xml:space="preserve"> se adeque à norma vigente, visando o recredenciamento institucional.</w:t>
      </w:r>
    </w:p>
    <w:p w14:paraId="4DA6F578" w14:textId="77777777" w:rsidR="00D3608B" w:rsidRPr="00EA16B0" w:rsidRDefault="00D3608B" w:rsidP="00390F44">
      <w:pPr>
        <w:tabs>
          <w:tab w:val="clear" w:pos="1615"/>
        </w:tabs>
        <w:autoSpaceDE w:val="0"/>
        <w:autoSpaceDN w:val="0"/>
        <w:adjustRightInd w:val="0"/>
        <w:spacing w:line="360" w:lineRule="auto"/>
        <w:ind w:firstLine="709"/>
        <w:jc w:val="both"/>
        <w:rPr>
          <w:rFonts w:asciiTheme="majorHAnsi" w:hAnsiTheme="majorHAnsi" w:cstheme="majorHAnsi"/>
          <w:color w:val="00000A"/>
          <w:sz w:val="24"/>
          <w:szCs w:val="28"/>
        </w:rPr>
      </w:pPr>
      <w:r w:rsidRPr="00EA16B0">
        <w:rPr>
          <w:rFonts w:asciiTheme="majorHAnsi" w:hAnsiTheme="majorHAnsi" w:cstheme="majorHAnsi"/>
          <w:color w:val="00000A"/>
          <w:sz w:val="24"/>
          <w:szCs w:val="28"/>
        </w:rPr>
        <w:t xml:space="preserve">A estrutura da </w:t>
      </w:r>
      <w:proofErr w:type="spellStart"/>
      <w:r w:rsidRPr="00EA16B0">
        <w:rPr>
          <w:rFonts w:asciiTheme="majorHAnsi" w:hAnsiTheme="majorHAnsi" w:cstheme="majorHAnsi"/>
          <w:color w:val="00000A"/>
          <w:sz w:val="24"/>
          <w:szCs w:val="28"/>
        </w:rPr>
        <w:t>UnDF</w:t>
      </w:r>
      <w:proofErr w:type="spellEnd"/>
      <w:r w:rsidRPr="00EA16B0">
        <w:rPr>
          <w:rFonts w:asciiTheme="majorHAnsi" w:hAnsiTheme="majorHAnsi" w:cstheme="majorHAnsi"/>
          <w:color w:val="00000A"/>
          <w:sz w:val="24"/>
          <w:szCs w:val="28"/>
        </w:rPr>
        <w:t xml:space="preserve">, de início, já se configura como </w:t>
      </w:r>
      <w:proofErr w:type="spellStart"/>
      <w:r w:rsidRPr="00EA16B0">
        <w:rPr>
          <w:rFonts w:asciiTheme="majorHAnsi" w:hAnsiTheme="majorHAnsi" w:cstheme="majorHAnsi"/>
          <w:iCs/>
          <w:color w:val="00000A"/>
          <w:sz w:val="24"/>
          <w:szCs w:val="28"/>
        </w:rPr>
        <w:t>multicampi</w:t>
      </w:r>
      <w:proofErr w:type="spellEnd"/>
      <w:r w:rsidRPr="00EA16B0">
        <w:rPr>
          <w:rFonts w:asciiTheme="majorHAnsi" w:hAnsiTheme="majorHAnsi" w:cstheme="majorHAnsi"/>
          <w:color w:val="00000A"/>
          <w:sz w:val="24"/>
          <w:szCs w:val="28"/>
        </w:rPr>
        <w:t xml:space="preserve">, já que os cursos atualmente ofertados estão sediados em diferentes locais do Distrito Federal, o que também vai ao encontro do disposto na legislação, cabendo a organização dos órgãos administrativos e acadêmicos centrais em um deles ou em outro local, de modo a estabelecer o </w:t>
      </w:r>
      <w:r w:rsidRPr="00EA16B0">
        <w:rPr>
          <w:rFonts w:asciiTheme="majorHAnsi" w:hAnsiTheme="majorHAnsi" w:cstheme="majorHAnsi"/>
          <w:i/>
          <w:color w:val="00000A"/>
          <w:sz w:val="24"/>
          <w:szCs w:val="28"/>
        </w:rPr>
        <w:t xml:space="preserve">campus </w:t>
      </w:r>
      <w:r w:rsidRPr="00EA16B0">
        <w:rPr>
          <w:rFonts w:asciiTheme="majorHAnsi" w:hAnsiTheme="majorHAnsi" w:cstheme="majorHAnsi"/>
          <w:color w:val="00000A"/>
          <w:sz w:val="24"/>
          <w:szCs w:val="28"/>
        </w:rPr>
        <w:t>sede da Instituição.</w:t>
      </w:r>
    </w:p>
    <w:p w14:paraId="1923DDEE" w14:textId="77777777" w:rsidR="00D3608B" w:rsidRPr="00EA16B0" w:rsidRDefault="00D3608B" w:rsidP="00390F44">
      <w:pPr>
        <w:tabs>
          <w:tab w:val="clear" w:pos="1615"/>
        </w:tabs>
        <w:autoSpaceDE w:val="0"/>
        <w:autoSpaceDN w:val="0"/>
        <w:adjustRightInd w:val="0"/>
        <w:spacing w:line="360" w:lineRule="auto"/>
        <w:ind w:firstLine="709"/>
        <w:jc w:val="both"/>
        <w:rPr>
          <w:rFonts w:asciiTheme="majorHAnsi" w:hAnsiTheme="majorHAnsi" w:cstheme="majorHAnsi"/>
          <w:color w:val="00000A"/>
          <w:sz w:val="24"/>
          <w:szCs w:val="28"/>
        </w:rPr>
      </w:pPr>
      <w:r w:rsidRPr="00EA16B0">
        <w:rPr>
          <w:rFonts w:asciiTheme="majorHAnsi" w:hAnsiTheme="majorHAnsi" w:cstheme="majorHAnsi"/>
          <w:color w:val="00000A"/>
          <w:sz w:val="24"/>
          <w:szCs w:val="28"/>
        </w:rPr>
        <w:t xml:space="preserve">Também é estabelecida na Resolução CEDF n. 2/2017, a necessidade de submeter os estatutos da Instituição para aprovação junto a esse órgão (Parágrafo único do Art. 14) e uma série </w:t>
      </w:r>
      <w:r w:rsidRPr="00EA16B0">
        <w:rPr>
          <w:rFonts w:asciiTheme="majorHAnsi" w:hAnsiTheme="majorHAnsi" w:cstheme="majorHAnsi"/>
          <w:color w:val="00000A"/>
          <w:sz w:val="24"/>
          <w:szCs w:val="28"/>
        </w:rPr>
        <w:lastRenderedPageBreak/>
        <w:t xml:space="preserve">de procedimentos para o credenciamento descritos no Art. 32 da citada Resolução e que, </w:t>
      </w:r>
      <w:proofErr w:type="spellStart"/>
      <w:r w:rsidRPr="00EA16B0">
        <w:rPr>
          <w:rFonts w:asciiTheme="majorHAnsi" w:hAnsiTheme="majorHAnsi" w:cstheme="majorHAnsi"/>
          <w:color w:val="00000A"/>
          <w:sz w:val="24"/>
          <w:szCs w:val="28"/>
        </w:rPr>
        <w:t>s.m.j</w:t>
      </w:r>
      <w:proofErr w:type="spellEnd"/>
      <w:r w:rsidRPr="00EA16B0">
        <w:rPr>
          <w:rFonts w:asciiTheme="majorHAnsi" w:hAnsiTheme="majorHAnsi" w:cstheme="majorHAnsi"/>
          <w:color w:val="00000A"/>
          <w:sz w:val="24"/>
          <w:szCs w:val="28"/>
        </w:rPr>
        <w:t>, estarão todos concluídos juntamente com o PDI que se encontra em processo de construção.</w:t>
      </w:r>
    </w:p>
    <w:p w14:paraId="1005A511" w14:textId="6F64CAFD" w:rsidR="00D3608B" w:rsidRPr="00EA16B0" w:rsidRDefault="00751777" w:rsidP="003A7871">
      <w:pPr>
        <w:pStyle w:val="Ttulo3"/>
        <w:numPr>
          <w:ilvl w:val="2"/>
          <w:numId w:val="1"/>
        </w:numPr>
        <w:ind w:left="709" w:hanging="709"/>
        <w:rPr>
          <w:rFonts w:asciiTheme="majorHAnsi" w:hAnsiTheme="majorHAnsi" w:cstheme="majorHAnsi"/>
        </w:rPr>
      </w:pPr>
      <w:bookmarkStart w:id="37" w:name="_Toc102319373"/>
      <w:r w:rsidRPr="00EA16B0">
        <w:rPr>
          <w:rFonts w:asciiTheme="majorHAnsi" w:hAnsiTheme="majorHAnsi" w:cstheme="majorHAnsi"/>
        </w:rPr>
        <w:t>ENSINO A DISTÂNCIA, UNDF E CEDF</w:t>
      </w:r>
      <w:bookmarkEnd w:id="37"/>
    </w:p>
    <w:p w14:paraId="439A3A18" w14:textId="77777777" w:rsidR="00D3608B" w:rsidRPr="00EA16B0" w:rsidRDefault="00D3608B" w:rsidP="00390F44">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A despeito de estar gramaticalmente correto, o termo modalidade para separar o ensino desenvolvido a distância ou de forma presencial ainda gera algum desconforto, já que o termo era utilizado para designar diferenças formativas, o que, em tese, não deve haver para os egressos de cursos desenvolvidos presencialmente ou a distância. Entretanto, como é o termo utilizado na legislação e aceito majoritariamente no meio acadêmico, será o termo aqui utilizado para diferenciar as duas formas de desenvolvimento dos cursos superiores.</w:t>
      </w:r>
    </w:p>
    <w:p w14:paraId="0EB3780C" w14:textId="77777777" w:rsidR="00D3608B" w:rsidRPr="00EA16B0" w:rsidRDefault="00D3608B" w:rsidP="00390F44">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A oferta de educação a distância foi prevista no Art. 80 da LDB, e iniciada a partir de alguma regulamentação dada pelo Decreto n. 2.494, de 1998, modificado posteriormente em 2005, por meio do Decreto Presidencial 5.622, de 19 de dezembro de 2005. O Decreto sofreu correções em 2007, com a edição do Decreto 6.303, de 12 de dezembro de 2007, ambos revogados em 2017, pelo atual marco regulatório para </w:t>
      </w:r>
      <w:proofErr w:type="spellStart"/>
      <w:r w:rsidRPr="00EA16B0">
        <w:rPr>
          <w:rFonts w:asciiTheme="majorHAnsi" w:hAnsiTheme="majorHAnsi" w:cstheme="majorHAnsi"/>
          <w:sz w:val="24"/>
          <w:szCs w:val="24"/>
        </w:rPr>
        <w:t>EaD</w:t>
      </w:r>
      <w:proofErr w:type="spellEnd"/>
      <w:r w:rsidRPr="00EA16B0">
        <w:rPr>
          <w:rFonts w:asciiTheme="majorHAnsi" w:hAnsiTheme="majorHAnsi" w:cstheme="majorHAnsi"/>
          <w:sz w:val="24"/>
          <w:szCs w:val="24"/>
        </w:rPr>
        <w:t>, conforme disposto no Decreto 9.057, de 25 de maio de 2017 (BRASIL, 2017).</w:t>
      </w:r>
    </w:p>
    <w:p w14:paraId="16112939" w14:textId="2FC0E55B" w:rsidR="00D3608B" w:rsidRPr="00EA16B0" w:rsidRDefault="00D3608B" w:rsidP="00390F44">
      <w:pPr>
        <w:spacing w:line="360" w:lineRule="auto"/>
        <w:ind w:firstLine="709"/>
        <w:rPr>
          <w:rFonts w:asciiTheme="majorHAnsi" w:hAnsiTheme="majorHAnsi" w:cstheme="majorHAnsi"/>
          <w:sz w:val="24"/>
          <w:szCs w:val="24"/>
        </w:rPr>
      </w:pPr>
      <w:r w:rsidRPr="00EA16B0">
        <w:rPr>
          <w:rFonts w:asciiTheme="majorHAnsi" w:hAnsiTheme="majorHAnsi" w:cstheme="majorHAnsi"/>
          <w:sz w:val="24"/>
          <w:szCs w:val="24"/>
        </w:rPr>
        <w:t>Além de flexibilizar a oferta, esse Decreto determinou em seu Art. 12:</w:t>
      </w:r>
    </w:p>
    <w:p w14:paraId="162BAE5A" w14:textId="77777777" w:rsidR="00390F44" w:rsidRPr="00EA16B0" w:rsidRDefault="00390F44" w:rsidP="00390F44">
      <w:pPr>
        <w:spacing w:line="360" w:lineRule="auto"/>
        <w:ind w:firstLine="709"/>
        <w:rPr>
          <w:rFonts w:asciiTheme="majorHAnsi" w:hAnsiTheme="majorHAnsi" w:cstheme="majorHAnsi"/>
          <w:sz w:val="24"/>
          <w:szCs w:val="24"/>
        </w:rPr>
      </w:pPr>
    </w:p>
    <w:p w14:paraId="2B672069" w14:textId="77777777" w:rsidR="00D3608B" w:rsidRPr="00EA16B0" w:rsidRDefault="00D3608B" w:rsidP="00D3608B">
      <w:pPr>
        <w:pStyle w:val="textbody"/>
        <w:spacing w:before="0" w:beforeAutospacing="0" w:after="60" w:afterAutospacing="0"/>
        <w:ind w:left="2268" w:right="849"/>
        <w:jc w:val="both"/>
        <w:rPr>
          <w:rFonts w:asciiTheme="majorHAnsi" w:hAnsiTheme="majorHAnsi" w:cstheme="majorHAnsi"/>
          <w:color w:val="000000"/>
          <w:sz w:val="20"/>
          <w:szCs w:val="20"/>
        </w:rPr>
      </w:pPr>
      <w:r w:rsidRPr="00EA16B0">
        <w:rPr>
          <w:rFonts w:asciiTheme="majorHAnsi" w:hAnsiTheme="majorHAnsi" w:cstheme="majorHAnsi"/>
          <w:color w:val="000000"/>
          <w:sz w:val="20"/>
          <w:szCs w:val="20"/>
        </w:rPr>
        <w:t>Art. 12. As instituições de ensino superior públicas dos sistemas federal, estaduais e distrital ainda não credenciadas para a oferta de cursos superiores na modalidade a distância ficam automaticamente credenciadas, pelo prazo de cinco anos, contado do início da oferta do primeiro curso de graduação nesta modalidade, condicionado à previsão no Plano de Desenvolvimento Institucional.</w:t>
      </w:r>
    </w:p>
    <w:p w14:paraId="2E533888" w14:textId="24CC6174" w:rsidR="00D3608B" w:rsidRPr="00EA16B0" w:rsidRDefault="00D3608B" w:rsidP="00D3608B">
      <w:pPr>
        <w:pStyle w:val="textbody"/>
        <w:spacing w:before="0" w:beforeAutospacing="0" w:after="160" w:afterAutospacing="0"/>
        <w:ind w:left="2268" w:right="851"/>
        <w:jc w:val="both"/>
        <w:rPr>
          <w:rFonts w:asciiTheme="majorHAnsi" w:hAnsiTheme="majorHAnsi" w:cstheme="majorHAnsi"/>
          <w:color w:val="000000"/>
          <w:sz w:val="20"/>
          <w:szCs w:val="20"/>
        </w:rPr>
      </w:pPr>
      <w:r w:rsidRPr="00EA16B0">
        <w:rPr>
          <w:rFonts w:asciiTheme="majorHAnsi" w:hAnsiTheme="majorHAnsi" w:cstheme="majorHAnsi"/>
          <w:color w:val="000000"/>
          <w:sz w:val="20"/>
          <w:szCs w:val="20"/>
        </w:rPr>
        <w:t xml:space="preserve">Parágrafo único. As instituições de ensino de que trata o </w:t>
      </w:r>
      <w:r w:rsidRPr="00EA16B0">
        <w:rPr>
          <w:rFonts w:asciiTheme="majorHAnsi" w:hAnsiTheme="majorHAnsi" w:cstheme="majorHAnsi"/>
          <w:b/>
          <w:bCs/>
          <w:color w:val="000000"/>
          <w:sz w:val="20"/>
          <w:szCs w:val="20"/>
        </w:rPr>
        <w:t xml:space="preserve">caput </w:t>
      </w:r>
      <w:r w:rsidRPr="00EA16B0">
        <w:rPr>
          <w:rFonts w:asciiTheme="majorHAnsi" w:hAnsiTheme="majorHAnsi" w:cstheme="majorHAnsi"/>
          <w:color w:val="000000"/>
          <w:sz w:val="20"/>
          <w:szCs w:val="20"/>
        </w:rPr>
        <w:t>ficarão sujeitas ao recredenciamento para oferta de educação na modalidade a distância pelo Ministério da Educação, nos termos da legislação específica. (BRASIL, 2017).</w:t>
      </w:r>
    </w:p>
    <w:p w14:paraId="4FC35FCE" w14:textId="77777777" w:rsidR="00390F44" w:rsidRPr="00EA16B0" w:rsidRDefault="00390F44" w:rsidP="00D3608B">
      <w:pPr>
        <w:pStyle w:val="textbody"/>
        <w:spacing w:before="0" w:beforeAutospacing="0" w:after="160" w:afterAutospacing="0"/>
        <w:ind w:left="2268" w:right="851"/>
        <w:jc w:val="both"/>
        <w:rPr>
          <w:rFonts w:asciiTheme="majorHAnsi" w:hAnsiTheme="majorHAnsi" w:cstheme="majorHAnsi"/>
          <w:color w:val="000000"/>
          <w:sz w:val="20"/>
          <w:szCs w:val="20"/>
        </w:rPr>
      </w:pPr>
    </w:p>
    <w:p w14:paraId="49AC91D2" w14:textId="77777777" w:rsidR="00D3608B" w:rsidRPr="00EA16B0" w:rsidRDefault="00D3608B" w:rsidP="00390F44">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No Distrito Federal, a Resolução n. 2/2017 trata do credenciamento institucional (Art. 31) determinou no seu § 1.</w:t>
      </w:r>
      <w:r w:rsidRPr="00EA16B0">
        <w:rPr>
          <w:rFonts w:asciiTheme="majorHAnsi" w:hAnsiTheme="majorHAnsi" w:cstheme="majorHAnsi"/>
          <w:sz w:val="24"/>
          <w:szCs w:val="24"/>
          <w:vertAlign w:val="superscript"/>
        </w:rPr>
        <w:t>o</w:t>
      </w:r>
      <w:r w:rsidRPr="00EA16B0">
        <w:rPr>
          <w:rFonts w:asciiTheme="majorHAnsi" w:hAnsiTheme="majorHAnsi" w:cstheme="majorHAnsi"/>
          <w:sz w:val="24"/>
          <w:szCs w:val="24"/>
        </w:rPr>
        <w:t xml:space="preserve">: “O credenciamento de Instituição de Educação Superior para a modalidade de educação a distância compete ao Ministério da Educação, nos termos da legislação vigente” (CEDF, 2017). Desse modo, pode-se considerar que, se a </w:t>
      </w:r>
      <w:proofErr w:type="spellStart"/>
      <w:r w:rsidRPr="00EA16B0">
        <w:rPr>
          <w:rFonts w:asciiTheme="majorHAnsi" w:hAnsiTheme="majorHAnsi" w:cstheme="majorHAnsi"/>
          <w:sz w:val="24"/>
          <w:szCs w:val="24"/>
        </w:rPr>
        <w:t>UnDF</w:t>
      </w:r>
      <w:proofErr w:type="spellEnd"/>
      <w:r w:rsidRPr="00EA16B0">
        <w:rPr>
          <w:rFonts w:asciiTheme="majorHAnsi" w:hAnsiTheme="majorHAnsi" w:cstheme="majorHAnsi"/>
          <w:sz w:val="24"/>
          <w:szCs w:val="24"/>
        </w:rPr>
        <w:t xml:space="preserve"> fizer a previsão de oferta de curso </w:t>
      </w:r>
      <w:proofErr w:type="spellStart"/>
      <w:r w:rsidRPr="00EA16B0">
        <w:rPr>
          <w:rFonts w:asciiTheme="majorHAnsi" w:hAnsiTheme="majorHAnsi" w:cstheme="majorHAnsi"/>
          <w:sz w:val="24"/>
          <w:szCs w:val="24"/>
        </w:rPr>
        <w:t>EaD</w:t>
      </w:r>
      <w:proofErr w:type="spellEnd"/>
      <w:r w:rsidRPr="00EA16B0">
        <w:rPr>
          <w:rFonts w:asciiTheme="majorHAnsi" w:hAnsiTheme="majorHAnsi" w:cstheme="majorHAnsi"/>
          <w:sz w:val="24"/>
          <w:szCs w:val="24"/>
        </w:rPr>
        <w:t xml:space="preserve"> no seu Plano de Desenvolvimento Institucional, ela estará automaticamente credenciada pelo prazo de cinco anos a partir do início dessa oferta, devendo solicitar seu recredenciamento junto ao </w:t>
      </w:r>
      <w:r w:rsidRPr="00EA16B0">
        <w:rPr>
          <w:rFonts w:asciiTheme="majorHAnsi" w:hAnsiTheme="majorHAnsi" w:cstheme="majorHAnsi"/>
          <w:sz w:val="24"/>
          <w:szCs w:val="24"/>
        </w:rPr>
        <w:lastRenderedPageBreak/>
        <w:t>Ministério da Educação, nos termos do Decreto 9057, desde que sua atuação se restrinja aos limites geográficos do Distrito Federal.</w:t>
      </w:r>
    </w:p>
    <w:p w14:paraId="7C630C03" w14:textId="77777777" w:rsidR="00D3608B" w:rsidRPr="00EA16B0" w:rsidRDefault="00D3608B" w:rsidP="00390F44">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A Resolução 2/2017 do CEDF é omissa quanto à oferta de um percentual de atividades a distância em cursos presenciais e remete à legislação nacional os temas ligados ao </w:t>
      </w:r>
      <w:proofErr w:type="spellStart"/>
      <w:r w:rsidRPr="00EA16B0">
        <w:rPr>
          <w:rFonts w:asciiTheme="majorHAnsi" w:hAnsiTheme="majorHAnsi" w:cstheme="majorHAnsi"/>
          <w:sz w:val="24"/>
          <w:szCs w:val="24"/>
        </w:rPr>
        <w:t>EaD</w:t>
      </w:r>
      <w:proofErr w:type="spellEnd"/>
      <w:r w:rsidRPr="00EA16B0">
        <w:rPr>
          <w:rFonts w:asciiTheme="majorHAnsi" w:hAnsiTheme="majorHAnsi" w:cstheme="majorHAnsi"/>
          <w:sz w:val="24"/>
          <w:szCs w:val="24"/>
        </w:rPr>
        <w:t xml:space="preserve">. Em consequência, pode-se trabalhar com o percentual de 40% estabelecido pela Portaria MEC n. 2.117, de 6 de dezembro de 2019, que o estabelece, desde que isso esteja previsto </w:t>
      </w:r>
      <w:proofErr w:type="gramStart"/>
      <w:r w:rsidRPr="00EA16B0">
        <w:rPr>
          <w:rFonts w:asciiTheme="majorHAnsi" w:hAnsiTheme="majorHAnsi" w:cstheme="majorHAnsi"/>
          <w:sz w:val="24"/>
          <w:szCs w:val="24"/>
        </w:rPr>
        <w:t>nos projeto</w:t>
      </w:r>
      <w:proofErr w:type="gramEnd"/>
      <w:r w:rsidRPr="00EA16B0">
        <w:rPr>
          <w:rFonts w:asciiTheme="majorHAnsi" w:hAnsiTheme="majorHAnsi" w:cstheme="majorHAnsi"/>
          <w:sz w:val="24"/>
          <w:szCs w:val="24"/>
        </w:rPr>
        <w:t xml:space="preserve"> pedagógicos dos cursos e que sejam observadas as disposições constantes nas DCN do curso, caso existente (MEC, 2019).</w:t>
      </w:r>
    </w:p>
    <w:p w14:paraId="7ED0D06A" w14:textId="77777777" w:rsidR="00D3608B" w:rsidRPr="00EA16B0" w:rsidRDefault="00D3608B" w:rsidP="00D3608B">
      <w:pPr>
        <w:jc w:val="both"/>
        <w:rPr>
          <w:rFonts w:asciiTheme="majorHAnsi" w:hAnsiTheme="majorHAnsi" w:cstheme="majorHAnsi"/>
        </w:rPr>
      </w:pPr>
    </w:p>
    <w:p w14:paraId="2BD86021" w14:textId="77777777" w:rsidR="00D3608B" w:rsidRPr="00EA16B0" w:rsidRDefault="00D3608B" w:rsidP="00D3608B">
      <w:pPr>
        <w:tabs>
          <w:tab w:val="clear" w:pos="1615"/>
        </w:tabs>
        <w:spacing w:line="259" w:lineRule="auto"/>
        <w:rPr>
          <w:rFonts w:asciiTheme="majorHAnsi" w:hAnsiTheme="majorHAnsi" w:cstheme="majorHAnsi"/>
        </w:rPr>
      </w:pPr>
      <w:r w:rsidRPr="00EA16B0">
        <w:rPr>
          <w:rFonts w:asciiTheme="majorHAnsi" w:hAnsiTheme="majorHAnsi" w:cstheme="majorHAnsi"/>
        </w:rPr>
        <w:br w:type="page"/>
      </w:r>
    </w:p>
    <w:p w14:paraId="26ECA1F0" w14:textId="77777777" w:rsidR="00D3608B" w:rsidRPr="00EA16B0" w:rsidRDefault="00D3608B" w:rsidP="003A7871">
      <w:pPr>
        <w:pStyle w:val="Ttulo1"/>
        <w:numPr>
          <w:ilvl w:val="0"/>
          <w:numId w:val="1"/>
        </w:numPr>
        <w:tabs>
          <w:tab w:val="clear" w:pos="1615"/>
        </w:tabs>
        <w:spacing w:before="0" w:after="0" w:line="360" w:lineRule="auto"/>
        <w:ind w:left="432" w:hanging="432"/>
        <w:jc w:val="both"/>
        <w:rPr>
          <w:rFonts w:asciiTheme="majorHAnsi" w:hAnsiTheme="majorHAnsi" w:cstheme="majorHAnsi"/>
          <w:color w:val="4875BD"/>
        </w:rPr>
      </w:pPr>
      <w:bookmarkStart w:id="38" w:name="_Toc102319374"/>
      <w:r w:rsidRPr="00EA16B0">
        <w:rPr>
          <w:rFonts w:asciiTheme="majorHAnsi" w:hAnsiTheme="majorHAnsi" w:cstheme="majorHAnsi"/>
          <w:color w:val="4875BD"/>
        </w:rPr>
        <w:lastRenderedPageBreak/>
        <w:t xml:space="preserve">POLÍTICAS PARA O ENSINO NA </w:t>
      </w:r>
      <w:proofErr w:type="spellStart"/>
      <w:r w:rsidRPr="00EA16B0">
        <w:rPr>
          <w:rFonts w:asciiTheme="majorHAnsi" w:hAnsiTheme="majorHAnsi" w:cstheme="majorHAnsi"/>
          <w:color w:val="4875BD"/>
        </w:rPr>
        <w:t>UnDF</w:t>
      </w:r>
      <w:bookmarkEnd w:id="38"/>
      <w:proofErr w:type="spellEnd"/>
    </w:p>
    <w:p w14:paraId="5F0D46C2" w14:textId="77777777" w:rsidR="00D3608B" w:rsidRPr="00EA16B0" w:rsidRDefault="00D3608B" w:rsidP="00390F44">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O estabelecimento de políticas públicas para o ensino está garantido na constituição pelo Art. 214, cujo caput foi modificado e detalhado a partir da Emenda Constitucional n. 59, de 2009, que também introduziu um inciso (VI) para determinar a fonte dos recursos para dar concretude a essas políticas. Assim, o Art. 214 da Constituição está hoje assim redigido:</w:t>
      </w:r>
    </w:p>
    <w:p w14:paraId="1B6060C3" w14:textId="77777777" w:rsidR="00D3608B" w:rsidRPr="00EA16B0" w:rsidRDefault="00D3608B" w:rsidP="00D3608B">
      <w:pPr>
        <w:pStyle w:val="NormalWeb"/>
        <w:shd w:val="clear" w:color="auto" w:fill="FFFFFF"/>
        <w:spacing w:before="0" w:beforeAutospacing="0" w:after="60" w:afterAutospacing="0"/>
        <w:ind w:left="2268"/>
        <w:contextualSpacing/>
        <w:jc w:val="both"/>
        <w:rPr>
          <w:rFonts w:asciiTheme="majorHAnsi" w:hAnsiTheme="majorHAnsi" w:cstheme="majorHAnsi"/>
          <w:color w:val="000000"/>
          <w:sz w:val="20"/>
          <w:szCs w:val="20"/>
        </w:rPr>
      </w:pPr>
      <w:r w:rsidRPr="00EA16B0">
        <w:rPr>
          <w:rFonts w:asciiTheme="majorHAnsi" w:hAnsiTheme="majorHAnsi" w:cstheme="majorHAnsi"/>
          <w:color w:val="000000"/>
          <w:sz w:val="20"/>
          <w:szCs w:val="20"/>
        </w:rPr>
        <w:t xml:space="preserve">Art. 214. A lei estabelecerá o plano nacional de educação, de duração decenal, com o objetivo de articular o sistema nacional de educação em regime de colaboração e definir diretrizes, objetivos, metas e estratégias de implementação para assegurar a manutenção e desenvolvimento do ensino em seus diversos níveis, etapas e modalidades por meio de ações integradas dos poderes públicos das diferentes esferas federativas que conduzam a: </w:t>
      </w:r>
    </w:p>
    <w:p w14:paraId="5B6CDBF9" w14:textId="77777777" w:rsidR="00D3608B" w:rsidRPr="00EA16B0" w:rsidRDefault="00D3608B" w:rsidP="00D3608B">
      <w:pPr>
        <w:pStyle w:val="NormalWeb"/>
        <w:shd w:val="clear" w:color="auto" w:fill="FFFFFF"/>
        <w:spacing w:before="0" w:beforeAutospacing="0" w:after="60" w:afterAutospacing="0"/>
        <w:ind w:left="2268"/>
        <w:contextualSpacing/>
        <w:jc w:val="both"/>
        <w:rPr>
          <w:rFonts w:asciiTheme="majorHAnsi" w:hAnsiTheme="majorHAnsi" w:cstheme="majorHAnsi"/>
          <w:color w:val="000000"/>
          <w:sz w:val="20"/>
          <w:szCs w:val="20"/>
        </w:rPr>
      </w:pPr>
      <w:bookmarkStart w:id="39" w:name="art214i"/>
      <w:bookmarkStart w:id="40" w:name="214I"/>
      <w:bookmarkEnd w:id="39"/>
      <w:bookmarkEnd w:id="40"/>
      <w:r w:rsidRPr="00EA16B0">
        <w:rPr>
          <w:rFonts w:asciiTheme="majorHAnsi" w:hAnsiTheme="majorHAnsi" w:cstheme="majorHAnsi"/>
          <w:color w:val="000000"/>
          <w:sz w:val="20"/>
          <w:szCs w:val="20"/>
        </w:rPr>
        <w:t xml:space="preserve">I – </w:t>
      </w:r>
      <w:proofErr w:type="gramStart"/>
      <w:r w:rsidRPr="00EA16B0">
        <w:rPr>
          <w:rFonts w:asciiTheme="majorHAnsi" w:hAnsiTheme="majorHAnsi" w:cstheme="majorHAnsi"/>
          <w:color w:val="000000"/>
          <w:sz w:val="20"/>
          <w:szCs w:val="20"/>
        </w:rPr>
        <w:t>erradicação</w:t>
      </w:r>
      <w:proofErr w:type="gramEnd"/>
      <w:r w:rsidRPr="00EA16B0">
        <w:rPr>
          <w:rFonts w:asciiTheme="majorHAnsi" w:hAnsiTheme="majorHAnsi" w:cstheme="majorHAnsi"/>
          <w:color w:val="000000"/>
          <w:sz w:val="20"/>
          <w:szCs w:val="20"/>
        </w:rPr>
        <w:t xml:space="preserve"> do analfabetismo;</w:t>
      </w:r>
    </w:p>
    <w:p w14:paraId="7A3FD611" w14:textId="77777777" w:rsidR="00D3608B" w:rsidRPr="00EA16B0" w:rsidRDefault="00D3608B" w:rsidP="00D3608B">
      <w:pPr>
        <w:pStyle w:val="NormalWeb"/>
        <w:shd w:val="clear" w:color="auto" w:fill="FFFFFF"/>
        <w:spacing w:before="0" w:beforeAutospacing="0" w:after="60" w:afterAutospacing="0"/>
        <w:ind w:left="2268"/>
        <w:contextualSpacing/>
        <w:jc w:val="both"/>
        <w:rPr>
          <w:rFonts w:asciiTheme="majorHAnsi" w:hAnsiTheme="majorHAnsi" w:cstheme="majorHAnsi"/>
          <w:color w:val="000000"/>
          <w:sz w:val="20"/>
          <w:szCs w:val="20"/>
        </w:rPr>
      </w:pPr>
      <w:bookmarkStart w:id="41" w:name="art214ii"/>
      <w:bookmarkEnd w:id="41"/>
      <w:r w:rsidRPr="00EA16B0">
        <w:rPr>
          <w:rFonts w:asciiTheme="majorHAnsi" w:hAnsiTheme="majorHAnsi" w:cstheme="majorHAnsi"/>
          <w:color w:val="000000"/>
          <w:sz w:val="20"/>
          <w:szCs w:val="20"/>
        </w:rPr>
        <w:t xml:space="preserve">II – </w:t>
      </w:r>
      <w:proofErr w:type="gramStart"/>
      <w:r w:rsidRPr="00EA16B0">
        <w:rPr>
          <w:rFonts w:asciiTheme="majorHAnsi" w:hAnsiTheme="majorHAnsi" w:cstheme="majorHAnsi"/>
          <w:color w:val="000000"/>
          <w:sz w:val="20"/>
          <w:szCs w:val="20"/>
        </w:rPr>
        <w:t>universalização</w:t>
      </w:r>
      <w:proofErr w:type="gramEnd"/>
      <w:r w:rsidRPr="00EA16B0">
        <w:rPr>
          <w:rFonts w:asciiTheme="majorHAnsi" w:hAnsiTheme="majorHAnsi" w:cstheme="majorHAnsi"/>
          <w:color w:val="000000"/>
          <w:sz w:val="20"/>
          <w:szCs w:val="20"/>
        </w:rPr>
        <w:t xml:space="preserve"> do atendimento escolar;</w:t>
      </w:r>
    </w:p>
    <w:p w14:paraId="7E04389E" w14:textId="77777777" w:rsidR="00D3608B" w:rsidRPr="00EA16B0" w:rsidRDefault="00D3608B" w:rsidP="00D3608B">
      <w:pPr>
        <w:pStyle w:val="NormalWeb"/>
        <w:shd w:val="clear" w:color="auto" w:fill="FFFFFF"/>
        <w:spacing w:before="0" w:beforeAutospacing="0" w:after="60" w:afterAutospacing="0"/>
        <w:ind w:left="2268"/>
        <w:contextualSpacing/>
        <w:jc w:val="both"/>
        <w:rPr>
          <w:rFonts w:asciiTheme="majorHAnsi" w:hAnsiTheme="majorHAnsi" w:cstheme="majorHAnsi"/>
          <w:color w:val="000000"/>
          <w:sz w:val="20"/>
          <w:szCs w:val="20"/>
        </w:rPr>
      </w:pPr>
      <w:bookmarkStart w:id="42" w:name="art214iii"/>
      <w:bookmarkEnd w:id="42"/>
      <w:r w:rsidRPr="00EA16B0">
        <w:rPr>
          <w:rFonts w:asciiTheme="majorHAnsi" w:hAnsiTheme="majorHAnsi" w:cstheme="majorHAnsi"/>
          <w:color w:val="000000"/>
          <w:sz w:val="20"/>
          <w:szCs w:val="20"/>
        </w:rPr>
        <w:t>III – melhoria da qualidade do ensino;</w:t>
      </w:r>
    </w:p>
    <w:p w14:paraId="02FCFBB7" w14:textId="77777777" w:rsidR="00D3608B" w:rsidRPr="00EA16B0" w:rsidRDefault="00D3608B" w:rsidP="00D3608B">
      <w:pPr>
        <w:pStyle w:val="NormalWeb"/>
        <w:shd w:val="clear" w:color="auto" w:fill="FFFFFF"/>
        <w:spacing w:before="0" w:beforeAutospacing="0" w:after="60" w:afterAutospacing="0"/>
        <w:ind w:left="2268"/>
        <w:contextualSpacing/>
        <w:jc w:val="both"/>
        <w:rPr>
          <w:rFonts w:asciiTheme="majorHAnsi" w:hAnsiTheme="majorHAnsi" w:cstheme="majorHAnsi"/>
          <w:color w:val="000000"/>
          <w:sz w:val="20"/>
          <w:szCs w:val="20"/>
        </w:rPr>
      </w:pPr>
      <w:bookmarkStart w:id="43" w:name="art214iv"/>
      <w:bookmarkEnd w:id="43"/>
      <w:r w:rsidRPr="00EA16B0">
        <w:rPr>
          <w:rFonts w:asciiTheme="majorHAnsi" w:hAnsiTheme="majorHAnsi" w:cstheme="majorHAnsi"/>
          <w:color w:val="000000"/>
          <w:sz w:val="20"/>
          <w:szCs w:val="20"/>
        </w:rPr>
        <w:t xml:space="preserve">IV – </w:t>
      </w:r>
      <w:proofErr w:type="gramStart"/>
      <w:r w:rsidRPr="00EA16B0">
        <w:rPr>
          <w:rFonts w:asciiTheme="majorHAnsi" w:hAnsiTheme="majorHAnsi" w:cstheme="majorHAnsi"/>
          <w:color w:val="000000"/>
          <w:sz w:val="20"/>
          <w:szCs w:val="20"/>
        </w:rPr>
        <w:t>formação</w:t>
      </w:r>
      <w:proofErr w:type="gramEnd"/>
      <w:r w:rsidRPr="00EA16B0">
        <w:rPr>
          <w:rFonts w:asciiTheme="majorHAnsi" w:hAnsiTheme="majorHAnsi" w:cstheme="majorHAnsi"/>
          <w:color w:val="000000"/>
          <w:sz w:val="20"/>
          <w:szCs w:val="20"/>
        </w:rPr>
        <w:t xml:space="preserve"> para o trabalho;</w:t>
      </w:r>
    </w:p>
    <w:p w14:paraId="3E5147C3" w14:textId="77777777" w:rsidR="00D3608B" w:rsidRPr="00EA16B0" w:rsidRDefault="00D3608B" w:rsidP="00D3608B">
      <w:pPr>
        <w:pStyle w:val="NormalWeb"/>
        <w:shd w:val="clear" w:color="auto" w:fill="FFFFFF"/>
        <w:spacing w:before="0" w:beforeAutospacing="0" w:after="60" w:afterAutospacing="0"/>
        <w:ind w:left="2268"/>
        <w:contextualSpacing/>
        <w:jc w:val="both"/>
        <w:rPr>
          <w:rFonts w:asciiTheme="majorHAnsi" w:hAnsiTheme="majorHAnsi" w:cstheme="majorHAnsi"/>
          <w:color w:val="000000"/>
          <w:sz w:val="20"/>
          <w:szCs w:val="20"/>
        </w:rPr>
      </w:pPr>
      <w:bookmarkStart w:id="44" w:name="art214v"/>
      <w:bookmarkEnd w:id="44"/>
      <w:r w:rsidRPr="00EA16B0">
        <w:rPr>
          <w:rFonts w:asciiTheme="majorHAnsi" w:hAnsiTheme="majorHAnsi" w:cstheme="majorHAnsi"/>
          <w:color w:val="000000"/>
          <w:sz w:val="20"/>
          <w:szCs w:val="20"/>
        </w:rPr>
        <w:t xml:space="preserve">V – </w:t>
      </w:r>
      <w:proofErr w:type="gramStart"/>
      <w:r w:rsidRPr="00EA16B0">
        <w:rPr>
          <w:rFonts w:asciiTheme="majorHAnsi" w:hAnsiTheme="majorHAnsi" w:cstheme="majorHAnsi"/>
          <w:color w:val="000000"/>
          <w:sz w:val="20"/>
          <w:szCs w:val="20"/>
        </w:rPr>
        <w:t>promoção</w:t>
      </w:r>
      <w:proofErr w:type="gramEnd"/>
      <w:r w:rsidRPr="00EA16B0">
        <w:rPr>
          <w:rFonts w:asciiTheme="majorHAnsi" w:hAnsiTheme="majorHAnsi" w:cstheme="majorHAnsi"/>
          <w:color w:val="000000"/>
          <w:sz w:val="20"/>
          <w:szCs w:val="20"/>
        </w:rPr>
        <w:t xml:space="preserve"> humanística, científica e tecnológica do País.</w:t>
      </w:r>
    </w:p>
    <w:p w14:paraId="4F3AEB18" w14:textId="77777777" w:rsidR="00D3608B" w:rsidRPr="00EA16B0" w:rsidRDefault="00D3608B" w:rsidP="00D3608B">
      <w:pPr>
        <w:pStyle w:val="NormalWeb"/>
        <w:shd w:val="clear" w:color="auto" w:fill="FFFFFF"/>
        <w:spacing w:before="0" w:beforeAutospacing="0" w:after="160" w:afterAutospacing="0"/>
        <w:ind w:left="2268"/>
        <w:contextualSpacing/>
        <w:jc w:val="both"/>
        <w:rPr>
          <w:rFonts w:asciiTheme="majorHAnsi" w:hAnsiTheme="majorHAnsi" w:cstheme="majorHAnsi"/>
          <w:color w:val="000000"/>
          <w:sz w:val="20"/>
          <w:szCs w:val="20"/>
        </w:rPr>
      </w:pPr>
      <w:bookmarkStart w:id="45" w:name="art214vi"/>
      <w:bookmarkEnd w:id="45"/>
      <w:r w:rsidRPr="00EA16B0">
        <w:rPr>
          <w:rFonts w:asciiTheme="majorHAnsi" w:hAnsiTheme="majorHAnsi" w:cstheme="majorHAnsi"/>
          <w:color w:val="000000"/>
          <w:sz w:val="20"/>
          <w:szCs w:val="20"/>
        </w:rPr>
        <w:t xml:space="preserve">VI – </w:t>
      </w:r>
      <w:proofErr w:type="gramStart"/>
      <w:r w:rsidRPr="00EA16B0">
        <w:rPr>
          <w:rFonts w:asciiTheme="majorHAnsi" w:hAnsiTheme="majorHAnsi" w:cstheme="majorHAnsi"/>
          <w:color w:val="000000"/>
          <w:sz w:val="20"/>
          <w:szCs w:val="20"/>
        </w:rPr>
        <w:t>estabelecimento</w:t>
      </w:r>
      <w:proofErr w:type="gramEnd"/>
      <w:r w:rsidRPr="00EA16B0">
        <w:rPr>
          <w:rFonts w:asciiTheme="majorHAnsi" w:hAnsiTheme="majorHAnsi" w:cstheme="majorHAnsi"/>
          <w:color w:val="000000"/>
          <w:sz w:val="20"/>
          <w:szCs w:val="20"/>
        </w:rPr>
        <w:t xml:space="preserve"> de meta de aplicação de recursos públicos em educação como proporção do produto interno bruto. (BRASIL, 1988).</w:t>
      </w:r>
    </w:p>
    <w:p w14:paraId="2259CDBD" w14:textId="77777777" w:rsidR="00D3608B" w:rsidRPr="00EA16B0" w:rsidRDefault="00D3608B" w:rsidP="00390F44">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O primeiro PNE depois de 1988 teve vigência até 2011 e o segundo, aprovado pela Lei n. 13.005 em julho de 2014, terminará em 2024 (BRASIL, 2014).</w:t>
      </w:r>
    </w:p>
    <w:p w14:paraId="6A369337" w14:textId="77777777" w:rsidR="00D3608B" w:rsidRPr="00EA16B0" w:rsidRDefault="00D3608B" w:rsidP="00390F44">
      <w:pPr>
        <w:spacing w:after="240"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O atual PNE apresenta 20 Metas e 254 estratégias para seu cumprimento, cada uma delas relacionada principalmente com um dos incisos do artigo 214 citado, conforme figura a seguir exposta por </w:t>
      </w:r>
      <w:proofErr w:type="spellStart"/>
      <w:r w:rsidRPr="00EA16B0">
        <w:rPr>
          <w:rFonts w:asciiTheme="majorHAnsi" w:hAnsiTheme="majorHAnsi" w:cstheme="majorHAnsi"/>
          <w:sz w:val="24"/>
          <w:szCs w:val="24"/>
        </w:rPr>
        <w:t>Cortelazzo</w:t>
      </w:r>
      <w:proofErr w:type="spellEnd"/>
      <w:r w:rsidRPr="00EA16B0">
        <w:rPr>
          <w:rFonts w:asciiTheme="majorHAnsi" w:hAnsiTheme="majorHAnsi" w:cstheme="majorHAnsi"/>
          <w:sz w:val="24"/>
          <w:szCs w:val="24"/>
        </w:rPr>
        <w:t xml:space="preserve"> (2016) em aula sobre legislação do ensino na Universidade Virtual do Estado de São Paulo (</w:t>
      </w:r>
      <w:proofErr w:type="spellStart"/>
      <w:r w:rsidRPr="00EA16B0">
        <w:rPr>
          <w:rFonts w:asciiTheme="majorHAnsi" w:hAnsiTheme="majorHAnsi" w:cstheme="majorHAnsi"/>
          <w:sz w:val="24"/>
          <w:szCs w:val="24"/>
        </w:rPr>
        <w:t>Univesp</w:t>
      </w:r>
      <w:proofErr w:type="spellEnd"/>
      <w:r w:rsidRPr="00EA16B0">
        <w:rPr>
          <w:rFonts w:asciiTheme="majorHAnsi" w:hAnsiTheme="majorHAnsi" w:cstheme="majorHAnsi"/>
          <w:sz w:val="24"/>
          <w:szCs w:val="24"/>
        </w:rPr>
        <w:t>).</w:t>
      </w:r>
    </w:p>
    <w:p w14:paraId="4ABA90BA" w14:textId="77777777" w:rsidR="00D3608B" w:rsidRPr="00EA16B0" w:rsidRDefault="00D3608B" w:rsidP="00D3608B">
      <w:pPr>
        <w:jc w:val="both"/>
        <w:rPr>
          <w:rFonts w:asciiTheme="majorHAnsi" w:hAnsiTheme="majorHAnsi" w:cstheme="majorHAnsi"/>
        </w:rPr>
      </w:pPr>
      <w:r w:rsidRPr="00EA16B0">
        <w:rPr>
          <w:rFonts w:asciiTheme="majorHAnsi" w:hAnsiTheme="majorHAnsi" w:cstheme="majorHAnsi"/>
          <w:sz w:val="20"/>
        </w:rPr>
        <w:t>Figura 2.1. Classificação das metas do PNE 2014-2024 nos incisos do Art. 214 da Constituição</w:t>
      </w:r>
      <w:r w:rsidRPr="00EA16B0">
        <w:rPr>
          <w:rFonts w:asciiTheme="majorHAnsi" w:hAnsiTheme="majorHAnsi" w:cstheme="majorHAnsi"/>
        </w:rPr>
        <w:t>.</w:t>
      </w:r>
    </w:p>
    <w:p w14:paraId="724F110D" w14:textId="77777777" w:rsidR="00D3608B" w:rsidRPr="00EA16B0" w:rsidRDefault="00D3608B" w:rsidP="00D3608B">
      <w:pPr>
        <w:spacing w:after="0"/>
        <w:jc w:val="center"/>
        <w:rPr>
          <w:rFonts w:asciiTheme="majorHAnsi" w:hAnsiTheme="majorHAnsi" w:cstheme="majorHAnsi"/>
        </w:rPr>
      </w:pPr>
      <w:r w:rsidRPr="00EA16B0">
        <w:rPr>
          <w:rFonts w:asciiTheme="majorHAnsi" w:hAnsiTheme="majorHAnsi" w:cstheme="majorHAnsi"/>
          <w:noProof/>
          <w:lang w:eastAsia="pt-BR"/>
        </w:rPr>
        <w:drawing>
          <wp:inline distT="0" distB="0" distL="0" distR="0" wp14:anchorId="06BD792A" wp14:editId="7056472E">
            <wp:extent cx="4981433" cy="2796185"/>
            <wp:effectExtent l="0" t="0" r="0" b="444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3121" cy="2819585"/>
                    </a:xfrm>
                    <a:prstGeom prst="rect">
                      <a:avLst/>
                    </a:prstGeom>
                    <a:noFill/>
                    <a:ln>
                      <a:noFill/>
                    </a:ln>
                  </pic:spPr>
                </pic:pic>
              </a:graphicData>
            </a:graphic>
          </wp:inline>
        </w:drawing>
      </w:r>
    </w:p>
    <w:p w14:paraId="5E4E05A0" w14:textId="77777777" w:rsidR="00D3608B" w:rsidRPr="00EA16B0" w:rsidRDefault="00D3608B" w:rsidP="006A649D">
      <w:pPr>
        <w:spacing w:after="240"/>
        <w:rPr>
          <w:rFonts w:asciiTheme="majorHAnsi" w:hAnsiTheme="majorHAnsi" w:cstheme="majorHAnsi"/>
          <w:sz w:val="20"/>
          <w:szCs w:val="20"/>
        </w:rPr>
      </w:pPr>
      <w:r w:rsidRPr="00EA16B0">
        <w:rPr>
          <w:rFonts w:asciiTheme="majorHAnsi" w:hAnsiTheme="majorHAnsi" w:cstheme="majorHAnsi"/>
          <w:sz w:val="20"/>
          <w:szCs w:val="20"/>
        </w:rPr>
        <w:t>Fonte: Aula sobre Legislação Educacional (</w:t>
      </w:r>
      <w:proofErr w:type="spellStart"/>
      <w:r w:rsidRPr="00EA16B0">
        <w:rPr>
          <w:rFonts w:asciiTheme="majorHAnsi" w:hAnsiTheme="majorHAnsi" w:cstheme="majorHAnsi"/>
          <w:sz w:val="20"/>
          <w:szCs w:val="20"/>
        </w:rPr>
        <w:t>Univesp</w:t>
      </w:r>
      <w:proofErr w:type="spellEnd"/>
      <w:r w:rsidRPr="00EA16B0">
        <w:rPr>
          <w:rFonts w:asciiTheme="majorHAnsi" w:hAnsiTheme="majorHAnsi" w:cstheme="majorHAnsi"/>
          <w:sz w:val="20"/>
          <w:szCs w:val="20"/>
        </w:rPr>
        <w:t>) (CORTELAZZO, 2016).</w:t>
      </w:r>
    </w:p>
    <w:p w14:paraId="723AA629" w14:textId="77777777" w:rsidR="00D3608B" w:rsidRPr="00EA16B0" w:rsidRDefault="00D3608B" w:rsidP="00390F44">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lastRenderedPageBreak/>
        <w:t xml:space="preserve">A </w:t>
      </w:r>
      <w:proofErr w:type="spellStart"/>
      <w:r w:rsidRPr="00EA16B0">
        <w:rPr>
          <w:rFonts w:asciiTheme="majorHAnsi" w:hAnsiTheme="majorHAnsi" w:cstheme="majorHAnsi"/>
          <w:sz w:val="24"/>
          <w:szCs w:val="24"/>
        </w:rPr>
        <w:t>UnDF</w:t>
      </w:r>
      <w:proofErr w:type="spellEnd"/>
      <w:r w:rsidRPr="00EA16B0">
        <w:rPr>
          <w:rFonts w:asciiTheme="majorHAnsi" w:hAnsiTheme="majorHAnsi" w:cstheme="majorHAnsi"/>
          <w:sz w:val="24"/>
          <w:szCs w:val="24"/>
        </w:rPr>
        <w:t>, assim como as demais instituições de educação superior do país, deve contribuir diretamente com boa parte dessas metas, já que a expansão da educação básica (metas 1 a 4) requer a formação de professores e de demais profissionais da educação, a maioria em cursos superiores de graduação. A qualidade desse ensino também é dependente da qualidade da formação docente e de suas condições de trabalho (metas 5 a 8 e 15 a 19). É também afetada a criação de políticas para a erradicação do analfabetismo, apesar de essa meta (9) poder ser prevista em programas que envolvam formados nos antigos cursos médios ligados à formação de professores polivalentes para o início da formação básica. Finalmente, ainda ligado à escolarização básica, as metas 10 e 11 estabelecem a expansão da educação profissional técnica de nível médio em oferta regular (meta 11) ou de jovens adultos (meta 10) que também requerem professores formados na educação superior.</w:t>
      </w:r>
    </w:p>
    <w:p w14:paraId="4F056755" w14:textId="77777777" w:rsidR="00D3608B" w:rsidRPr="00EA16B0" w:rsidRDefault="00D3608B" w:rsidP="00390F44">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Além disso, diretamente, as metas 12 a 14 tratam da participação das IES na oferta de educação superior que já atende às metas citadas para a formação de profissionais da educação e essas</w:t>
      </w:r>
      <w:r w:rsidRPr="00EA16B0">
        <w:rPr>
          <w:rFonts w:asciiTheme="majorHAnsi" w:hAnsiTheme="majorHAnsi" w:cstheme="majorHAnsi"/>
          <w:spacing w:val="-2"/>
          <w:sz w:val="24"/>
          <w:szCs w:val="24"/>
        </w:rPr>
        <w:t xml:space="preserve"> metas visam a também contribuir</w:t>
      </w:r>
      <w:r w:rsidRPr="00EA16B0">
        <w:rPr>
          <w:rFonts w:asciiTheme="majorHAnsi" w:hAnsiTheme="majorHAnsi" w:cstheme="majorHAnsi"/>
          <w:sz w:val="24"/>
          <w:szCs w:val="24"/>
        </w:rPr>
        <w:t xml:space="preserve"> para o cumprimento do inciso V para a formação de quadros que garantam um desenvolvimento humanístico e científico-tecnológico do país, seja em cursos de graduação (meta 12), que nada mais estabelece que transformar a educação superior acessível a um maior contingente de brasileiros a partir de parâmetros internacionais de abrangência e, a despeito de algumas críticas vindas especialmente de associações mantenedoras de instituições privadas, uma formação em pós-graduação </w:t>
      </w:r>
      <w:r w:rsidRPr="00EA16B0">
        <w:rPr>
          <w:rFonts w:asciiTheme="majorHAnsi" w:hAnsiTheme="majorHAnsi" w:cstheme="majorHAnsi"/>
          <w:i/>
          <w:iCs/>
          <w:sz w:val="24"/>
          <w:szCs w:val="24"/>
        </w:rPr>
        <w:t>stricto sensu</w:t>
      </w:r>
      <w:r w:rsidRPr="00EA16B0">
        <w:rPr>
          <w:rFonts w:asciiTheme="majorHAnsi" w:hAnsiTheme="majorHAnsi" w:cstheme="majorHAnsi"/>
          <w:sz w:val="24"/>
          <w:szCs w:val="24"/>
        </w:rPr>
        <w:t xml:space="preserve"> para os professores que atuarão nesse nível de ensino (meta 13). Afinal, a produção de conhecimento novo e a apropriação do ferramental metodológico das profissões de nível superior se dá a partir dos cursos de graduação, mas têm amadurecimento, abrangência e aprofundamento na pós-graduação, especialmente após o término do doutorado, quando a autonomia acadêmica do formado é plena e ele pode iniciar sua contribuição para quadros especializados nesse nível da escolarização nacional. Por esse motivo, também a meta 14 aborda a expansão dessa formação, de modo a permitir que ela também influencie positivamente o setor produtivo nacional, imprimindo maior cientificismo, tecnologia e avanços da formação pós-graduada. Finalmente, a meta 20 trata do financiamento e, no que diz respeito diretamente às metas ligadas ao ensino superior, no caso da </w:t>
      </w:r>
      <w:proofErr w:type="spellStart"/>
      <w:r w:rsidRPr="00EA16B0">
        <w:rPr>
          <w:rFonts w:asciiTheme="majorHAnsi" w:hAnsiTheme="majorHAnsi" w:cstheme="majorHAnsi"/>
          <w:sz w:val="24"/>
          <w:szCs w:val="24"/>
        </w:rPr>
        <w:t>UnDF</w:t>
      </w:r>
      <w:proofErr w:type="spellEnd"/>
      <w:r w:rsidRPr="00EA16B0">
        <w:rPr>
          <w:rFonts w:asciiTheme="majorHAnsi" w:hAnsiTheme="majorHAnsi" w:cstheme="majorHAnsi"/>
          <w:sz w:val="24"/>
          <w:szCs w:val="24"/>
        </w:rPr>
        <w:t>, envolve um planejamento orçamentário do Distrito Federal.</w:t>
      </w:r>
    </w:p>
    <w:p w14:paraId="1D5A0C36" w14:textId="77777777" w:rsidR="00D3608B" w:rsidRPr="00EA16B0" w:rsidRDefault="00D3608B" w:rsidP="00390F44">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Por esse motivo, a abordagem das políticas ligadas ao ensino leva em conta as metas do PNE, já que se trata da política pública nacional para o ensino em todos os seus níveis. Também por isso, </w:t>
      </w:r>
      <w:r w:rsidRPr="00EA16B0">
        <w:rPr>
          <w:rFonts w:asciiTheme="majorHAnsi" w:hAnsiTheme="majorHAnsi" w:cstheme="majorHAnsi"/>
          <w:sz w:val="24"/>
          <w:szCs w:val="24"/>
        </w:rPr>
        <w:lastRenderedPageBreak/>
        <w:t xml:space="preserve">quando da proposição da organização pedagógica da Instituição, já foi abordada a situação da </w:t>
      </w:r>
      <w:proofErr w:type="spellStart"/>
      <w:r w:rsidRPr="00EA16B0">
        <w:rPr>
          <w:rFonts w:asciiTheme="majorHAnsi" w:hAnsiTheme="majorHAnsi" w:cstheme="majorHAnsi"/>
          <w:sz w:val="24"/>
          <w:szCs w:val="24"/>
        </w:rPr>
        <w:t>UnDF</w:t>
      </w:r>
      <w:proofErr w:type="spellEnd"/>
      <w:r w:rsidRPr="00EA16B0">
        <w:rPr>
          <w:rFonts w:asciiTheme="majorHAnsi" w:hAnsiTheme="majorHAnsi" w:cstheme="majorHAnsi"/>
          <w:sz w:val="24"/>
          <w:szCs w:val="24"/>
        </w:rPr>
        <w:t xml:space="preserve"> com relação aos cursos de graduação, já que ela pode ser afetada diretamente pela escolha e organização dessa oferta.</w:t>
      </w:r>
    </w:p>
    <w:p w14:paraId="22932F69" w14:textId="31E3DC97" w:rsidR="00D3608B" w:rsidRPr="00EA16B0" w:rsidRDefault="00D3608B" w:rsidP="00390F44">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Dados de acompanhamento da expansão da graduação definida na meta 12 do PNE mostram que ela vem ocorrendo de forma heterogênea pelo país:</w:t>
      </w:r>
    </w:p>
    <w:p w14:paraId="0D925D08" w14:textId="77777777" w:rsidR="006A649D" w:rsidRPr="00EA16B0" w:rsidRDefault="006A649D" w:rsidP="00390F44">
      <w:pPr>
        <w:spacing w:line="360" w:lineRule="auto"/>
        <w:ind w:firstLine="709"/>
        <w:jc w:val="both"/>
        <w:rPr>
          <w:rFonts w:asciiTheme="majorHAnsi" w:hAnsiTheme="majorHAnsi" w:cstheme="majorHAnsi"/>
          <w:sz w:val="24"/>
          <w:szCs w:val="24"/>
        </w:rPr>
      </w:pPr>
    </w:p>
    <w:p w14:paraId="038EA70A" w14:textId="77777777" w:rsidR="00D3608B" w:rsidRPr="00EA16B0" w:rsidRDefault="00D3608B" w:rsidP="00D3608B">
      <w:pPr>
        <w:spacing w:after="60"/>
        <w:ind w:left="2268" w:right="849"/>
        <w:jc w:val="both"/>
        <w:rPr>
          <w:rFonts w:asciiTheme="majorHAnsi" w:hAnsiTheme="majorHAnsi" w:cstheme="majorHAnsi"/>
          <w:sz w:val="20"/>
          <w:szCs w:val="20"/>
        </w:rPr>
      </w:pPr>
      <w:r w:rsidRPr="00EA16B0">
        <w:rPr>
          <w:rFonts w:asciiTheme="majorHAnsi" w:hAnsiTheme="majorHAnsi" w:cstheme="majorHAnsi"/>
          <w:sz w:val="20"/>
          <w:szCs w:val="20"/>
        </w:rPr>
        <w:t>Dados de monitoramento do PNE revelam que, em 2020, o país tinha atingido uma taxa bruta de matrículas de 40,7%, mas 4 entes federados haviam cumprido o Indicador 12A da meta: 3 estados, PR (50,0%), RJ (50,2%), RS (50,4%) e o DF (55,4%). Com relação à taxa líquida (Indicador 12B), enquanto o país apresenta média de 28,0% de TLE, 4 estados já atingiram os percentuais requeridos: SP (33,7%), GO (33,9%), SC (35,6%) e PR (35,7%) além do DF (44,5%). Finalmente, para o Indicador 12C, os valores globais indicam que ele está longe de ser alcançado já que apenas pouco mais de 10% do aumento de matrículas no país foi realizado em Instituições públicas (INEP, 2021).</w:t>
      </w:r>
    </w:p>
    <w:p w14:paraId="12AAE096" w14:textId="4307BD05" w:rsidR="00D3608B" w:rsidRPr="00EA16B0" w:rsidRDefault="00D3608B" w:rsidP="00D3608B">
      <w:pPr>
        <w:ind w:left="2268" w:right="851"/>
        <w:jc w:val="both"/>
        <w:rPr>
          <w:rFonts w:asciiTheme="majorHAnsi" w:hAnsiTheme="majorHAnsi" w:cstheme="majorHAnsi"/>
          <w:sz w:val="20"/>
          <w:szCs w:val="20"/>
        </w:rPr>
      </w:pPr>
      <w:r w:rsidRPr="00EA16B0">
        <w:rPr>
          <w:rFonts w:asciiTheme="majorHAnsi" w:hAnsiTheme="majorHAnsi" w:cstheme="majorHAnsi"/>
          <w:sz w:val="20"/>
          <w:szCs w:val="20"/>
        </w:rPr>
        <w:t>Segundo dados do último Censo da Educação Superior, São Paulo, Santa Catarina e o Distrito Federal são os três entes federados que detêm o menor percentual de matrículas públicas do país, com 16,1, 16,8 e 18,3% respectivamente. (CEBRASPE, 2022a, p. 6).</w:t>
      </w:r>
    </w:p>
    <w:p w14:paraId="1AEB3CBD" w14:textId="77777777" w:rsidR="006A649D" w:rsidRPr="00EA16B0" w:rsidRDefault="006A649D" w:rsidP="00D3608B">
      <w:pPr>
        <w:ind w:left="2268" w:right="851"/>
        <w:jc w:val="both"/>
        <w:rPr>
          <w:rFonts w:asciiTheme="majorHAnsi" w:hAnsiTheme="majorHAnsi" w:cstheme="majorHAnsi"/>
          <w:sz w:val="20"/>
          <w:szCs w:val="20"/>
        </w:rPr>
      </w:pPr>
    </w:p>
    <w:p w14:paraId="40768594" w14:textId="77777777" w:rsidR="00D3608B" w:rsidRPr="00EA16B0" w:rsidRDefault="00D3608B" w:rsidP="006A649D">
      <w:pPr>
        <w:spacing w:line="360" w:lineRule="auto"/>
        <w:ind w:right="-1"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Assim deve ser considerada a importância da criação da </w:t>
      </w:r>
      <w:proofErr w:type="spellStart"/>
      <w:r w:rsidRPr="00EA16B0">
        <w:rPr>
          <w:rFonts w:asciiTheme="majorHAnsi" w:hAnsiTheme="majorHAnsi" w:cstheme="majorHAnsi"/>
          <w:sz w:val="24"/>
          <w:szCs w:val="24"/>
        </w:rPr>
        <w:t>UnDF</w:t>
      </w:r>
      <w:proofErr w:type="spellEnd"/>
      <w:r w:rsidRPr="00EA16B0">
        <w:rPr>
          <w:rFonts w:asciiTheme="majorHAnsi" w:hAnsiTheme="majorHAnsi" w:cstheme="majorHAnsi"/>
          <w:sz w:val="24"/>
          <w:szCs w:val="24"/>
        </w:rPr>
        <w:t xml:space="preserve"> para contribuir com a expansão do ensino de graduação no país, contribuindo para consolidar a meta 12 do PNE, especialmente no que diz respeito a expansão da oferta de ensino público.</w:t>
      </w:r>
    </w:p>
    <w:p w14:paraId="1DEF4341" w14:textId="77777777" w:rsidR="00D3608B" w:rsidRPr="00EA16B0" w:rsidRDefault="00D3608B" w:rsidP="006A649D">
      <w:pPr>
        <w:spacing w:line="360" w:lineRule="auto"/>
        <w:ind w:right="-1" w:firstLine="709"/>
        <w:jc w:val="both"/>
        <w:rPr>
          <w:rFonts w:asciiTheme="majorHAnsi" w:hAnsiTheme="majorHAnsi" w:cstheme="majorHAnsi"/>
          <w:sz w:val="24"/>
          <w:szCs w:val="24"/>
        </w:rPr>
      </w:pPr>
      <w:r w:rsidRPr="00EA16B0">
        <w:rPr>
          <w:rFonts w:asciiTheme="majorHAnsi" w:hAnsiTheme="majorHAnsi" w:cstheme="majorHAnsi"/>
          <w:sz w:val="24"/>
          <w:szCs w:val="24"/>
        </w:rPr>
        <w:t>Além disso, a criação da Universidade foi feita a partir de um projeto que vem sendo discutido há décadas, permitindo que houvesse uma grande abrangência no estabelecimento dos princípios, competências e diretrizes da Universidade, o que vai ao encontro de um ensino público voltado para a qualidade formativa e não apenas ao atendimento quantitativo dessa formação.</w:t>
      </w:r>
    </w:p>
    <w:p w14:paraId="7EF3C8D6" w14:textId="77777777" w:rsidR="00D3608B" w:rsidRPr="00EA16B0" w:rsidRDefault="00D3608B" w:rsidP="006A649D">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Com isso, a Lei de Criação da Universidade do Distrito Federal contemplou, em seus </w:t>
      </w:r>
      <w:proofErr w:type="spellStart"/>
      <w:r w:rsidRPr="00EA16B0">
        <w:rPr>
          <w:rFonts w:asciiTheme="majorHAnsi" w:hAnsiTheme="majorHAnsi" w:cstheme="majorHAnsi"/>
          <w:sz w:val="24"/>
          <w:szCs w:val="24"/>
        </w:rPr>
        <w:t>Arts</w:t>
      </w:r>
      <w:proofErr w:type="spellEnd"/>
      <w:r w:rsidRPr="00EA16B0">
        <w:rPr>
          <w:rFonts w:asciiTheme="majorHAnsi" w:hAnsiTheme="majorHAnsi" w:cstheme="majorHAnsi"/>
          <w:sz w:val="24"/>
          <w:szCs w:val="24"/>
        </w:rPr>
        <w:t>. 2.</w:t>
      </w:r>
      <w:r w:rsidRPr="00EA16B0">
        <w:rPr>
          <w:rFonts w:asciiTheme="majorHAnsi" w:hAnsiTheme="majorHAnsi" w:cstheme="majorHAnsi"/>
          <w:sz w:val="24"/>
          <w:szCs w:val="24"/>
          <w:vertAlign w:val="superscript"/>
        </w:rPr>
        <w:t>o</w:t>
      </w:r>
      <w:r w:rsidRPr="00EA16B0">
        <w:rPr>
          <w:rFonts w:asciiTheme="majorHAnsi" w:hAnsiTheme="majorHAnsi" w:cstheme="majorHAnsi"/>
          <w:sz w:val="24"/>
          <w:szCs w:val="24"/>
        </w:rPr>
        <w:t xml:space="preserve"> e 3.</w:t>
      </w:r>
      <w:r w:rsidRPr="00EA16B0">
        <w:rPr>
          <w:rFonts w:asciiTheme="majorHAnsi" w:hAnsiTheme="majorHAnsi" w:cstheme="majorHAnsi"/>
          <w:sz w:val="24"/>
          <w:szCs w:val="24"/>
          <w:vertAlign w:val="superscript"/>
        </w:rPr>
        <w:t>o</w:t>
      </w:r>
      <w:r w:rsidRPr="00EA16B0" w:rsidDel="008C7510">
        <w:rPr>
          <w:rFonts w:asciiTheme="majorHAnsi" w:hAnsiTheme="majorHAnsi" w:cstheme="majorHAnsi"/>
          <w:sz w:val="24"/>
          <w:szCs w:val="24"/>
        </w:rPr>
        <w:t xml:space="preserve"> </w:t>
      </w:r>
      <w:r w:rsidRPr="00EA16B0">
        <w:rPr>
          <w:rFonts w:asciiTheme="majorHAnsi" w:hAnsiTheme="majorHAnsi" w:cstheme="majorHAnsi"/>
          <w:sz w:val="24"/>
          <w:szCs w:val="24"/>
        </w:rPr>
        <w:t xml:space="preserve">já citados, nove princípios e 17 diretrizes que se desdobram nas políticas institucionais, a maioria delas voltada direta ou indiretamente para o ensino. Para o cumprimento de suas determinações serão necessárias várias ações por parte da Instituição, que devem estar expressas não apenas nos seus estatutos e no regimento geral, mas </w:t>
      </w:r>
      <w:r w:rsidRPr="00EA16B0">
        <w:rPr>
          <w:rFonts w:asciiTheme="majorHAnsi" w:hAnsiTheme="majorHAnsi" w:cstheme="majorHAnsi"/>
          <w:spacing w:val="-2"/>
          <w:sz w:val="24"/>
          <w:szCs w:val="24"/>
        </w:rPr>
        <w:t>também na forma de ingresso; na organização pedagógica dos cursos e na forma como eles serão ministrados;</w:t>
      </w:r>
      <w:r w:rsidRPr="00EA16B0">
        <w:rPr>
          <w:rFonts w:asciiTheme="majorHAnsi" w:hAnsiTheme="majorHAnsi" w:cstheme="majorHAnsi"/>
          <w:sz w:val="24"/>
          <w:szCs w:val="24"/>
        </w:rPr>
        <w:t xml:space="preserve"> nas políticas de incentivo à permanência e combate à evasão; nas políticas de acompanhamento dos egressos etc. Para isso, também deverão ser estabelecidas estruturas administrativas que possam garantir a unicidade </w:t>
      </w:r>
      <w:r w:rsidRPr="00EA16B0">
        <w:rPr>
          <w:rFonts w:asciiTheme="majorHAnsi" w:hAnsiTheme="majorHAnsi" w:cstheme="majorHAnsi"/>
          <w:sz w:val="24"/>
          <w:szCs w:val="24"/>
        </w:rPr>
        <w:lastRenderedPageBreak/>
        <w:t xml:space="preserve">institucional e permitir o funcionamento descentralizado dos </w:t>
      </w:r>
      <w:proofErr w:type="gramStart"/>
      <w:r w:rsidRPr="00EA16B0">
        <w:rPr>
          <w:rFonts w:asciiTheme="majorHAnsi" w:hAnsiTheme="majorHAnsi" w:cstheme="majorHAnsi"/>
          <w:sz w:val="24"/>
          <w:szCs w:val="24"/>
        </w:rPr>
        <w:t xml:space="preserve">diferentes </w:t>
      </w:r>
      <w:r w:rsidRPr="00EA16B0">
        <w:rPr>
          <w:rFonts w:asciiTheme="majorHAnsi" w:hAnsiTheme="majorHAnsi" w:cstheme="majorHAnsi"/>
          <w:i/>
          <w:iCs/>
          <w:sz w:val="24"/>
          <w:szCs w:val="24"/>
        </w:rPr>
        <w:t>campus</w:t>
      </w:r>
      <w:proofErr w:type="gramEnd"/>
      <w:r w:rsidRPr="00EA16B0">
        <w:rPr>
          <w:rFonts w:asciiTheme="majorHAnsi" w:hAnsiTheme="majorHAnsi" w:cstheme="majorHAnsi"/>
          <w:sz w:val="24"/>
          <w:szCs w:val="24"/>
        </w:rPr>
        <w:t xml:space="preserve"> e a gestão democrática das decisões. Finalmente, o corpo docente, bem como o corpo técnico-administrativo que participarão dos cursos, programas, projetos e ações, deverão atuar de modo a permitir que essas políticas se expressem e, com isso, garantir seus resultados. Isso deverá reforçar os processos avaliativos internos e externos para retroalimentar as políticas institucionais e suas ações no Distrito Federal e seu entorno.</w:t>
      </w:r>
    </w:p>
    <w:p w14:paraId="696CAABB" w14:textId="41ACD10B" w:rsidR="00D3608B" w:rsidRPr="00EA16B0" w:rsidRDefault="00D3608B" w:rsidP="006A649D">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A lista das competências que deve ter a </w:t>
      </w:r>
      <w:proofErr w:type="spellStart"/>
      <w:r w:rsidRPr="00EA16B0">
        <w:rPr>
          <w:rFonts w:asciiTheme="majorHAnsi" w:hAnsiTheme="majorHAnsi" w:cstheme="majorHAnsi"/>
          <w:sz w:val="24"/>
          <w:szCs w:val="24"/>
        </w:rPr>
        <w:t>UnDF</w:t>
      </w:r>
      <w:proofErr w:type="spellEnd"/>
      <w:r w:rsidRPr="00EA16B0">
        <w:rPr>
          <w:rFonts w:asciiTheme="majorHAnsi" w:hAnsiTheme="majorHAnsi" w:cstheme="majorHAnsi"/>
          <w:sz w:val="24"/>
          <w:szCs w:val="24"/>
        </w:rPr>
        <w:t xml:space="preserve"> e a forma como elas podem ser adquiridas a partir de sua estrutura e organização interna se expressam nas determinações dos artigos 1.</w:t>
      </w:r>
      <w:r w:rsidRPr="00EA16B0">
        <w:rPr>
          <w:rFonts w:asciiTheme="majorHAnsi" w:hAnsiTheme="majorHAnsi" w:cstheme="majorHAnsi"/>
          <w:sz w:val="24"/>
          <w:szCs w:val="24"/>
          <w:vertAlign w:val="superscript"/>
        </w:rPr>
        <w:t>o</w:t>
      </w:r>
      <w:r w:rsidRPr="00EA16B0" w:rsidDel="00D701E1">
        <w:rPr>
          <w:rFonts w:asciiTheme="majorHAnsi" w:hAnsiTheme="majorHAnsi" w:cstheme="majorHAnsi"/>
          <w:sz w:val="24"/>
          <w:szCs w:val="24"/>
        </w:rPr>
        <w:t xml:space="preserve"> </w:t>
      </w:r>
      <w:r w:rsidRPr="00EA16B0">
        <w:rPr>
          <w:rFonts w:asciiTheme="majorHAnsi" w:hAnsiTheme="majorHAnsi" w:cstheme="majorHAnsi"/>
          <w:sz w:val="24"/>
          <w:szCs w:val="24"/>
        </w:rPr>
        <w:t>e 2.</w:t>
      </w:r>
      <w:r w:rsidRPr="00EA16B0">
        <w:rPr>
          <w:rFonts w:asciiTheme="majorHAnsi" w:hAnsiTheme="majorHAnsi" w:cstheme="majorHAnsi"/>
          <w:sz w:val="24"/>
          <w:szCs w:val="24"/>
          <w:vertAlign w:val="superscript"/>
        </w:rPr>
        <w:t>o</w:t>
      </w:r>
      <w:r w:rsidRPr="00EA16B0" w:rsidDel="00D701E1">
        <w:rPr>
          <w:rFonts w:asciiTheme="majorHAnsi" w:hAnsiTheme="majorHAnsi" w:cstheme="majorHAnsi"/>
          <w:sz w:val="24"/>
          <w:szCs w:val="24"/>
        </w:rPr>
        <w:t xml:space="preserve"> </w:t>
      </w:r>
      <w:r w:rsidRPr="00EA16B0">
        <w:rPr>
          <w:rFonts w:asciiTheme="majorHAnsi" w:hAnsiTheme="majorHAnsi" w:cstheme="majorHAnsi"/>
          <w:sz w:val="24"/>
          <w:szCs w:val="24"/>
        </w:rPr>
        <w:t xml:space="preserve">de sua Lei de Criação, transcritos </w:t>
      </w:r>
      <w:proofErr w:type="gramStart"/>
      <w:r w:rsidRPr="00EA16B0">
        <w:rPr>
          <w:rFonts w:asciiTheme="majorHAnsi" w:hAnsiTheme="majorHAnsi" w:cstheme="majorHAnsi"/>
          <w:sz w:val="24"/>
          <w:szCs w:val="24"/>
        </w:rPr>
        <w:t>na quadro</w:t>
      </w:r>
      <w:proofErr w:type="gramEnd"/>
      <w:r w:rsidRPr="00EA16B0">
        <w:rPr>
          <w:rFonts w:asciiTheme="majorHAnsi" w:hAnsiTheme="majorHAnsi" w:cstheme="majorHAnsi"/>
          <w:sz w:val="24"/>
          <w:szCs w:val="24"/>
        </w:rPr>
        <w:t xml:space="preserve"> 2.1.</w:t>
      </w:r>
    </w:p>
    <w:p w14:paraId="1DDC6E56" w14:textId="77777777" w:rsidR="006A649D" w:rsidRPr="00EA16B0" w:rsidRDefault="006A649D" w:rsidP="006A649D">
      <w:pPr>
        <w:spacing w:line="360" w:lineRule="auto"/>
        <w:ind w:firstLine="709"/>
        <w:jc w:val="both"/>
        <w:rPr>
          <w:rFonts w:asciiTheme="majorHAnsi" w:hAnsiTheme="majorHAnsi" w:cstheme="majorHAnsi"/>
          <w:sz w:val="24"/>
          <w:szCs w:val="24"/>
        </w:rPr>
      </w:pPr>
    </w:p>
    <w:p w14:paraId="08DEC4D8" w14:textId="77777777" w:rsidR="00D3608B" w:rsidRPr="00EA16B0" w:rsidRDefault="00D3608B" w:rsidP="00D3608B">
      <w:pPr>
        <w:jc w:val="both"/>
        <w:rPr>
          <w:rFonts w:asciiTheme="majorHAnsi" w:hAnsiTheme="majorHAnsi" w:cstheme="majorHAnsi"/>
          <w:sz w:val="20"/>
        </w:rPr>
      </w:pPr>
      <w:r w:rsidRPr="00EA16B0">
        <w:rPr>
          <w:rFonts w:asciiTheme="majorHAnsi" w:hAnsiTheme="majorHAnsi" w:cstheme="majorHAnsi"/>
          <w:sz w:val="20"/>
        </w:rPr>
        <w:t xml:space="preserve">Quadro 2.1. Organização da </w:t>
      </w:r>
      <w:proofErr w:type="spellStart"/>
      <w:r w:rsidRPr="00EA16B0">
        <w:rPr>
          <w:rFonts w:asciiTheme="majorHAnsi" w:hAnsiTheme="majorHAnsi" w:cstheme="majorHAnsi"/>
          <w:sz w:val="20"/>
        </w:rPr>
        <w:t>UnDF</w:t>
      </w:r>
      <w:proofErr w:type="spellEnd"/>
      <w:r w:rsidRPr="00EA16B0">
        <w:rPr>
          <w:rFonts w:asciiTheme="majorHAnsi" w:hAnsiTheme="majorHAnsi" w:cstheme="majorHAnsi"/>
          <w:sz w:val="20"/>
        </w:rPr>
        <w:t xml:space="preserve"> expressa nos Art. 1º e 2º de sua Lei de Criação (LC 987/2021)</w:t>
      </w:r>
    </w:p>
    <w:tbl>
      <w:tblPr>
        <w:tblStyle w:val="TabeladeGrade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D3608B" w:rsidRPr="00EA16B0" w14:paraId="169DB35D" w14:textId="77777777" w:rsidTr="006A64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Borders>
              <w:top w:val="none" w:sz="0" w:space="0" w:color="auto"/>
              <w:left w:val="none" w:sz="0" w:space="0" w:color="auto"/>
              <w:bottom w:val="none" w:sz="0" w:space="0" w:color="auto"/>
              <w:right w:val="none" w:sz="0" w:space="0" w:color="auto"/>
            </w:tcBorders>
          </w:tcPr>
          <w:p w14:paraId="65323E13" w14:textId="77777777" w:rsidR="00D3608B" w:rsidRPr="00EA16B0" w:rsidRDefault="00D3608B" w:rsidP="00E0027D">
            <w:pPr>
              <w:jc w:val="both"/>
              <w:rPr>
                <w:rFonts w:asciiTheme="majorHAnsi" w:hAnsiTheme="majorHAnsi" w:cstheme="majorHAnsi"/>
                <w:b w:val="0"/>
                <w:szCs w:val="24"/>
              </w:rPr>
            </w:pPr>
            <w:r w:rsidRPr="00EA16B0">
              <w:rPr>
                <w:rFonts w:asciiTheme="majorHAnsi" w:hAnsiTheme="majorHAnsi" w:cstheme="majorHAnsi"/>
                <w:szCs w:val="24"/>
              </w:rPr>
              <w:t>Lei Complementar n. 987/2021 (GOVERNO DO DISTRITO FEDERAL, 2021)</w:t>
            </w:r>
          </w:p>
        </w:tc>
        <w:tc>
          <w:tcPr>
            <w:tcW w:w="4814" w:type="dxa"/>
            <w:tcBorders>
              <w:top w:val="none" w:sz="0" w:space="0" w:color="auto"/>
              <w:left w:val="none" w:sz="0" w:space="0" w:color="auto"/>
              <w:bottom w:val="none" w:sz="0" w:space="0" w:color="auto"/>
              <w:right w:val="none" w:sz="0" w:space="0" w:color="auto"/>
            </w:tcBorders>
          </w:tcPr>
          <w:p w14:paraId="5384542A" w14:textId="77777777" w:rsidR="00D3608B" w:rsidRPr="00EA16B0" w:rsidRDefault="00D3608B" w:rsidP="00E0027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4"/>
              </w:rPr>
            </w:pPr>
            <w:r w:rsidRPr="00EA16B0">
              <w:rPr>
                <w:rFonts w:asciiTheme="majorHAnsi" w:hAnsiTheme="majorHAnsi" w:cstheme="majorHAnsi"/>
                <w:szCs w:val="24"/>
              </w:rPr>
              <w:t>Consequência na organização ou no estabelecimento de políticas institucionais específicas</w:t>
            </w:r>
          </w:p>
        </w:tc>
      </w:tr>
      <w:tr w:rsidR="00D3608B" w:rsidRPr="00EA16B0" w14:paraId="1C37AB56" w14:textId="77777777" w:rsidTr="006A6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AF6C409" w14:textId="77777777" w:rsidR="00D3608B" w:rsidRPr="00EA16B0" w:rsidRDefault="00D3608B" w:rsidP="00E0027D">
            <w:pPr>
              <w:jc w:val="both"/>
              <w:rPr>
                <w:rFonts w:asciiTheme="majorHAnsi" w:hAnsiTheme="majorHAnsi" w:cstheme="majorHAnsi"/>
                <w:szCs w:val="24"/>
              </w:rPr>
            </w:pPr>
            <w:r w:rsidRPr="00EA16B0">
              <w:rPr>
                <w:rFonts w:asciiTheme="majorHAnsi" w:hAnsiTheme="majorHAnsi" w:cstheme="majorHAnsi"/>
                <w:szCs w:val="24"/>
              </w:rPr>
              <w:t>Art. 1.</w:t>
            </w:r>
            <w:r w:rsidRPr="00EA16B0">
              <w:rPr>
                <w:rFonts w:asciiTheme="majorHAnsi" w:hAnsiTheme="majorHAnsi" w:cstheme="majorHAnsi"/>
                <w:szCs w:val="24"/>
                <w:vertAlign w:val="superscript"/>
              </w:rPr>
              <w:t>o</w:t>
            </w:r>
            <w:r w:rsidRPr="00EA16B0">
              <w:rPr>
                <w:rFonts w:asciiTheme="majorHAnsi" w:hAnsiTheme="majorHAnsi" w:cstheme="majorHAnsi"/>
                <w:szCs w:val="24"/>
              </w:rPr>
              <w:t xml:space="preserve"> Fica autorizada a criação da Universidade do Distrito Federal – </w:t>
            </w:r>
            <w:proofErr w:type="spellStart"/>
            <w:r w:rsidRPr="00EA16B0">
              <w:rPr>
                <w:rFonts w:asciiTheme="majorHAnsi" w:hAnsiTheme="majorHAnsi" w:cstheme="majorHAnsi"/>
                <w:szCs w:val="24"/>
              </w:rPr>
              <w:t>UnDF</w:t>
            </w:r>
            <w:proofErr w:type="spellEnd"/>
            <w:r w:rsidRPr="00EA16B0">
              <w:rPr>
                <w:rFonts w:asciiTheme="majorHAnsi" w:hAnsiTheme="majorHAnsi" w:cstheme="majorHAnsi"/>
                <w:szCs w:val="24"/>
              </w:rPr>
              <w:t>, sob a forma de fundação pública e regime jurídico de direito público, integrante da administração indireta, vinculada diretamente à Secretaria de Estado de Educação do Distrito Federal, com sede e foro em Brasília e prazo de duração indeterminado.</w:t>
            </w:r>
          </w:p>
        </w:tc>
        <w:tc>
          <w:tcPr>
            <w:tcW w:w="4814" w:type="dxa"/>
          </w:tcPr>
          <w:p w14:paraId="27CB7186" w14:textId="77777777" w:rsidR="00D3608B" w:rsidRPr="00EA16B0" w:rsidRDefault="00D3608B" w:rsidP="00E0027D">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EA16B0">
              <w:rPr>
                <w:rFonts w:asciiTheme="majorHAnsi" w:hAnsiTheme="majorHAnsi" w:cstheme="majorHAnsi"/>
                <w:bCs/>
                <w:szCs w:val="24"/>
              </w:rPr>
              <w:t>Indissociabilidade do ensino, pesquisa e extensão, por ser Universidade. (Art. 207 da Constituição).</w:t>
            </w:r>
          </w:p>
          <w:p w14:paraId="42CEFCDE" w14:textId="77777777" w:rsidR="00D3608B" w:rsidRPr="00EA16B0" w:rsidRDefault="00D3608B" w:rsidP="00E0027D">
            <w:pPr>
              <w:tabs>
                <w:tab w:val="clear" w:pos="1615"/>
                <w:tab w:val="left" w:pos="176"/>
              </w:tabs>
              <w:ind w:left="176" w:hanging="176"/>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p>
          <w:p w14:paraId="19C7ACAA" w14:textId="77777777" w:rsidR="00D3608B" w:rsidRPr="00EA16B0" w:rsidRDefault="00D3608B" w:rsidP="00E0027D">
            <w:pPr>
              <w:tabs>
                <w:tab w:val="clear" w:pos="1615"/>
                <w:tab w:val="left" w:pos="0"/>
              </w:tabs>
              <w:ind w:left="35"/>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EA16B0">
              <w:rPr>
                <w:rFonts w:asciiTheme="majorHAnsi" w:hAnsiTheme="majorHAnsi" w:cstheme="majorHAnsi"/>
                <w:bCs/>
                <w:szCs w:val="24"/>
              </w:rPr>
              <w:t>Gestão democrática por ser IES pública, assegurados órgãos colegiados deliberativos. (Art. 56 da LDB).</w:t>
            </w:r>
          </w:p>
        </w:tc>
      </w:tr>
      <w:tr w:rsidR="00D3608B" w:rsidRPr="00EA16B0" w14:paraId="47717D2D" w14:textId="77777777" w:rsidTr="006A649D">
        <w:tc>
          <w:tcPr>
            <w:cnfStyle w:val="001000000000" w:firstRow="0" w:lastRow="0" w:firstColumn="1" w:lastColumn="0" w:oddVBand="0" w:evenVBand="0" w:oddHBand="0" w:evenHBand="0" w:firstRowFirstColumn="0" w:firstRowLastColumn="0" w:lastRowFirstColumn="0" w:lastRowLastColumn="0"/>
            <w:tcW w:w="4814" w:type="dxa"/>
          </w:tcPr>
          <w:p w14:paraId="1EB4B0DA" w14:textId="77777777" w:rsidR="00D3608B" w:rsidRPr="00EA16B0" w:rsidRDefault="00D3608B" w:rsidP="00E0027D">
            <w:pPr>
              <w:jc w:val="both"/>
              <w:rPr>
                <w:rFonts w:asciiTheme="majorHAnsi" w:hAnsiTheme="majorHAnsi" w:cstheme="majorHAnsi"/>
                <w:szCs w:val="24"/>
              </w:rPr>
            </w:pPr>
            <w:r w:rsidRPr="00EA16B0">
              <w:rPr>
                <w:rFonts w:asciiTheme="majorHAnsi" w:hAnsiTheme="majorHAnsi" w:cstheme="majorHAnsi"/>
                <w:szCs w:val="24"/>
              </w:rPr>
              <w:t>Art. 2.</w:t>
            </w:r>
            <w:r w:rsidRPr="00EA16B0">
              <w:rPr>
                <w:rFonts w:asciiTheme="majorHAnsi" w:hAnsiTheme="majorHAnsi" w:cstheme="majorHAnsi"/>
                <w:szCs w:val="24"/>
                <w:vertAlign w:val="superscript"/>
              </w:rPr>
              <w:t>o</w:t>
            </w:r>
            <w:r w:rsidRPr="00EA16B0" w:rsidDel="004657A5">
              <w:rPr>
                <w:rFonts w:asciiTheme="majorHAnsi" w:hAnsiTheme="majorHAnsi" w:cstheme="majorHAnsi"/>
                <w:szCs w:val="24"/>
              </w:rPr>
              <w:t xml:space="preserve"> </w:t>
            </w:r>
            <w:r w:rsidRPr="00EA16B0">
              <w:rPr>
                <w:rFonts w:asciiTheme="majorHAnsi" w:hAnsiTheme="majorHAnsi" w:cstheme="majorHAnsi"/>
                <w:szCs w:val="24"/>
              </w:rPr>
              <w:t xml:space="preserve">A </w:t>
            </w:r>
            <w:proofErr w:type="spellStart"/>
            <w:r w:rsidRPr="00EA16B0">
              <w:rPr>
                <w:rFonts w:asciiTheme="majorHAnsi" w:hAnsiTheme="majorHAnsi" w:cstheme="majorHAnsi"/>
                <w:szCs w:val="24"/>
              </w:rPr>
              <w:t>UnDF</w:t>
            </w:r>
            <w:proofErr w:type="spellEnd"/>
            <w:r w:rsidRPr="00EA16B0">
              <w:rPr>
                <w:rFonts w:asciiTheme="majorHAnsi" w:hAnsiTheme="majorHAnsi" w:cstheme="majorHAnsi"/>
                <w:szCs w:val="24"/>
              </w:rPr>
              <w:t xml:space="preserve"> tem por finalidade ministrar educação superior pública distrital, inclusive na modalidade a distância, autorizada pelos órgãos competentes, desenvolver pesquisas nas diversas áreas do conhecimento e promover atividades de extensão universitária, incentivando sua inserção regional mediante atuação </w:t>
            </w:r>
            <w:proofErr w:type="spellStart"/>
            <w:r w:rsidRPr="00EA16B0">
              <w:rPr>
                <w:rFonts w:asciiTheme="majorHAnsi" w:hAnsiTheme="majorHAnsi" w:cstheme="majorHAnsi"/>
                <w:szCs w:val="24"/>
              </w:rPr>
              <w:t>multicampus</w:t>
            </w:r>
            <w:proofErr w:type="spellEnd"/>
            <w:r w:rsidRPr="00EA16B0">
              <w:rPr>
                <w:rFonts w:asciiTheme="majorHAnsi" w:hAnsiTheme="majorHAnsi" w:cstheme="majorHAnsi"/>
                <w:szCs w:val="24"/>
              </w:rPr>
              <w:t xml:space="preserve"> e multiespacial, predominantemente nas localidades do Distrito Federal e entorno com menor acesso à educação superior pública, com as seguintes competências:</w:t>
            </w:r>
          </w:p>
        </w:tc>
        <w:tc>
          <w:tcPr>
            <w:tcW w:w="4814" w:type="dxa"/>
          </w:tcPr>
          <w:p w14:paraId="14F14DED" w14:textId="77777777" w:rsidR="00D3608B" w:rsidRPr="00EA16B0" w:rsidRDefault="00D3608B" w:rsidP="00E0027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EA16B0">
              <w:rPr>
                <w:rFonts w:asciiTheme="majorHAnsi" w:hAnsiTheme="majorHAnsi" w:cstheme="majorHAnsi"/>
                <w:bCs/>
                <w:szCs w:val="24"/>
              </w:rPr>
              <w:t>Oferta de cursos presenciais e a distância nas diversas áreas do conhecimento e nos diversos cursos e programas permitidos em Lei.</w:t>
            </w:r>
          </w:p>
          <w:p w14:paraId="08472F74" w14:textId="77777777" w:rsidR="00D3608B" w:rsidRPr="00EA16B0" w:rsidRDefault="00D3608B" w:rsidP="00E0027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p>
          <w:p w14:paraId="2DF42B04" w14:textId="77777777" w:rsidR="00D3608B" w:rsidRPr="00EA16B0" w:rsidRDefault="00D3608B" w:rsidP="00E0027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EA16B0">
              <w:rPr>
                <w:rFonts w:asciiTheme="majorHAnsi" w:hAnsiTheme="majorHAnsi" w:cstheme="majorHAnsi"/>
                <w:bCs/>
                <w:szCs w:val="24"/>
              </w:rPr>
              <w:t xml:space="preserve">Estrutura </w:t>
            </w:r>
            <w:proofErr w:type="spellStart"/>
            <w:r w:rsidRPr="00EA16B0">
              <w:rPr>
                <w:rFonts w:asciiTheme="majorHAnsi" w:hAnsiTheme="majorHAnsi" w:cstheme="majorHAnsi"/>
                <w:bCs/>
                <w:szCs w:val="24"/>
              </w:rPr>
              <w:t>multicampus</w:t>
            </w:r>
            <w:proofErr w:type="spellEnd"/>
            <w:r w:rsidRPr="00EA16B0">
              <w:rPr>
                <w:rFonts w:asciiTheme="majorHAnsi" w:hAnsiTheme="majorHAnsi" w:cstheme="majorHAnsi"/>
                <w:bCs/>
                <w:szCs w:val="24"/>
              </w:rPr>
              <w:t xml:space="preserve"> e multiespacial.</w:t>
            </w:r>
          </w:p>
          <w:p w14:paraId="0B2302EF" w14:textId="77777777" w:rsidR="00D3608B" w:rsidRPr="00EA16B0" w:rsidRDefault="00D3608B" w:rsidP="00E0027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p>
          <w:p w14:paraId="5934536E" w14:textId="77777777" w:rsidR="00D3608B" w:rsidRPr="00EA16B0" w:rsidRDefault="00D3608B" w:rsidP="00E0027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EA16B0">
              <w:rPr>
                <w:rFonts w:asciiTheme="majorHAnsi" w:hAnsiTheme="majorHAnsi" w:cstheme="majorHAnsi"/>
                <w:bCs/>
                <w:szCs w:val="24"/>
              </w:rPr>
              <w:t>Credenciamento junto ao CEDF para a oferta de cursos.</w:t>
            </w:r>
          </w:p>
        </w:tc>
      </w:tr>
      <w:tr w:rsidR="00D3608B" w:rsidRPr="00EA16B0" w14:paraId="6E59649E" w14:textId="77777777" w:rsidTr="006A6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7DBF57F" w14:textId="77777777" w:rsidR="00D3608B" w:rsidRPr="00EA16B0" w:rsidRDefault="00D3608B" w:rsidP="00E0027D">
            <w:pPr>
              <w:jc w:val="both"/>
              <w:rPr>
                <w:rFonts w:asciiTheme="majorHAnsi" w:hAnsiTheme="majorHAnsi" w:cstheme="majorHAnsi"/>
                <w:szCs w:val="24"/>
              </w:rPr>
            </w:pPr>
            <w:r w:rsidRPr="00EA16B0">
              <w:rPr>
                <w:rFonts w:asciiTheme="majorHAnsi" w:hAnsiTheme="majorHAnsi" w:cstheme="majorHAnsi"/>
                <w:szCs w:val="24"/>
              </w:rPr>
              <w:t xml:space="preserve">I – </w:t>
            </w:r>
            <w:proofErr w:type="gramStart"/>
            <w:r w:rsidRPr="00EA16B0">
              <w:rPr>
                <w:rFonts w:asciiTheme="majorHAnsi" w:hAnsiTheme="majorHAnsi" w:cstheme="majorHAnsi"/>
                <w:szCs w:val="24"/>
              </w:rPr>
              <w:t>elaborar e executar</w:t>
            </w:r>
            <w:proofErr w:type="gramEnd"/>
            <w:r w:rsidRPr="00EA16B0">
              <w:rPr>
                <w:rFonts w:asciiTheme="majorHAnsi" w:hAnsiTheme="majorHAnsi" w:cstheme="majorHAnsi"/>
                <w:szCs w:val="24"/>
              </w:rPr>
              <w:t xml:space="preserve"> a política de educação superior pública distrital;</w:t>
            </w:r>
          </w:p>
        </w:tc>
        <w:tc>
          <w:tcPr>
            <w:tcW w:w="4814" w:type="dxa"/>
          </w:tcPr>
          <w:p w14:paraId="7C65F448" w14:textId="77777777" w:rsidR="00D3608B" w:rsidRPr="00EA16B0" w:rsidRDefault="00D3608B" w:rsidP="00E0027D">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EA16B0">
              <w:rPr>
                <w:rFonts w:asciiTheme="majorHAnsi" w:hAnsiTheme="majorHAnsi" w:cstheme="majorHAnsi"/>
                <w:bCs/>
                <w:szCs w:val="24"/>
              </w:rPr>
              <w:t>Organização universitária a partir da gestão democrática, com Estatutos, Plano de Desenvolvimento Institucional e consonância com as políticas públicas distritais para a formação de quadros de nível superior.</w:t>
            </w:r>
          </w:p>
        </w:tc>
      </w:tr>
      <w:tr w:rsidR="00D3608B" w:rsidRPr="00EA16B0" w14:paraId="6380D2DF" w14:textId="77777777" w:rsidTr="006A649D">
        <w:tc>
          <w:tcPr>
            <w:cnfStyle w:val="001000000000" w:firstRow="0" w:lastRow="0" w:firstColumn="1" w:lastColumn="0" w:oddVBand="0" w:evenVBand="0" w:oddHBand="0" w:evenHBand="0" w:firstRowFirstColumn="0" w:firstRowLastColumn="0" w:lastRowFirstColumn="0" w:lastRowLastColumn="0"/>
            <w:tcW w:w="4814" w:type="dxa"/>
          </w:tcPr>
          <w:p w14:paraId="7675E1FA" w14:textId="77777777" w:rsidR="00D3608B" w:rsidRPr="00EA16B0" w:rsidRDefault="00D3608B" w:rsidP="00E0027D">
            <w:pPr>
              <w:jc w:val="both"/>
              <w:rPr>
                <w:rFonts w:asciiTheme="majorHAnsi" w:hAnsiTheme="majorHAnsi" w:cstheme="majorHAnsi"/>
                <w:szCs w:val="24"/>
              </w:rPr>
            </w:pPr>
            <w:r w:rsidRPr="00EA16B0">
              <w:rPr>
                <w:rFonts w:asciiTheme="majorHAnsi" w:hAnsiTheme="majorHAnsi" w:cstheme="majorHAnsi"/>
                <w:szCs w:val="24"/>
              </w:rPr>
              <w:t xml:space="preserve">II – </w:t>
            </w:r>
            <w:proofErr w:type="gramStart"/>
            <w:r w:rsidRPr="00EA16B0">
              <w:rPr>
                <w:rFonts w:asciiTheme="majorHAnsi" w:hAnsiTheme="majorHAnsi" w:cstheme="majorHAnsi"/>
                <w:szCs w:val="24"/>
              </w:rPr>
              <w:t>manter</w:t>
            </w:r>
            <w:proofErr w:type="gramEnd"/>
            <w:r w:rsidRPr="00EA16B0">
              <w:rPr>
                <w:rFonts w:asciiTheme="majorHAnsi" w:hAnsiTheme="majorHAnsi" w:cstheme="majorHAnsi"/>
                <w:szCs w:val="24"/>
              </w:rPr>
              <w:t>, planejar, coordenar e supervisionar as atividades de educação superior;</w:t>
            </w:r>
          </w:p>
        </w:tc>
        <w:tc>
          <w:tcPr>
            <w:tcW w:w="4814" w:type="dxa"/>
          </w:tcPr>
          <w:p w14:paraId="236B3945" w14:textId="77777777" w:rsidR="00D3608B" w:rsidRPr="00EA16B0" w:rsidRDefault="00D3608B" w:rsidP="00E0027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EA16B0">
              <w:rPr>
                <w:rFonts w:asciiTheme="majorHAnsi" w:hAnsiTheme="majorHAnsi" w:cstheme="majorHAnsi"/>
                <w:bCs/>
                <w:szCs w:val="24"/>
              </w:rPr>
              <w:t>Projeto Pedagógico Institucional, Plano de Desenvolvimento Institucional e organização acadêmico-administrativa condizente.</w:t>
            </w:r>
          </w:p>
        </w:tc>
      </w:tr>
      <w:tr w:rsidR="00D3608B" w:rsidRPr="00EA16B0" w14:paraId="13CF65A2" w14:textId="77777777" w:rsidTr="006A6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026A7CD" w14:textId="77777777" w:rsidR="00D3608B" w:rsidRPr="00EA16B0" w:rsidRDefault="00D3608B" w:rsidP="00E0027D">
            <w:pPr>
              <w:jc w:val="both"/>
              <w:rPr>
                <w:rFonts w:asciiTheme="majorHAnsi" w:hAnsiTheme="majorHAnsi" w:cstheme="majorHAnsi"/>
                <w:szCs w:val="24"/>
              </w:rPr>
            </w:pPr>
            <w:r w:rsidRPr="00EA16B0">
              <w:rPr>
                <w:rFonts w:asciiTheme="majorHAnsi" w:hAnsiTheme="majorHAnsi" w:cstheme="majorHAnsi"/>
                <w:szCs w:val="24"/>
              </w:rPr>
              <w:t>III – promover a implantação de unidades e cursos de educação superior pública;</w:t>
            </w:r>
          </w:p>
        </w:tc>
        <w:tc>
          <w:tcPr>
            <w:tcW w:w="4814" w:type="dxa"/>
          </w:tcPr>
          <w:p w14:paraId="460047CD" w14:textId="77777777" w:rsidR="00D3608B" w:rsidRPr="00EA16B0" w:rsidRDefault="00D3608B" w:rsidP="00E0027D">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EA16B0">
              <w:rPr>
                <w:rFonts w:asciiTheme="majorHAnsi" w:hAnsiTheme="majorHAnsi" w:cstheme="majorHAnsi"/>
                <w:bCs/>
                <w:szCs w:val="24"/>
              </w:rPr>
              <w:t>Plano de Desenvolvimento Institucional e execução das políticas de expansão nele contidas.</w:t>
            </w:r>
          </w:p>
        </w:tc>
      </w:tr>
      <w:tr w:rsidR="00D3608B" w:rsidRPr="00EA16B0" w14:paraId="512754AB" w14:textId="77777777" w:rsidTr="006A649D">
        <w:tc>
          <w:tcPr>
            <w:cnfStyle w:val="001000000000" w:firstRow="0" w:lastRow="0" w:firstColumn="1" w:lastColumn="0" w:oddVBand="0" w:evenVBand="0" w:oddHBand="0" w:evenHBand="0" w:firstRowFirstColumn="0" w:firstRowLastColumn="0" w:lastRowFirstColumn="0" w:lastRowLastColumn="0"/>
            <w:tcW w:w="4814" w:type="dxa"/>
          </w:tcPr>
          <w:p w14:paraId="167AA962" w14:textId="77777777" w:rsidR="00D3608B" w:rsidRPr="00EA16B0" w:rsidRDefault="00D3608B" w:rsidP="00E0027D">
            <w:pPr>
              <w:jc w:val="both"/>
              <w:rPr>
                <w:rFonts w:asciiTheme="majorHAnsi" w:hAnsiTheme="majorHAnsi" w:cstheme="majorHAnsi"/>
                <w:szCs w:val="24"/>
              </w:rPr>
            </w:pPr>
            <w:r w:rsidRPr="00EA16B0">
              <w:rPr>
                <w:rFonts w:asciiTheme="majorHAnsi" w:hAnsiTheme="majorHAnsi" w:cstheme="majorHAnsi"/>
                <w:szCs w:val="24"/>
              </w:rPr>
              <w:lastRenderedPageBreak/>
              <w:t xml:space="preserve">IV – </w:t>
            </w:r>
            <w:proofErr w:type="gramStart"/>
            <w:r w:rsidRPr="00EA16B0">
              <w:rPr>
                <w:rFonts w:asciiTheme="majorHAnsi" w:hAnsiTheme="majorHAnsi" w:cstheme="majorHAnsi"/>
                <w:szCs w:val="24"/>
              </w:rPr>
              <w:t>expedir</w:t>
            </w:r>
            <w:proofErr w:type="gramEnd"/>
            <w:r w:rsidRPr="00EA16B0">
              <w:rPr>
                <w:rFonts w:asciiTheme="majorHAnsi" w:hAnsiTheme="majorHAnsi" w:cstheme="majorHAnsi"/>
                <w:szCs w:val="24"/>
              </w:rPr>
              <w:t xml:space="preserve"> normas para o desempenho de suas competências;</w:t>
            </w:r>
          </w:p>
        </w:tc>
        <w:tc>
          <w:tcPr>
            <w:tcW w:w="4814" w:type="dxa"/>
          </w:tcPr>
          <w:p w14:paraId="7AC0CA8C" w14:textId="77777777" w:rsidR="00D3608B" w:rsidRPr="00EA16B0" w:rsidRDefault="00D3608B" w:rsidP="00E0027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EA16B0">
              <w:rPr>
                <w:rFonts w:asciiTheme="majorHAnsi" w:hAnsiTheme="majorHAnsi" w:cstheme="majorHAnsi"/>
                <w:bCs/>
                <w:szCs w:val="24"/>
              </w:rPr>
              <w:t>Estatutos, Regimento Geral e outras normatizações.</w:t>
            </w:r>
          </w:p>
        </w:tc>
      </w:tr>
      <w:tr w:rsidR="00D3608B" w:rsidRPr="00EA16B0" w14:paraId="1DB9E03F" w14:textId="77777777" w:rsidTr="006A6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CE80F0B" w14:textId="77777777" w:rsidR="00D3608B" w:rsidRPr="00EA16B0" w:rsidRDefault="00D3608B" w:rsidP="00E0027D">
            <w:pPr>
              <w:jc w:val="both"/>
              <w:rPr>
                <w:rFonts w:asciiTheme="majorHAnsi" w:hAnsiTheme="majorHAnsi" w:cstheme="majorHAnsi"/>
                <w:szCs w:val="24"/>
              </w:rPr>
            </w:pPr>
            <w:r w:rsidRPr="00EA16B0">
              <w:rPr>
                <w:rFonts w:asciiTheme="majorHAnsi" w:hAnsiTheme="majorHAnsi" w:cstheme="majorHAnsi"/>
                <w:szCs w:val="24"/>
              </w:rPr>
              <w:t xml:space="preserve">V – </w:t>
            </w:r>
            <w:proofErr w:type="gramStart"/>
            <w:r w:rsidRPr="00EA16B0">
              <w:rPr>
                <w:rFonts w:asciiTheme="majorHAnsi" w:hAnsiTheme="majorHAnsi" w:cstheme="majorHAnsi"/>
                <w:szCs w:val="24"/>
              </w:rPr>
              <w:t>elaborar</w:t>
            </w:r>
            <w:proofErr w:type="gramEnd"/>
            <w:r w:rsidRPr="00EA16B0">
              <w:rPr>
                <w:rFonts w:asciiTheme="majorHAnsi" w:hAnsiTheme="majorHAnsi" w:cstheme="majorHAnsi"/>
                <w:szCs w:val="24"/>
              </w:rPr>
              <w:t xml:space="preserve"> sua proposta orçamentária e administrar suas receitas e despesas;</w:t>
            </w:r>
          </w:p>
        </w:tc>
        <w:tc>
          <w:tcPr>
            <w:tcW w:w="4814" w:type="dxa"/>
          </w:tcPr>
          <w:p w14:paraId="1D95FA8E" w14:textId="77777777" w:rsidR="00D3608B" w:rsidRPr="00EA16B0" w:rsidRDefault="00D3608B" w:rsidP="00E0027D">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EA16B0">
              <w:rPr>
                <w:rFonts w:asciiTheme="majorHAnsi" w:hAnsiTheme="majorHAnsi" w:cstheme="majorHAnsi"/>
                <w:bCs/>
                <w:szCs w:val="24"/>
              </w:rPr>
              <w:t>Planejamento financeiro com base na Lei Orçamentária Distrital.</w:t>
            </w:r>
          </w:p>
        </w:tc>
      </w:tr>
      <w:tr w:rsidR="00D3608B" w:rsidRPr="00EA16B0" w14:paraId="7160672B" w14:textId="77777777" w:rsidTr="006A649D">
        <w:tc>
          <w:tcPr>
            <w:cnfStyle w:val="001000000000" w:firstRow="0" w:lastRow="0" w:firstColumn="1" w:lastColumn="0" w:oddVBand="0" w:evenVBand="0" w:oddHBand="0" w:evenHBand="0" w:firstRowFirstColumn="0" w:firstRowLastColumn="0" w:lastRowFirstColumn="0" w:lastRowLastColumn="0"/>
            <w:tcW w:w="4814" w:type="dxa"/>
          </w:tcPr>
          <w:p w14:paraId="7EDC8F60" w14:textId="77777777" w:rsidR="00D3608B" w:rsidRPr="00EA16B0" w:rsidRDefault="00D3608B" w:rsidP="00E0027D">
            <w:pPr>
              <w:jc w:val="both"/>
              <w:rPr>
                <w:rFonts w:asciiTheme="majorHAnsi" w:hAnsiTheme="majorHAnsi" w:cstheme="majorHAnsi"/>
                <w:szCs w:val="24"/>
              </w:rPr>
            </w:pPr>
            <w:r w:rsidRPr="00EA16B0">
              <w:rPr>
                <w:rFonts w:asciiTheme="majorHAnsi" w:hAnsiTheme="majorHAnsi" w:cstheme="majorHAnsi"/>
                <w:szCs w:val="24"/>
              </w:rPr>
              <w:t xml:space="preserve">VI – </w:t>
            </w:r>
            <w:proofErr w:type="gramStart"/>
            <w:r w:rsidRPr="00EA16B0">
              <w:rPr>
                <w:rFonts w:asciiTheme="majorHAnsi" w:hAnsiTheme="majorHAnsi" w:cstheme="majorHAnsi"/>
                <w:szCs w:val="24"/>
              </w:rPr>
              <w:t>firmar</w:t>
            </w:r>
            <w:proofErr w:type="gramEnd"/>
            <w:r w:rsidRPr="00EA16B0">
              <w:rPr>
                <w:rFonts w:asciiTheme="majorHAnsi" w:hAnsiTheme="majorHAnsi" w:cstheme="majorHAnsi"/>
                <w:szCs w:val="24"/>
              </w:rPr>
              <w:t xml:space="preserve"> convênios, termos de cooperação técnica, contratos e parcerias, especialmente com a administração pública distrital, voltados à realização dos seus objetivos, na forma da lei;</w:t>
            </w:r>
          </w:p>
        </w:tc>
        <w:tc>
          <w:tcPr>
            <w:tcW w:w="4814" w:type="dxa"/>
          </w:tcPr>
          <w:p w14:paraId="6E754272" w14:textId="77777777" w:rsidR="00D3608B" w:rsidRPr="00EA16B0" w:rsidRDefault="00D3608B" w:rsidP="00E0027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EA16B0">
              <w:rPr>
                <w:rFonts w:asciiTheme="majorHAnsi" w:hAnsiTheme="majorHAnsi" w:cstheme="majorHAnsi"/>
                <w:bCs/>
                <w:szCs w:val="24"/>
              </w:rPr>
              <w:t>Externalização das ações acadêmicas, de pesquisa, extensão e inovação para a sociedade local, regional, nacional e internacional, a partir de redes de interação formalmente estabelecidas.</w:t>
            </w:r>
          </w:p>
          <w:p w14:paraId="2382F0E6" w14:textId="77777777" w:rsidR="00D3608B" w:rsidRPr="00EA16B0" w:rsidRDefault="00D3608B" w:rsidP="00E0027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EA16B0">
              <w:rPr>
                <w:rFonts w:asciiTheme="majorHAnsi" w:hAnsiTheme="majorHAnsi" w:cstheme="majorHAnsi"/>
                <w:bCs/>
                <w:szCs w:val="24"/>
              </w:rPr>
              <w:t>Política 1: exteriorização e internacionalização.</w:t>
            </w:r>
          </w:p>
        </w:tc>
      </w:tr>
      <w:tr w:rsidR="00D3608B" w:rsidRPr="00EA16B0" w14:paraId="4B672202" w14:textId="77777777" w:rsidTr="006A6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A62BEA1" w14:textId="77777777" w:rsidR="00D3608B" w:rsidRPr="00EA16B0" w:rsidRDefault="00D3608B" w:rsidP="00E0027D">
            <w:pPr>
              <w:tabs>
                <w:tab w:val="clear" w:pos="1615"/>
              </w:tabs>
              <w:autoSpaceDE w:val="0"/>
              <w:autoSpaceDN w:val="0"/>
              <w:adjustRightInd w:val="0"/>
              <w:jc w:val="both"/>
              <w:rPr>
                <w:rFonts w:asciiTheme="majorHAnsi" w:hAnsiTheme="majorHAnsi" w:cstheme="majorHAnsi"/>
                <w:szCs w:val="24"/>
              </w:rPr>
            </w:pPr>
            <w:r w:rsidRPr="00EA16B0">
              <w:rPr>
                <w:rFonts w:asciiTheme="majorHAnsi" w:hAnsiTheme="majorHAnsi" w:cstheme="majorHAnsi"/>
                <w:szCs w:val="24"/>
              </w:rPr>
              <w:t>VII – colaborar na elaboração, planejamento e avaliação das políticas de desenvolvimento regionais, inclusive com a prestação de serviços de consultoria, assessoria e correlatos;</w:t>
            </w:r>
          </w:p>
        </w:tc>
        <w:tc>
          <w:tcPr>
            <w:tcW w:w="4814" w:type="dxa"/>
          </w:tcPr>
          <w:p w14:paraId="5937F071" w14:textId="77777777" w:rsidR="00D3608B" w:rsidRPr="00EA16B0" w:rsidRDefault="00D3608B" w:rsidP="00E0027D">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EA16B0">
              <w:rPr>
                <w:rFonts w:asciiTheme="majorHAnsi" w:hAnsiTheme="majorHAnsi" w:cstheme="majorHAnsi"/>
                <w:bCs/>
                <w:szCs w:val="24"/>
              </w:rPr>
              <w:t>Organização de Setor voltado para o desenvolvimento local e regional, com prestação de serviços especializados inerentes às suas funções e vocação.</w:t>
            </w:r>
          </w:p>
          <w:p w14:paraId="5210039B" w14:textId="77777777" w:rsidR="00D3608B" w:rsidRPr="00EA16B0" w:rsidRDefault="00D3608B" w:rsidP="00E0027D">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EA16B0">
              <w:rPr>
                <w:rFonts w:asciiTheme="majorHAnsi" w:hAnsiTheme="majorHAnsi" w:cstheme="majorHAnsi"/>
                <w:bCs/>
                <w:szCs w:val="24"/>
              </w:rPr>
              <w:t>Política 2: polo irradiador de desenvolvimento.</w:t>
            </w:r>
          </w:p>
        </w:tc>
      </w:tr>
      <w:tr w:rsidR="00D3608B" w:rsidRPr="00EA16B0" w14:paraId="11042FB5" w14:textId="77777777" w:rsidTr="006A649D">
        <w:tc>
          <w:tcPr>
            <w:cnfStyle w:val="001000000000" w:firstRow="0" w:lastRow="0" w:firstColumn="1" w:lastColumn="0" w:oddVBand="0" w:evenVBand="0" w:oddHBand="0" w:evenHBand="0" w:firstRowFirstColumn="0" w:firstRowLastColumn="0" w:lastRowFirstColumn="0" w:lastRowLastColumn="0"/>
            <w:tcW w:w="4814" w:type="dxa"/>
          </w:tcPr>
          <w:p w14:paraId="4E907241" w14:textId="77777777" w:rsidR="00D3608B" w:rsidRPr="00EA16B0" w:rsidRDefault="00D3608B" w:rsidP="00E0027D">
            <w:pPr>
              <w:tabs>
                <w:tab w:val="clear" w:pos="1615"/>
              </w:tabs>
              <w:autoSpaceDE w:val="0"/>
              <w:autoSpaceDN w:val="0"/>
              <w:adjustRightInd w:val="0"/>
              <w:jc w:val="both"/>
              <w:rPr>
                <w:rFonts w:asciiTheme="majorHAnsi" w:hAnsiTheme="majorHAnsi" w:cstheme="majorHAnsi"/>
                <w:szCs w:val="24"/>
              </w:rPr>
            </w:pPr>
            <w:r w:rsidRPr="00EA16B0">
              <w:rPr>
                <w:rFonts w:asciiTheme="majorHAnsi" w:hAnsiTheme="majorHAnsi" w:cstheme="majorHAnsi"/>
                <w:szCs w:val="24"/>
              </w:rPr>
              <w:t xml:space="preserve">VIII – cooperar e fomentar parcerias e intercâmbios com universidades e outras instituições científicas, culturais e educacionais brasileiras e internacionais, visando garantir qualidade científica, educacional e tecnológica às ações da </w:t>
            </w:r>
            <w:proofErr w:type="spellStart"/>
            <w:r w:rsidRPr="00EA16B0">
              <w:rPr>
                <w:rFonts w:asciiTheme="majorHAnsi" w:hAnsiTheme="majorHAnsi" w:cstheme="majorHAnsi"/>
                <w:szCs w:val="24"/>
              </w:rPr>
              <w:t>UnDF</w:t>
            </w:r>
            <w:proofErr w:type="spellEnd"/>
            <w:r w:rsidRPr="00EA16B0">
              <w:rPr>
                <w:rFonts w:asciiTheme="majorHAnsi" w:hAnsiTheme="majorHAnsi" w:cstheme="majorHAnsi"/>
                <w:szCs w:val="24"/>
              </w:rPr>
              <w:t>;</w:t>
            </w:r>
          </w:p>
        </w:tc>
        <w:tc>
          <w:tcPr>
            <w:tcW w:w="4814" w:type="dxa"/>
          </w:tcPr>
          <w:p w14:paraId="167C050D" w14:textId="77777777" w:rsidR="00D3608B" w:rsidRPr="00EA16B0" w:rsidRDefault="00D3608B" w:rsidP="00E0027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EA16B0">
              <w:rPr>
                <w:rFonts w:asciiTheme="majorHAnsi" w:hAnsiTheme="majorHAnsi" w:cstheme="majorHAnsi"/>
                <w:bCs/>
                <w:szCs w:val="24"/>
              </w:rPr>
              <w:t>Organização de Setor para tratar da interação com outras IES nacionais e do exterior.</w:t>
            </w:r>
          </w:p>
          <w:p w14:paraId="2EDA8A9B" w14:textId="77777777" w:rsidR="00D3608B" w:rsidRPr="00EA16B0" w:rsidRDefault="00D3608B" w:rsidP="00E0027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EA16B0">
              <w:rPr>
                <w:rFonts w:asciiTheme="majorHAnsi" w:hAnsiTheme="majorHAnsi" w:cstheme="majorHAnsi"/>
                <w:bCs/>
                <w:szCs w:val="24"/>
              </w:rPr>
              <w:t>Política 1: exteriorização e internacionalização.</w:t>
            </w:r>
          </w:p>
        </w:tc>
      </w:tr>
      <w:tr w:rsidR="00D3608B" w:rsidRPr="00EA16B0" w14:paraId="577F843B" w14:textId="77777777" w:rsidTr="006A6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8A6EC99" w14:textId="77777777" w:rsidR="00D3608B" w:rsidRPr="00EA16B0" w:rsidRDefault="00D3608B" w:rsidP="00E0027D">
            <w:pPr>
              <w:jc w:val="both"/>
              <w:rPr>
                <w:rFonts w:asciiTheme="majorHAnsi" w:hAnsiTheme="majorHAnsi" w:cstheme="majorHAnsi"/>
                <w:szCs w:val="24"/>
              </w:rPr>
            </w:pPr>
            <w:r w:rsidRPr="00EA16B0">
              <w:rPr>
                <w:rFonts w:asciiTheme="majorHAnsi" w:hAnsiTheme="majorHAnsi" w:cstheme="majorHAnsi"/>
                <w:szCs w:val="24"/>
              </w:rPr>
              <w:t xml:space="preserve">IX – </w:t>
            </w:r>
            <w:proofErr w:type="gramStart"/>
            <w:r w:rsidRPr="00EA16B0">
              <w:rPr>
                <w:rFonts w:asciiTheme="majorHAnsi" w:hAnsiTheme="majorHAnsi" w:cstheme="majorHAnsi"/>
                <w:szCs w:val="24"/>
              </w:rPr>
              <w:t>elaborar e implementar</w:t>
            </w:r>
            <w:proofErr w:type="gramEnd"/>
            <w:r w:rsidRPr="00EA16B0">
              <w:rPr>
                <w:rFonts w:asciiTheme="majorHAnsi" w:hAnsiTheme="majorHAnsi" w:cstheme="majorHAnsi"/>
                <w:szCs w:val="24"/>
              </w:rPr>
              <w:t xml:space="preserve"> programa de assistência estudantil, para coibir a evasão de estudantes em contexto de vulnerabilidade social, observado o disposto na legislação específica.</w:t>
            </w:r>
          </w:p>
        </w:tc>
        <w:tc>
          <w:tcPr>
            <w:tcW w:w="4814" w:type="dxa"/>
          </w:tcPr>
          <w:p w14:paraId="66CF8C1C" w14:textId="77777777" w:rsidR="00D3608B" w:rsidRPr="00EA16B0" w:rsidRDefault="00D3608B" w:rsidP="00E0027D">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EA16B0">
              <w:rPr>
                <w:rFonts w:asciiTheme="majorHAnsi" w:hAnsiTheme="majorHAnsi" w:cstheme="majorHAnsi"/>
                <w:bCs/>
                <w:szCs w:val="24"/>
              </w:rPr>
              <w:t>Organização de Setor voltado para a assistência estudantil.</w:t>
            </w:r>
          </w:p>
          <w:p w14:paraId="433F08E8" w14:textId="77777777" w:rsidR="00D3608B" w:rsidRPr="00EA16B0" w:rsidRDefault="00D3608B" w:rsidP="00E0027D">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EA16B0">
              <w:rPr>
                <w:rFonts w:asciiTheme="majorHAnsi" w:hAnsiTheme="majorHAnsi" w:cstheme="majorHAnsi"/>
                <w:bCs/>
                <w:szCs w:val="24"/>
              </w:rPr>
              <w:t>Política 3: ações afirmativas.</w:t>
            </w:r>
          </w:p>
          <w:p w14:paraId="644573FC" w14:textId="77777777" w:rsidR="00D3608B" w:rsidRPr="00EA16B0" w:rsidRDefault="00D3608B" w:rsidP="00E0027D">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rPr>
            </w:pPr>
            <w:r w:rsidRPr="00EA16B0">
              <w:rPr>
                <w:rFonts w:asciiTheme="majorHAnsi" w:hAnsiTheme="majorHAnsi" w:cstheme="majorHAnsi"/>
                <w:bCs/>
                <w:szCs w:val="24"/>
              </w:rPr>
              <w:t>Política 4: estímulo à permanência e combate à evasão.</w:t>
            </w:r>
          </w:p>
        </w:tc>
      </w:tr>
    </w:tbl>
    <w:p w14:paraId="5200A4AC" w14:textId="77777777" w:rsidR="00D3608B" w:rsidRPr="00EA16B0" w:rsidRDefault="00D3608B" w:rsidP="00D3608B">
      <w:pPr>
        <w:spacing w:before="60" w:after="240"/>
        <w:jc w:val="both"/>
        <w:rPr>
          <w:rFonts w:asciiTheme="majorHAnsi" w:hAnsiTheme="majorHAnsi" w:cstheme="majorHAnsi"/>
          <w:sz w:val="16"/>
        </w:rPr>
      </w:pPr>
      <w:r w:rsidRPr="00EA16B0">
        <w:rPr>
          <w:rFonts w:asciiTheme="majorHAnsi" w:hAnsiTheme="majorHAnsi" w:cstheme="majorHAnsi"/>
          <w:sz w:val="16"/>
        </w:rPr>
        <w:t>Fonte: Elaborado pelo autor a partir da LC 987/2021 (DISTRITO FEDERAL, 2021a).</w:t>
      </w:r>
    </w:p>
    <w:p w14:paraId="7DBA4122" w14:textId="77777777" w:rsidR="00D3608B" w:rsidRPr="00EA16B0" w:rsidRDefault="00D3608B" w:rsidP="00D3608B">
      <w:pPr>
        <w:spacing w:after="240"/>
        <w:jc w:val="both"/>
        <w:rPr>
          <w:rFonts w:asciiTheme="majorHAnsi" w:hAnsiTheme="majorHAnsi" w:cstheme="majorHAnsi"/>
        </w:rPr>
      </w:pPr>
      <w:r w:rsidRPr="00EA16B0">
        <w:rPr>
          <w:rFonts w:asciiTheme="majorHAnsi" w:hAnsiTheme="majorHAnsi" w:cstheme="majorHAnsi"/>
        </w:rPr>
        <w:t>A Lei de Criação da Universidade também estabelece uma série de diretrizes em seu Art. 3.</w:t>
      </w:r>
      <w:r w:rsidRPr="00EA16B0">
        <w:rPr>
          <w:rFonts w:asciiTheme="majorHAnsi" w:hAnsiTheme="majorHAnsi" w:cstheme="majorHAnsi"/>
          <w:vertAlign w:val="superscript"/>
        </w:rPr>
        <w:t>o</w:t>
      </w:r>
      <w:r w:rsidRPr="00EA16B0">
        <w:rPr>
          <w:rFonts w:asciiTheme="majorHAnsi" w:hAnsiTheme="majorHAnsi" w:cstheme="majorHAnsi"/>
        </w:rPr>
        <w:t xml:space="preserve"> que expressam as diferentes políticas institucionais, direta ou indiretamente vinculadas ao ensino (quadro 2.2).</w:t>
      </w:r>
    </w:p>
    <w:p w14:paraId="6D61AFB5" w14:textId="77777777" w:rsidR="00D3608B" w:rsidRPr="00EA16B0" w:rsidRDefault="00D3608B" w:rsidP="00D3608B">
      <w:pPr>
        <w:spacing w:after="240"/>
        <w:jc w:val="both"/>
        <w:rPr>
          <w:rFonts w:asciiTheme="majorHAnsi" w:hAnsiTheme="majorHAnsi" w:cstheme="majorHAnsi"/>
        </w:rPr>
      </w:pPr>
    </w:p>
    <w:p w14:paraId="579EA46B" w14:textId="77777777" w:rsidR="00D3608B" w:rsidRPr="00EA16B0" w:rsidRDefault="00D3608B" w:rsidP="00D3608B">
      <w:pPr>
        <w:jc w:val="both"/>
        <w:rPr>
          <w:rFonts w:asciiTheme="majorHAnsi" w:hAnsiTheme="majorHAnsi" w:cstheme="majorHAnsi"/>
          <w:sz w:val="20"/>
        </w:rPr>
      </w:pPr>
      <w:r w:rsidRPr="00EA16B0">
        <w:rPr>
          <w:rFonts w:asciiTheme="majorHAnsi" w:hAnsiTheme="majorHAnsi" w:cstheme="majorHAnsi"/>
          <w:sz w:val="20"/>
        </w:rPr>
        <w:t xml:space="preserve">Quadro 2.2. Relação de políticas associadas às diretrizes de atuação da </w:t>
      </w:r>
      <w:proofErr w:type="spellStart"/>
      <w:r w:rsidRPr="00EA16B0">
        <w:rPr>
          <w:rFonts w:asciiTheme="majorHAnsi" w:hAnsiTheme="majorHAnsi" w:cstheme="majorHAnsi"/>
          <w:sz w:val="20"/>
        </w:rPr>
        <w:t>UnDF</w:t>
      </w:r>
      <w:proofErr w:type="spellEnd"/>
      <w:r w:rsidRPr="00EA16B0">
        <w:rPr>
          <w:rFonts w:asciiTheme="majorHAnsi" w:hAnsiTheme="majorHAnsi" w:cstheme="majorHAnsi"/>
          <w:sz w:val="20"/>
        </w:rPr>
        <w:t xml:space="preserve"> constantes do Art. 3.</w:t>
      </w:r>
      <w:r w:rsidRPr="00EA16B0">
        <w:rPr>
          <w:rFonts w:asciiTheme="majorHAnsi" w:hAnsiTheme="majorHAnsi" w:cstheme="majorHAnsi"/>
          <w:sz w:val="20"/>
          <w:vertAlign w:val="superscript"/>
        </w:rPr>
        <w:t>o</w:t>
      </w:r>
      <w:r w:rsidRPr="00EA16B0">
        <w:rPr>
          <w:rFonts w:asciiTheme="majorHAnsi" w:hAnsiTheme="majorHAnsi" w:cstheme="majorHAnsi"/>
          <w:sz w:val="20"/>
        </w:rPr>
        <w:t xml:space="preserve"> da LC n. 987/2021</w:t>
      </w:r>
    </w:p>
    <w:tbl>
      <w:tblPr>
        <w:tblStyle w:val="TabeladeGrade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4246"/>
      </w:tblGrid>
      <w:tr w:rsidR="00D3608B" w:rsidRPr="00EA16B0" w14:paraId="07FF9153" w14:textId="77777777" w:rsidTr="006A64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2"/>
            <w:tcBorders>
              <w:top w:val="none" w:sz="0" w:space="0" w:color="auto"/>
              <w:left w:val="none" w:sz="0" w:space="0" w:color="auto"/>
              <w:bottom w:val="none" w:sz="0" w:space="0" w:color="auto"/>
              <w:right w:val="none" w:sz="0" w:space="0" w:color="auto"/>
            </w:tcBorders>
          </w:tcPr>
          <w:p w14:paraId="7C168BD6" w14:textId="77777777" w:rsidR="00D3608B" w:rsidRPr="00EA16B0" w:rsidRDefault="00D3608B" w:rsidP="00E0027D">
            <w:pPr>
              <w:tabs>
                <w:tab w:val="clear" w:pos="1615"/>
              </w:tabs>
              <w:autoSpaceDE w:val="0"/>
              <w:autoSpaceDN w:val="0"/>
              <w:adjustRightInd w:val="0"/>
              <w:rPr>
                <w:rFonts w:asciiTheme="majorHAnsi" w:hAnsiTheme="majorHAnsi" w:cstheme="majorHAnsi"/>
                <w:b w:val="0"/>
                <w:szCs w:val="20"/>
              </w:rPr>
            </w:pPr>
            <w:r w:rsidRPr="00EA16B0">
              <w:rPr>
                <w:rFonts w:asciiTheme="majorHAnsi" w:hAnsiTheme="majorHAnsi" w:cstheme="majorHAnsi"/>
                <w:szCs w:val="20"/>
              </w:rPr>
              <w:t>Art. 3.</w:t>
            </w:r>
            <w:r w:rsidRPr="00EA16B0">
              <w:rPr>
                <w:rFonts w:asciiTheme="majorHAnsi" w:hAnsiTheme="majorHAnsi" w:cstheme="majorHAnsi"/>
                <w:szCs w:val="20"/>
                <w:vertAlign w:val="superscript"/>
              </w:rPr>
              <w:t>o</w:t>
            </w:r>
            <w:r w:rsidRPr="00EA16B0">
              <w:rPr>
                <w:rFonts w:asciiTheme="majorHAnsi" w:hAnsiTheme="majorHAnsi" w:cstheme="majorHAnsi"/>
                <w:szCs w:val="20"/>
              </w:rPr>
              <w:t xml:space="preserve"> São diretrizes de atuação da </w:t>
            </w:r>
            <w:proofErr w:type="spellStart"/>
            <w:r w:rsidRPr="00EA16B0">
              <w:rPr>
                <w:rFonts w:asciiTheme="majorHAnsi" w:hAnsiTheme="majorHAnsi" w:cstheme="majorHAnsi"/>
                <w:szCs w:val="20"/>
              </w:rPr>
              <w:t>UnDF</w:t>
            </w:r>
            <w:proofErr w:type="spellEnd"/>
            <w:r w:rsidRPr="00EA16B0">
              <w:rPr>
                <w:rFonts w:asciiTheme="majorHAnsi" w:hAnsiTheme="majorHAnsi" w:cstheme="majorHAnsi"/>
                <w:szCs w:val="20"/>
              </w:rPr>
              <w:t>:</w:t>
            </w:r>
          </w:p>
        </w:tc>
      </w:tr>
      <w:tr w:rsidR="00D3608B" w:rsidRPr="00EA16B0" w14:paraId="075BB17F" w14:textId="77777777" w:rsidTr="006A6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7276C4F0" w14:textId="77777777" w:rsidR="00D3608B" w:rsidRPr="00EA16B0" w:rsidRDefault="00D3608B" w:rsidP="00E0027D">
            <w:pPr>
              <w:tabs>
                <w:tab w:val="clear" w:pos="1615"/>
              </w:tabs>
              <w:autoSpaceDE w:val="0"/>
              <w:autoSpaceDN w:val="0"/>
              <w:adjustRightInd w:val="0"/>
              <w:rPr>
                <w:rFonts w:asciiTheme="majorHAnsi" w:hAnsiTheme="majorHAnsi" w:cstheme="majorHAnsi"/>
                <w:b w:val="0"/>
                <w:color w:val="000000"/>
                <w:szCs w:val="20"/>
              </w:rPr>
            </w:pPr>
            <w:r w:rsidRPr="00EA16B0">
              <w:rPr>
                <w:rFonts w:asciiTheme="majorHAnsi" w:hAnsiTheme="majorHAnsi" w:cstheme="majorHAnsi"/>
                <w:color w:val="000000"/>
                <w:szCs w:val="20"/>
              </w:rPr>
              <w:t>inciso</w:t>
            </w:r>
          </w:p>
        </w:tc>
        <w:tc>
          <w:tcPr>
            <w:tcW w:w="4246" w:type="dxa"/>
          </w:tcPr>
          <w:p w14:paraId="516E1656" w14:textId="77777777" w:rsidR="00D3608B" w:rsidRPr="00EA16B0" w:rsidRDefault="00D3608B" w:rsidP="00E0027D">
            <w:pPr>
              <w:tabs>
                <w:tab w:val="clear" w:pos="1615"/>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Cs w:val="20"/>
              </w:rPr>
            </w:pPr>
            <w:r w:rsidRPr="00EA16B0">
              <w:rPr>
                <w:rFonts w:asciiTheme="majorHAnsi" w:hAnsiTheme="majorHAnsi" w:cstheme="majorHAnsi"/>
                <w:b/>
                <w:color w:val="000000"/>
                <w:szCs w:val="20"/>
              </w:rPr>
              <w:t>Principais Políticas associadas</w:t>
            </w:r>
          </w:p>
        </w:tc>
      </w:tr>
      <w:tr w:rsidR="00D3608B" w:rsidRPr="00EA16B0" w14:paraId="54D01F6C" w14:textId="77777777" w:rsidTr="006A649D">
        <w:tc>
          <w:tcPr>
            <w:cnfStyle w:val="001000000000" w:firstRow="0" w:lastRow="0" w:firstColumn="1" w:lastColumn="0" w:oddVBand="0" w:evenVBand="0" w:oddHBand="0" w:evenHBand="0" w:firstRowFirstColumn="0" w:firstRowLastColumn="0" w:lastRowFirstColumn="0" w:lastRowLastColumn="0"/>
            <w:tcW w:w="5382" w:type="dxa"/>
          </w:tcPr>
          <w:p w14:paraId="63B4F6DA" w14:textId="77777777" w:rsidR="00D3608B" w:rsidRPr="00EA16B0" w:rsidRDefault="00D3608B" w:rsidP="00E0027D">
            <w:pPr>
              <w:tabs>
                <w:tab w:val="clear" w:pos="1615"/>
              </w:tabs>
              <w:autoSpaceDE w:val="0"/>
              <w:autoSpaceDN w:val="0"/>
              <w:adjustRightInd w:val="0"/>
              <w:jc w:val="both"/>
              <w:rPr>
                <w:rFonts w:asciiTheme="majorHAnsi" w:hAnsiTheme="majorHAnsi" w:cstheme="majorHAnsi"/>
                <w:szCs w:val="20"/>
              </w:rPr>
            </w:pPr>
            <w:r w:rsidRPr="00EA16B0">
              <w:rPr>
                <w:rFonts w:asciiTheme="majorHAnsi" w:hAnsiTheme="majorHAnsi" w:cstheme="majorHAnsi"/>
                <w:szCs w:val="20"/>
              </w:rPr>
              <w:t xml:space="preserve">I – </w:t>
            </w:r>
            <w:proofErr w:type="gramStart"/>
            <w:r w:rsidRPr="00EA16B0">
              <w:rPr>
                <w:rFonts w:asciiTheme="majorHAnsi" w:hAnsiTheme="majorHAnsi" w:cstheme="majorHAnsi"/>
                <w:szCs w:val="20"/>
              </w:rPr>
              <w:t>priorização</w:t>
            </w:r>
            <w:proofErr w:type="gramEnd"/>
            <w:r w:rsidRPr="00EA16B0">
              <w:rPr>
                <w:rFonts w:asciiTheme="majorHAnsi" w:hAnsiTheme="majorHAnsi" w:cstheme="majorHAnsi"/>
                <w:szCs w:val="20"/>
              </w:rPr>
              <w:t xml:space="preserve"> das necessidades e dos problemas do Distrito Federal e entorno na manutenção e programação de cursos e outras atividades orientadas;</w:t>
            </w:r>
          </w:p>
          <w:p w14:paraId="306EFF5C" w14:textId="77777777" w:rsidR="00D3608B" w:rsidRPr="00EA16B0" w:rsidRDefault="00D3608B" w:rsidP="00E0027D">
            <w:pPr>
              <w:tabs>
                <w:tab w:val="clear" w:pos="1615"/>
              </w:tabs>
              <w:autoSpaceDE w:val="0"/>
              <w:autoSpaceDN w:val="0"/>
              <w:adjustRightInd w:val="0"/>
              <w:jc w:val="both"/>
              <w:rPr>
                <w:rFonts w:asciiTheme="majorHAnsi" w:hAnsiTheme="majorHAnsi" w:cstheme="majorHAnsi"/>
                <w:szCs w:val="20"/>
              </w:rPr>
            </w:pPr>
            <w:r w:rsidRPr="00EA16B0">
              <w:rPr>
                <w:rFonts w:asciiTheme="majorHAnsi" w:hAnsiTheme="majorHAnsi" w:cstheme="majorHAnsi"/>
                <w:szCs w:val="20"/>
              </w:rPr>
              <w:t xml:space="preserve">II – </w:t>
            </w:r>
            <w:proofErr w:type="gramStart"/>
            <w:r w:rsidRPr="00EA16B0">
              <w:rPr>
                <w:rFonts w:asciiTheme="majorHAnsi" w:hAnsiTheme="majorHAnsi" w:cstheme="majorHAnsi"/>
                <w:szCs w:val="20"/>
              </w:rPr>
              <w:t>atendimento</w:t>
            </w:r>
            <w:proofErr w:type="gramEnd"/>
            <w:r w:rsidRPr="00EA16B0">
              <w:rPr>
                <w:rFonts w:asciiTheme="majorHAnsi" w:hAnsiTheme="majorHAnsi" w:cstheme="majorHAnsi"/>
                <w:szCs w:val="20"/>
              </w:rPr>
              <w:t xml:space="preserve"> prioritário a localidades do Distrito Federal e entorno com menor acesso à educação superior pública;</w:t>
            </w:r>
          </w:p>
          <w:p w14:paraId="2D47310F" w14:textId="77777777" w:rsidR="00D3608B" w:rsidRPr="00EA16B0" w:rsidRDefault="00D3608B" w:rsidP="00E0027D">
            <w:pPr>
              <w:tabs>
                <w:tab w:val="clear" w:pos="1615"/>
              </w:tabs>
              <w:autoSpaceDE w:val="0"/>
              <w:autoSpaceDN w:val="0"/>
              <w:adjustRightInd w:val="0"/>
              <w:jc w:val="both"/>
              <w:rPr>
                <w:rFonts w:asciiTheme="majorHAnsi" w:hAnsiTheme="majorHAnsi" w:cstheme="majorHAnsi"/>
                <w:szCs w:val="20"/>
              </w:rPr>
            </w:pPr>
            <w:r w:rsidRPr="00EA16B0">
              <w:rPr>
                <w:rFonts w:asciiTheme="majorHAnsi" w:hAnsiTheme="majorHAnsi" w:cstheme="majorHAnsi"/>
                <w:szCs w:val="20"/>
              </w:rPr>
              <w:t xml:space="preserve">III – integração da educação superior pública com as políticas públicas, programas e ações institucionais desenvolvidos em âmbito </w:t>
            </w:r>
            <w:proofErr w:type="spellStart"/>
            <w:r w:rsidRPr="00EA16B0">
              <w:rPr>
                <w:rFonts w:asciiTheme="majorHAnsi" w:hAnsiTheme="majorHAnsi" w:cstheme="majorHAnsi"/>
                <w:szCs w:val="20"/>
              </w:rPr>
              <w:t>locorregional</w:t>
            </w:r>
            <w:proofErr w:type="spellEnd"/>
            <w:r w:rsidRPr="00EA16B0">
              <w:rPr>
                <w:rFonts w:asciiTheme="majorHAnsi" w:hAnsiTheme="majorHAnsi" w:cstheme="majorHAnsi"/>
                <w:szCs w:val="20"/>
              </w:rPr>
              <w:t>.</w:t>
            </w:r>
          </w:p>
        </w:tc>
        <w:tc>
          <w:tcPr>
            <w:tcW w:w="4246" w:type="dxa"/>
          </w:tcPr>
          <w:p w14:paraId="1F31CE9D" w14:textId="77777777" w:rsidR="00D3608B" w:rsidRPr="00EA16B0" w:rsidRDefault="00D3608B" w:rsidP="00E0027D">
            <w:pPr>
              <w:tabs>
                <w:tab w:val="clear" w:pos="161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0"/>
              </w:rPr>
            </w:pPr>
            <w:r w:rsidRPr="00EA16B0">
              <w:rPr>
                <w:rFonts w:asciiTheme="majorHAnsi" w:hAnsiTheme="majorHAnsi" w:cstheme="majorHAnsi"/>
                <w:bCs/>
                <w:szCs w:val="20"/>
              </w:rPr>
              <w:t>Política 5: Interação com a sociedade organizada distrital e entorno nas ações da Universidade, aí incluída a programação de cursos.</w:t>
            </w:r>
          </w:p>
        </w:tc>
      </w:tr>
      <w:tr w:rsidR="00D3608B" w:rsidRPr="00EA16B0" w14:paraId="115899CB" w14:textId="77777777" w:rsidTr="006A6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4F524986" w14:textId="77777777" w:rsidR="00D3608B" w:rsidRPr="00EA16B0" w:rsidRDefault="00D3608B" w:rsidP="00E0027D">
            <w:pPr>
              <w:tabs>
                <w:tab w:val="clear" w:pos="1615"/>
              </w:tabs>
              <w:autoSpaceDE w:val="0"/>
              <w:autoSpaceDN w:val="0"/>
              <w:adjustRightInd w:val="0"/>
              <w:jc w:val="both"/>
              <w:rPr>
                <w:rFonts w:asciiTheme="majorHAnsi" w:hAnsiTheme="majorHAnsi" w:cstheme="majorHAnsi"/>
                <w:szCs w:val="20"/>
              </w:rPr>
            </w:pPr>
            <w:r w:rsidRPr="00EA16B0">
              <w:rPr>
                <w:rFonts w:asciiTheme="majorHAnsi" w:hAnsiTheme="majorHAnsi" w:cstheme="majorHAnsi"/>
                <w:szCs w:val="20"/>
              </w:rPr>
              <w:t xml:space="preserve">IV – </w:t>
            </w:r>
            <w:proofErr w:type="gramStart"/>
            <w:r w:rsidRPr="00EA16B0">
              <w:rPr>
                <w:rFonts w:asciiTheme="majorHAnsi" w:hAnsiTheme="majorHAnsi" w:cstheme="majorHAnsi"/>
                <w:szCs w:val="20"/>
              </w:rPr>
              <w:t>utilização</w:t>
            </w:r>
            <w:proofErr w:type="gramEnd"/>
            <w:r w:rsidRPr="00EA16B0">
              <w:rPr>
                <w:rFonts w:asciiTheme="majorHAnsi" w:hAnsiTheme="majorHAnsi" w:cstheme="majorHAnsi"/>
                <w:szCs w:val="20"/>
              </w:rPr>
              <w:t xml:space="preserve"> de metodologias problematizadoras de ensino e aprendizagem, respeitadas:</w:t>
            </w:r>
          </w:p>
          <w:p w14:paraId="22DB8AF9" w14:textId="77777777" w:rsidR="00D3608B" w:rsidRPr="00EA16B0" w:rsidRDefault="00D3608B" w:rsidP="00E0027D">
            <w:pPr>
              <w:tabs>
                <w:tab w:val="clear" w:pos="1615"/>
              </w:tabs>
              <w:autoSpaceDE w:val="0"/>
              <w:autoSpaceDN w:val="0"/>
              <w:adjustRightInd w:val="0"/>
              <w:jc w:val="both"/>
              <w:rPr>
                <w:rFonts w:asciiTheme="majorHAnsi" w:hAnsiTheme="majorHAnsi" w:cstheme="majorHAnsi"/>
                <w:szCs w:val="20"/>
              </w:rPr>
            </w:pPr>
            <w:r w:rsidRPr="00EA16B0">
              <w:rPr>
                <w:rFonts w:asciiTheme="majorHAnsi" w:hAnsiTheme="majorHAnsi" w:cstheme="majorHAnsi"/>
                <w:szCs w:val="20"/>
              </w:rPr>
              <w:t>a) as referências curriculares de cada área do saber;</w:t>
            </w:r>
          </w:p>
          <w:p w14:paraId="5B6F3E82" w14:textId="77777777" w:rsidR="00D3608B" w:rsidRPr="00EA16B0" w:rsidRDefault="00D3608B" w:rsidP="00E0027D">
            <w:pPr>
              <w:tabs>
                <w:tab w:val="clear" w:pos="1615"/>
              </w:tabs>
              <w:autoSpaceDE w:val="0"/>
              <w:autoSpaceDN w:val="0"/>
              <w:adjustRightInd w:val="0"/>
              <w:jc w:val="both"/>
              <w:rPr>
                <w:rFonts w:asciiTheme="majorHAnsi" w:hAnsiTheme="majorHAnsi" w:cstheme="majorHAnsi"/>
                <w:szCs w:val="20"/>
              </w:rPr>
            </w:pPr>
            <w:r w:rsidRPr="00EA16B0">
              <w:rPr>
                <w:rFonts w:asciiTheme="majorHAnsi" w:hAnsiTheme="majorHAnsi" w:cstheme="majorHAnsi"/>
                <w:szCs w:val="20"/>
              </w:rPr>
              <w:t>b) a liberdade de cátedra;</w:t>
            </w:r>
          </w:p>
          <w:p w14:paraId="55BDE914" w14:textId="77777777" w:rsidR="00D3608B" w:rsidRPr="00EA16B0" w:rsidRDefault="00D3608B" w:rsidP="00E0027D">
            <w:pPr>
              <w:tabs>
                <w:tab w:val="clear" w:pos="1615"/>
              </w:tabs>
              <w:autoSpaceDE w:val="0"/>
              <w:autoSpaceDN w:val="0"/>
              <w:adjustRightInd w:val="0"/>
              <w:jc w:val="both"/>
              <w:rPr>
                <w:rFonts w:asciiTheme="majorHAnsi" w:hAnsiTheme="majorHAnsi" w:cstheme="majorHAnsi"/>
                <w:szCs w:val="20"/>
              </w:rPr>
            </w:pPr>
            <w:r w:rsidRPr="00EA16B0">
              <w:rPr>
                <w:rFonts w:asciiTheme="majorHAnsi" w:hAnsiTheme="majorHAnsi" w:cstheme="majorHAnsi"/>
                <w:szCs w:val="20"/>
              </w:rPr>
              <w:t>c) a autonomia pedagógica e didático-científica no processo de construção do conhecimento;</w:t>
            </w:r>
          </w:p>
          <w:p w14:paraId="71A374A9" w14:textId="77777777" w:rsidR="00D3608B" w:rsidRPr="00EA16B0" w:rsidRDefault="00D3608B" w:rsidP="00E0027D">
            <w:pPr>
              <w:tabs>
                <w:tab w:val="clear" w:pos="1615"/>
              </w:tabs>
              <w:autoSpaceDE w:val="0"/>
              <w:autoSpaceDN w:val="0"/>
              <w:adjustRightInd w:val="0"/>
              <w:jc w:val="both"/>
              <w:rPr>
                <w:rFonts w:asciiTheme="majorHAnsi" w:hAnsiTheme="majorHAnsi" w:cstheme="majorHAnsi"/>
                <w:szCs w:val="20"/>
              </w:rPr>
            </w:pPr>
            <w:r w:rsidRPr="00EA16B0">
              <w:rPr>
                <w:rFonts w:asciiTheme="majorHAnsi" w:hAnsiTheme="majorHAnsi" w:cstheme="majorHAnsi"/>
                <w:szCs w:val="20"/>
              </w:rPr>
              <w:lastRenderedPageBreak/>
              <w:t xml:space="preserve">V – </w:t>
            </w:r>
            <w:proofErr w:type="gramStart"/>
            <w:r w:rsidRPr="00EA16B0">
              <w:rPr>
                <w:rFonts w:asciiTheme="majorHAnsi" w:hAnsiTheme="majorHAnsi" w:cstheme="majorHAnsi"/>
                <w:szCs w:val="20"/>
              </w:rPr>
              <w:t>formação</w:t>
            </w:r>
            <w:proofErr w:type="gramEnd"/>
            <w:r w:rsidRPr="00EA16B0">
              <w:rPr>
                <w:rFonts w:asciiTheme="majorHAnsi" w:hAnsiTheme="majorHAnsi" w:cstheme="majorHAnsi"/>
                <w:szCs w:val="20"/>
              </w:rPr>
              <w:t xml:space="preserve"> profissional que considere o conhecimento baseado em evidências científicas e as práticas desenvolvidas no mundo do trabalho;</w:t>
            </w:r>
          </w:p>
        </w:tc>
        <w:tc>
          <w:tcPr>
            <w:tcW w:w="4246" w:type="dxa"/>
          </w:tcPr>
          <w:p w14:paraId="26BF73C7" w14:textId="77777777" w:rsidR="00D3608B" w:rsidRPr="00EA16B0" w:rsidRDefault="00D3608B" w:rsidP="00E0027D">
            <w:pPr>
              <w:tabs>
                <w:tab w:val="clear" w:pos="1615"/>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0"/>
              </w:rPr>
            </w:pPr>
            <w:r w:rsidRPr="00EA16B0">
              <w:rPr>
                <w:rFonts w:asciiTheme="majorHAnsi" w:hAnsiTheme="majorHAnsi" w:cstheme="majorHAnsi"/>
                <w:bCs/>
                <w:szCs w:val="20"/>
              </w:rPr>
              <w:lastRenderedPageBreak/>
              <w:t>Política 6: Organização pedagógica dos cursos a partir de metodologias ativas de aprendizagem.</w:t>
            </w:r>
          </w:p>
          <w:p w14:paraId="19C960DA" w14:textId="77777777" w:rsidR="00D3608B" w:rsidRPr="00EA16B0" w:rsidRDefault="00D3608B" w:rsidP="00E0027D">
            <w:pPr>
              <w:tabs>
                <w:tab w:val="clear" w:pos="1615"/>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0"/>
              </w:rPr>
            </w:pPr>
            <w:r w:rsidRPr="00EA16B0">
              <w:rPr>
                <w:rFonts w:asciiTheme="majorHAnsi" w:hAnsiTheme="majorHAnsi" w:cstheme="majorHAnsi"/>
                <w:bCs/>
                <w:szCs w:val="20"/>
              </w:rPr>
              <w:t>Política 7: Uso de metodologias ativas no desenvolvimento das atividades curriculares.</w:t>
            </w:r>
          </w:p>
          <w:p w14:paraId="5D955094" w14:textId="77777777" w:rsidR="00D3608B" w:rsidRPr="00EA16B0" w:rsidRDefault="00D3608B" w:rsidP="00E0027D">
            <w:pPr>
              <w:tabs>
                <w:tab w:val="clear" w:pos="1615"/>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0"/>
              </w:rPr>
            </w:pPr>
            <w:r w:rsidRPr="00EA16B0">
              <w:rPr>
                <w:rFonts w:asciiTheme="majorHAnsi" w:hAnsiTheme="majorHAnsi" w:cstheme="majorHAnsi"/>
                <w:bCs/>
                <w:szCs w:val="20"/>
              </w:rPr>
              <w:t>Política 8: Uso da pesquisa como atividade para a construção do conhecimento.</w:t>
            </w:r>
          </w:p>
          <w:p w14:paraId="44411F3F" w14:textId="77777777" w:rsidR="00D3608B" w:rsidRPr="00EA16B0" w:rsidRDefault="00D3608B" w:rsidP="00E0027D">
            <w:pPr>
              <w:tabs>
                <w:tab w:val="clear" w:pos="1615"/>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0"/>
              </w:rPr>
            </w:pPr>
            <w:r w:rsidRPr="00EA16B0">
              <w:rPr>
                <w:rFonts w:asciiTheme="majorHAnsi" w:hAnsiTheme="majorHAnsi" w:cstheme="majorHAnsi"/>
                <w:bCs/>
                <w:szCs w:val="20"/>
              </w:rPr>
              <w:lastRenderedPageBreak/>
              <w:t>Política 9: Atividades curriculares com práticas desenvolvidas no mundo do trabalho.</w:t>
            </w:r>
          </w:p>
        </w:tc>
      </w:tr>
      <w:tr w:rsidR="00D3608B" w:rsidRPr="00EA16B0" w14:paraId="76EDC0E0" w14:textId="77777777" w:rsidTr="006A649D">
        <w:tc>
          <w:tcPr>
            <w:cnfStyle w:val="001000000000" w:firstRow="0" w:lastRow="0" w:firstColumn="1" w:lastColumn="0" w:oddVBand="0" w:evenVBand="0" w:oddHBand="0" w:evenHBand="0" w:firstRowFirstColumn="0" w:firstRowLastColumn="0" w:lastRowFirstColumn="0" w:lastRowLastColumn="0"/>
            <w:tcW w:w="5382" w:type="dxa"/>
          </w:tcPr>
          <w:p w14:paraId="0F10B56D" w14:textId="77777777" w:rsidR="00D3608B" w:rsidRPr="00EA16B0" w:rsidRDefault="00D3608B" w:rsidP="00E0027D">
            <w:pPr>
              <w:tabs>
                <w:tab w:val="clear" w:pos="1615"/>
              </w:tabs>
              <w:autoSpaceDE w:val="0"/>
              <w:autoSpaceDN w:val="0"/>
              <w:adjustRightInd w:val="0"/>
              <w:jc w:val="both"/>
              <w:rPr>
                <w:rFonts w:asciiTheme="majorHAnsi" w:hAnsiTheme="majorHAnsi" w:cstheme="majorHAnsi"/>
                <w:szCs w:val="20"/>
              </w:rPr>
            </w:pPr>
            <w:r w:rsidRPr="00EA16B0">
              <w:rPr>
                <w:rFonts w:asciiTheme="majorHAnsi" w:hAnsiTheme="majorHAnsi" w:cstheme="majorHAnsi"/>
                <w:szCs w:val="20"/>
              </w:rPr>
              <w:lastRenderedPageBreak/>
              <w:t xml:space="preserve">VI – </w:t>
            </w:r>
            <w:proofErr w:type="gramStart"/>
            <w:r w:rsidRPr="00EA16B0">
              <w:rPr>
                <w:rFonts w:asciiTheme="majorHAnsi" w:hAnsiTheme="majorHAnsi" w:cstheme="majorHAnsi"/>
                <w:szCs w:val="20"/>
              </w:rPr>
              <w:t>organização</w:t>
            </w:r>
            <w:proofErr w:type="gramEnd"/>
            <w:r w:rsidRPr="00EA16B0">
              <w:rPr>
                <w:rFonts w:asciiTheme="majorHAnsi" w:hAnsiTheme="majorHAnsi" w:cstheme="majorHAnsi"/>
                <w:szCs w:val="20"/>
              </w:rPr>
              <w:t xml:space="preserve"> administrativa descentralizada, flexível e horizontalizada, observados os referenciais da </w:t>
            </w:r>
            <w:proofErr w:type="spellStart"/>
            <w:r w:rsidRPr="00EA16B0">
              <w:rPr>
                <w:rFonts w:asciiTheme="majorHAnsi" w:hAnsiTheme="majorHAnsi" w:cstheme="majorHAnsi"/>
                <w:szCs w:val="20"/>
              </w:rPr>
              <w:t>multiespacialidade</w:t>
            </w:r>
            <w:proofErr w:type="spellEnd"/>
            <w:r w:rsidRPr="00EA16B0">
              <w:rPr>
                <w:rFonts w:asciiTheme="majorHAnsi" w:hAnsiTheme="majorHAnsi" w:cstheme="majorHAnsi"/>
                <w:szCs w:val="20"/>
              </w:rPr>
              <w:t xml:space="preserve">, garantindo-se a cada </w:t>
            </w:r>
            <w:r w:rsidRPr="00EA16B0">
              <w:rPr>
                <w:rFonts w:asciiTheme="majorHAnsi" w:hAnsiTheme="majorHAnsi" w:cstheme="majorHAnsi"/>
                <w:i/>
                <w:iCs/>
                <w:szCs w:val="20"/>
              </w:rPr>
              <w:t>campus</w:t>
            </w:r>
            <w:r w:rsidRPr="00EA16B0">
              <w:rPr>
                <w:rFonts w:asciiTheme="majorHAnsi" w:hAnsiTheme="majorHAnsi" w:cstheme="majorHAnsi"/>
                <w:szCs w:val="20"/>
              </w:rPr>
              <w:t xml:space="preserve"> da </w:t>
            </w:r>
            <w:proofErr w:type="spellStart"/>
            <w:r w:rsidRPr="00EA16B0">
              <w:rPr>
                <w:rFonts w:asciiTheme="majorHAnsi" w:hAnsiTheme="majorHAnsi" w:cstheme="majorHAnsi"/>
                <w:szCs w:val="20"/>
              </w:rPr>
              <w:t>UnDF</w:t>
            </w:r>
            <w:proofErr w:type="spellEnd"/>
            <w:r w:rsidRPr="00EA16B0">
              <w:rPr>
                <w:rFonts w:asciiTheme="majorHAnsi" w:hAnsiTheme="majorHAnsi" w:cstheme="majorHAnsi"/>
                <w:szCs w:val="20"/>
              </w:rPr>
              <w:t xml:space="preserve"> a infraestrutura que assegure os serviços administrativos essenciais de interesse comum das unidades acadêmicas que a compõem;</w:t>
            </w:r>
          </w:p>
        </w:tc>
        <w:tc>
          <w:tcPr>
            <w:tcW w:w="4246" w:type="dxa"/>
          </w:tcPr>
          <w:p w14:paraId="0F0CBE50" w14:textId="77777777" w:rsidR="00D3608B" w:rsidRPr="00EA16B0" w:rsidRDefault="00D3608B" w:rsidP="00E0027D">
            <w:pPr>
              <w:tabs>
                <w:tab w:val="clear" w:pos="161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0"/>
              </w:rPr>
            </w:pPr>
            <w:r w:rsidRPr="00EA16B0">
              <w:rPr>
                <w:rFonts w:asciiTheme="majorHAnsi" w:hAnsiTheme="majorHAnsi" w:cstheme="majorHAnsi"/>
                <w:bCs/>
                <w:szCs w:val="20"/>
              </w:rPr>
              <w:t>Política 10: Organização descentralizada, flexível e com gestão democrática, abrangendo diferentes locais do DF.</w:t>
            </w:r>
          </w:p>
        </w:tc>
      </w:tr>
      <w:tr w:rsidR="00D3608B" w:rsidRPr="00EA16B0" w14:paraId="124ED848" w14:textId="77777777" w:rsidTr="006A6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1A0D4BF6" w14:textId="77777777" w:rsidR="00D3608B" w:rsidRPr="00EA16B0" w:rsidRDefault="00D3608B" w:rsidP="00E0027D">
            <w:pPr>
              <w:tabs>
                <w:tab w:val="clear" w:pos="1615"/>
              </w:tabs>
              <w:autoSpaceDE w:val="0"/>
              <w:autoSpaceDN w:val="0"/>
              <w:adjustRightInd w:val="0"/>
              <w:jc w:val="both"/>
              <w:rPr>
                <w:rFonts w:asciiTheme="majorHAnsi" w:hAnsiTheme="majorHAnsi" w:cstheme="majorHAnsi"/>
                <w:szCs w:val="20"/>
              </w:rPr>
            </w:pPr>
            <w:r w:rsidRPr="00EA16B0">
              <w:rPr>
                <w:rFonts w:asciiTheme="majorHAnsi" w:hAnsiTheme="majorHAnsi" w:cstheme="majorHAnsi"/>
                <w:szCs w:val="20"/>
              </w:rPr>
              <w:t>VII – oferta gratuita de cursos, observado o princípio de indissociabilidade entre ensino, pesquisa e extensão;</w:t>
            </w:r>
          </w:p>
        </w:tc>
        <w:tc>
          <w:tcPr>
            <w:tcW w:w="4246" w:type="dxa"/>
          </w:tcPr>
          <w:p w14:paraId="0B27D624" w14:textId="77777777" w:rsidR="00D3608B" w:rsidRPr="00EA16B0" w:rsidRDefault="00D3608B" w:rsidP="00E0027D">
            <w:pPr>
              <w:tabs>
                <w:tab w:val="clear" w:pos="1615"/>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0"/>
              </w:rPr>
            </w:pPr>
            <w:r w:rsidRPr="00EA16B0">
              <w:rPr>
                <w:rFonts w:asciiTheme="majorHAnsi" w:hAnsiTheme="majorHAnsi" w:cstheme="majorHAnsi"/>
                <w:bCs/>
                <w:szCs w:val="20"/>
              </w:rPr>
              <w:t xml:space="preserve">Cumprimento do disposto nos </w:t>
            </w:r>
            <w:proofErr w:type="spellStart"/>
            <w:r w:rsidRPr="00EA16B0">
              <w:rPr>
                <w:rFonts w:asciiTheme="majorHAnsi" w:hAnsiTheme="majorHAnsi" w:cstheme="majorHAnsi"/>
                <w:bCs/>
                <w:szCs w:val="20"/>
              </w:rPr>
              <w:t>Arts</w:t>
            </w:r>
            <w:proofErr w:type="spellEnd"/>
            <w:r w:rsidRPr="00EA16B0">
              <w:rPr>
                <w:rFonts w:asciiTheme="majorHAnsi" w:hAnsiTheme="majorHAnsi" w:cstheme="majorHAnsi"/>
                <w:bCs/>
                <w:szCs w:val="20"/>
              </w:rPr>
              <w:t>. 206 e 207 da Constituição.</w:t>
            </w:r>
          </w:p>
        </w:tc>
      </w:tr>
      <w:tr w:rsidR="00D3608B" w:rsidRPr="00EA16B0" w14:paraId="4C37F41D" w14:textId="77777777" w:rsidTr="006A649D">
        <w:tc>
          <w:tcPr>
            <w:cnfStyle w:val="001000000000" w:firstRow="0" w:lastRow="0" w:firstColumn="1" w:lastColumn="0" w:oddVBand="0" w:evenVBand="0" w:oddHBand="0" w:evenHBand="0" w:firstRowFirstColumn="0" w:firstRowLastColumn="0" w:lastRowFirstColumn="0" w:lastRowLastColumn="0"/>
            <w:tcW w:w="5382" w:type="dxa"/>
          </w:tcPr>
          <w:p w14:paraId="75CBF448" w14:textId="77777777" w:rsidR="00D3608B" w:rsidRPr="00EA16B0" w:rsidRDefault="00D3608B" w:rsidP="00E0027D">
            <w:pPr>
              <w:tabs>
                <w:tab w:val="clear" w:pos="1615"/>
              </w:tabs>
              <w:autoSpaceDE w:val="0"/>
              <w:autoSpaceDN w:val="0"/>
              <w:adjustRightInd w:val="0"/>
              <w:jc w:val="both"/>
              <w:rPr>
                <w:rFonts w:asciiTheme="majorHAnsi" w:hAnsiTheme="majorHAnsi" w:cstheme="majorHAnsi"/>
                <w:szCs w:val="20"/>
              </w:rPr>
            </w:pPr>
            <w:r w:rsidRPr="00EA16B0">
              <w:rPr>
                <w:rFonts w:asciiTheme="majorHAnsi" w:hAnsiTheme="majorHAnsi" w:cstheme="majorHAnsi"/>
                <w:szCs w:val="20"/>
              </w:rPr>
              <w:t>VIII – oferta de programa de permanência estudantil, bem como prestação de serviços e demais atividades afins, com ações especiais que objetivem a expansão do ensino, da pesquisa e da cultura, com vista ao processo de geração de empregos e inovação;</w:t>
            </w:r>
          </w:p>
        </w:tc>
        <w:tc>
          <w:tcPr>
            <w:tcW w:w="4246" w:type="dxa"/>
          </w:tcPr>
          <w:p w14:paraId="2C675BDA" w14:textId="77777777" w:rsidR="00D3608B" w:rsidRPr="00EA16B0" w:rsidRDefault="00D3608B" w:rsidP="00E0027D">
            <w:pPr>
              <w:tabs>
                <w:tab w:val="clear" w:pos="161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0"/>
              </w:rPr>
            </w:pPr>
            <w:r w:rsidRPr="00EA16B0">
              <w:rPr>
                <w:rFonts w:asciiTheme="majorHAnsi" w:hAnsiTheme="majorHAnsi" w:cstheme="majorHAnsi"/>
                <w:bCs/>
                <w:szCs w:val="20"/>
              </w:rPr>
              <w:t>Política 4: estímulo à permanência e combate à evasão.</w:t>
            </w:r>
          </w:p>
          <w:p w14:paraId="143B910A" w14:textId="77777777" w:rsidR="00D3608B" w:rsidRPr="00EA16B0" w:rsidRDefault="00D3608B" w:rsidP="00E0027D">
            <w:pPr>
              <w:tabs>
                <w:tab w:val="clear" w:pos="161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0"/>
              </w:rPr>
            </w:pPr>
            <w:r w:rsidRPr="00EA16B0">
              <w:rPr>
                <w:rFonts w:asciiTheme="majorHAnsi" w:hAnsiTheme="majorHAnsi" w:cstheme="majorHAnsi"/>
                <w:bCs/>
                <w:szCs w:val="20"/>
              </w:rPr>
              <w:t>Política 11: Empreendedorismo e inovação.</w:t>
            </w:r>
          </w:p>
        </w:tc>
      </w:tr>
      <w:tr w:rsidR="00D3608B" w:rsidRPr="00EA16B0" w14:paraId="72062248" w14:textId="77777777" w:rsidTr="006A6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199CE151" w14:textId="77777777" w:rsidR="00D3608B" w:rsidRPr="00EA16B0" w:rsidRDefault="00D3608B" w:rsidP="00E0027D">
            <w:pPr>
              <w:tabs>
                <w:tab w:val="clear" w:pos="1615"/>
              </w:tabs>
              <w:autoSpaceDE w:val="0"/>
              <w:autoSpaceDN w:val="0"/>
              <w:adjustRightInd w:val="0"/>
              <w:jc w:val="both"/>
              <w:rPr>
                <w:rFonts w:asciiTheme="majorHAnsi" w:hAnsiTheme="majorHAnsi" w:cstheme="majorHAnsi"/>
                <w:szCs w:val="20"/>
              </w:rPr>
            </w:pPr>
            <w:r w:rsidRPr="00EA16B0">
              <w:rPr>
                <w:rFonts w:asciiTheme="majorHAnsi" w:hAnsiTheme="majorHAnsi" w:cstheme="majorHAnsi"/>
                <w:szCs w:val="20"/>
              </w:rPr>
              <w:t xml:space="preserve">IX – </w:t>
            </w:r>
            <w:proofErr w:type="gramStart"/>
            <w:r w:rsidRPr="00EA16B0">
              <w:rPr>
                <w:rFonts w:asciiTheme="majorHAnsi" w:hAnsiTheme="majorHAnsi" w:cstheme="majorHAnsi"/>
                <w:szCs w:val="20"/>
              </w:rPr>
              <w:t>promoção</w:t>
            </w:r>
            <w:proofErr w:type="gramEnd"/>
            <w:r w:rsidRPr="00EA16B0">
              <w:rPr>
                <w:rFonts w:asciiTheme="majorHAnsi" w:hAnsiTheme="majorHAnsi" w:cstheme="majorHAnsi"/>
                <w:szCs w:val="20"/>
              </w:rPr>
              <w:t xml:space="preserve"> da educação, das ciências e das tecnologias, desenvolvendo o conhecimento científico, junto com os valores éticos capazes de integrar a pessoa humana à sociedade, formando profissionais competentes para atuação no mundo do trabalho e para melhoria das condições de vida em sociedade;</w:t>
            </w:r>
          </w:p>
        </w:tc>
        <w:tc>
          <w:tcPr>
            <w:tcW w:w="4246" w:type="dxa"/>
          </w:tcPr>
          <w:p w14:paraId="327C9FAB" w14:textId="77777777" w:rsidR="00D3608B" w:rsidRPr="00EA16B0" w:rsidRDefault="00D3608B" w:rsidP="00E0027D">
            <w:pPr>
              <w:tabs>
                <w:tab w:val="clear" w:pos="1615"/>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0"/>
              </w:rPr>
            </w:pPr>
            <w:r w:rsidRPr="00EA16B0">
              <w:rPr>
                <w:rFonts w:asciiTheme="majorHAnsi" w:hAnsiTheme="majorHAnsi" w:cstheme="majorHAnsi"/>
                <w:bCs/>
                <w:szCs w:val="20"/>
              </w:rPr>
              <w:t>Política 2: Polo irradiador de desenvolvimento.</w:t>
            </w:r>
          </w:p>
        </w:tc>
      </w:tr>
      <w:tr w:rsidR="00D3608B" w:rsidRPr="00EA16B0" w14:paraId="089741D4" w14:textId="77777777" w:rsidTr="006A649D">
        <w:tc>
          <w:tcPr>
            <w:cnfStyle w:val="001000000000" w:firstRow="0" w:lastRow="0" w:firstColumn="1" w:lastColumn="0" w:oddVBand="0" w:evenVBand="0" w:oddHBand="0" w:evenHBand="0" w:firstRowFirstColumn="0" w:firstRowLastColumn="0" w:lastRowFirstColumn="0" w:lastRowLastColumn="0"/>
            <w:tcW w:w="5382" w:type="dxa"/>
          </w:tcPr>
          <w:p w14:paraId="705E2914" w14:textId="77777777" w:rsidR="00D3608B" w:rsidRPr="00EA16B0" w:rsidRDefault="00D3608B" w:rsidP="00E0027D">
            <w:pPr>
              <w:tabs>
                <w:tab w:val="clear" w:pos="1615"/>
              </w:tabs>
              <w:autoSpaceDE w:val="0"/>
              <w:autoSpaceDN w:val="0"/>
              <w:adjustRightInd w:val="0"/>
              <w:jc w:val="both"/>
              <w:rPr>
                <w:rFonts w:asciiTheme="majorHAnsi" w:hAnsiTheme="majorHAnsi" w:cstheme="majorHAnsi"/>
                <w:szCs w:val="20"/>
              </w:rPr>
            </w:pPr>
            <w:r w:rsidRPr="00EA16B0">
              <w:rPr>
                <w:rFonts w:asciiTheme="majorHAnsi" w:hAnsiTheme="majorHAnsi" w:cstheme="majorHAnsi"/>
                <w:szCs w:val="20"/>
              </w:rPr>
              <w:t xml:space="preserve">X – </w:t>
            </w:r>
            <w:proofErr w:type="gramStart"/>
            <w:r w:rsidRPr="00EA16B0">
              <w:rPr>
                <w:rFonts w:asciiTheme="majorHAnsi" w:hAnsiTheme="majorHAnsi" w:cstheme="majorHAnsi"/>
                <w:szCs w:val="20"/>
              </w:rPr>
              <w:t>fomento</w:t>
            </w:r>
            <w:proofErr w:type="gramEnd"/>
            <w:r w:rsidRPr="00EA16B0">
              <w:rPr>
                <w:rFonts w:asciiTheme="majorHAnsi" w:hAnsiTheme="majorHAnsi" w:cstheme="majorHAnsi"/>
                <w:szCs w:val="20"/>
              </w:rPr>
              <w:t xml:space="preserve"> ao desenvolvimento de pesquisas científicas e tecnológicas e formação de recursos humanos para a pesquisa, principalmente no Distrito Federal e no entorno;</w:t>
            </w:r>
          </w:p>
        </w:tc>
        <w:tc>
          <w:tcPr>
            <w:tcW w:w="4246" w:type="dxa"/>
          </w:tcPr>
          <w:p w14:paraId="675AC718" w14:textId="77777777" w:rsidR="00D3608B" w:rsidRPr="00EA16B0" w:rsidRDefault="00D3608B" w:rsidP="00E0027D">
            <w:pPr>
              <w:tabs>
                <w:tab w:val="clear" w:pos="161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0"/>
              </w:rPr>
            </w:pPr>
            <w:r w:rsidRPr="00EA16B0">
              <w:rPr>
                <w:rFonts w:asciiTheme="majorHAnsi" w:hAnsiTheme="majorHAnsi" w:cstheme="majorHAnsi"/>
                <w:bCs/>
                <w:szCs w:val="20"/>
              </w:rPr>
              <w:t>Política 12: Fomento a programas de incentivo à pesquisa científico-tecnológica.</w:t>
            </w:r>
          </w:p>
          <w:p w14:paraId="2094D40A" w14:textId="77777777" w:rsidR="00D3608B" w:rsidRPr="00EA16B0" w:rsidRDefault="00D3608B" w:rsidP="00E0027D">
            <w:pPr>
              <w:tabs>
                <w:tab w:val="clear" w:pos="161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0"/>
              </w:rPr>
            </w:pPr>
            <w:r w:rsidRPr="00EA16B0">
              <w:rPr>
                <w:rFonts w:asciiTheme="majorHAnsi" w:hAnsiTheme="majorHAnsi" w:cstheme="majorHAnsi"/>
                <w:bCs/>
                <w:szCs w:val="20"/>
              </w:rPr>
              <w:t xml:space="preserve">Política 13: Desenvolvimento da pós-graduação </w:t>
            </w:r>
            <w:r w:rsidRPr="00EA16B0">
              <w:rPr>
                <w:rFonts w:asciiTheme="majorHAnsi" w:hAnsiTheme="majorHAnsi" w:cstheme="majorHAnsi"/>
                <w:bCs/>
                <w:i/>
                <w:iCs/>
                <w:szCs w:val="20"/>
              </w:rPr>
              <w:t>lato</w:t>
            </w:r>
            <w:r w:rsidRPr="00EA16B0">
              <w:rPr>
                <w:rFonts w:asciiTheme="majorHAnsi" w:hAnsiTheme="majorHAnsi" w:cstheme="majorHAnsi"/>
                <w:bCs/>
                <w:szCs w:val="20"/>
              </w:rPr>
              <w:t xml:space="preserve"> e </w:t>
            </w:r>
            <w:r w:rsidRPr="00EA16B0">
              <w:rPr>
                <w:rFonts w:asciiTheme="majorHAnsi" w:hAnsiTheme="majorHAnsi" w:cstheme="majorHAnsi"/>
                <w:bCs/>
                <w:i/>
                <w:iCs/>
                <w:szCs w:val="20"/>
              </w:rPr>
              <w:t>stricto sensu.</w:t>
            </w:r>
          </w:p>
        </w:tc>
      </w:tr>
      <w:tr w:rsidR="00D3608B" w:rsidRPr="00EA16B0" w14:paraId="37E3FC25" w14:textId="77777777" w:rsidTr="006A6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2DC50C5A" w14:textId="77777777" w:rsidR="00D3608B" w:rsidRPr="00EA16B0" w:rsidRDefault="00D3608B" w:rsidP="00E0027D">
            <w:pPr>
              <w:tabs>
                <w:tab w:val="clear" w:pos="1615"/>
              </w:tabs>
              <w:autoSpaceDE w:val="0"/>
              <w:autoSpaceDN w:val="0"/>
              <w:adjustRightInd w:val="0"/>
              <w:jc w:val="both"/>
              <w:rPr>
                <w:rFonts w:asciiTheme="majorHAnsi" w:hAnsiTheme="majorHAnsi" w:cstheme="majorHAnsi"/>
                <w:szCs w:val="20"/>
              </w:rPr>
            </w:pPr>
            <w:r w:rsidRPr="00EA16B0">
              <w:rPr>
                <w:rFonts w:asciiTheme="majorHAnsi" w:hAnsiTheme="majorHAnsi" w:cstheme="majorHAnsi"/>
                <w:szCs w:val="20"/>
              </w:rPr>
              <w:t xml:space="preserve">XI – garantia de prioridade na utilização dos serviços públicos do Distrito Federal aos cursos da </w:t>
            </w:r>
            <w:proofErr w:type="spellStart"/>
            <w:r w:rsidRPr="00EA16B0">
              <w:rPr>
                <w:rFonts w:asciiTheme="majorHAnsi" w:hAnsiTheme="majorHAnsi" w:cstheme="majorHAnsi"/>
                <w:szCs w:val="20"/>
              </w:rPr>
              <w:t>UnDF</w:t>
            </w:r>
            <w:proofErr w:type="spellEnd"/>
            <w:r w:rsidRPr="00EA16B0">
              <w:rPr>
                <w:rFonts w:asciiTheme="majorHAnsi" w:hAnsiTheme="majorHAnsi" w:cstheme="majorHAnsi"/>
                <w:szCs w:val="20"/>
              </w:rPr>
              <w:t>, considerando os respectivos cenários das atividades acadêmicas, de modo a fortalecer a integração entre o ensino, os serviços públicos e a comunidade;</w:t>
            </w:r>
          </w:p>
        </w:tc>
        <w:tc>
          <w:tcPr>
            <w:tcW w:w="4246" w:type="dxa"/>
          </w:tcPr>
          <w:p w14:paraId="7B77A438" w14:textId="77777777" w:rsidR="00D3608B" w:rsidRPr="00EA16B0" w:rsidRDefault="00D3608B" w:rsidP="00E0027D">
            <w:pPr>
              <w:tabs>
                <w:tab w:val="clear" w:pos="1615"/>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0"/>
              </w:rPr>
            </w:pPr>
            <w:r w:rsidRPr="00EA16B0">
              <w:rPr>
                <w:rFonts w:asciiTheme="majorHAnsi" w:hAnsiTheme="majorHAnsi" w:cstheme="majorHAnsi"/>
                <w:bCs/>
                <w:szCs w:val="20"/>
              </w:rPr>
              <w:t>Política 14: Responsabilidade social.</w:t>
            </w:r>
          </w:p>
        </w:tc>
      </w:tr>
      <w:tr w:rsidR="00D3608B" w:rsidRPr="00EA16B0" w14:paraId="33673EE9" w14:textId="77777777" w:rsidTr="006A649D">
        <w:tc>
          <w:tcPr>
            <w:cnfStyle w:val="001000000000" w:firstRow="0" w:lastRow="0" w:firstColumn="1" w:lastColumn="0" w:oddVBand="0" w:evenVBand="0" w:oddHBand="0" w:evenHBand="0" w:firstRowFirstColumn="0" w:firstRowLastColumn="0" w:lastRowFirstColumn="0" w:lastRowLastColumn="0"/>
            <w:tcW w:w="5382" w:type="dxa"/>
          </w:tcPr>
          <w:p w14:paraId="404CDE66" w14:textId="77777777" w:rsidR="00D3608B" w:rsidRPr="00EA16B0" w:rsidRDefault="00D3608B" w:rsidP="00E0027D">
            <w:pPr>
              <w:tabs>
                <w:tab w:val="clear" w:pos="1615"/>
              </w:tabs>
              <w:autoSpaceDE w:val="0"/>
              <w:autoSpaceDN w:val="0"/>
              <w:adjustRightInd w:val="0"/>
              <w:jc w:val="both"/>
              <w:rPr>
                <w:rFonts w:asciiTheme="majorHAnsi" w:hAnsiTheme="majorHAnsi" w:cstheme="majorHAnsi"/>
                <w:szCs w:val="20"/>
              </w:rPr>
            </w:pPr>
            <w:r w:rsidRPr="00EA16B0">
              <w:rPr>
                <w:rFonts w:asciiTheme="majorHAnsi" w:hAnsiTheme="majorHAnsi" w:cstheme="majorHAnsi"/>
                <w:szCs w:val="20"/>
              </w:rPr>
              <w:t xml:space="preserve">XII – democratização do acesso ao ensino superior público, gratuito e de qualidade, por meio da implementação de cotas raciais e sociais para ingresso em cursos de graduação ofertados pela </w:t>
            </w:r>
            <w:proofErr w:type="spellStart"/>
            <w:r w:rsidRPr="00EA16B0">
              <w:rPr>
                <w:rFonts w:asciiTheme="majorHAnsi" w:hAnsiTheme="majorHAnsi" w:cstheme="majorHAnsi"/>
                <w:szCs w:val="20"/>
              </w:rPr>
              <w:t>UnDF</w:t>
            </w:r>
            <w:proofErr w:type="spellEnd"/>
            <w:r w:rsidRPr="00EA16B0">
              <w:rPr>
                <w:rFonts w:asciiTheme="majorHAnsi" w:hAnsiTheme="majorHAnsi" w:cstheme="majorHAnsi"/>
                <w:szCs w:val="20"/>
              </w:rPr>
              <w:t>, conforme legislações específicas, a ser disciplinada no Estatuto;</w:t>
            </w:r>
          </w:p>
        </w:tc>
        <w:tc>
          <w:tcPr>
            <w:tcW w:w="4246" w:type="dxa"/>
          </w:tcPr>
          <w:p w14:paraId="5FFCC96B" w14:textId="77777777" w:rsidR="00D3608B" w:rsidRPr="00EA16B0" w:rsidRDefault="00D3608B" w:rsidP="00E0027D">
            <w:pPr>
              <w:tabs>
                <w:tab w:val="clear" w:pos="161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0"/>
              </w:rPr>
            </w:pPr>
            <w:r w:rsidRPr="00EA16B0">
              <w:rPr>
                <w:rFonts w:asciiTheme="majorHAnsi" w:hAnsiTheme="majorHAnsi" w:cstheme="majorHAnsi"/>
                <w:bCs/>
                <w:szCs w:val="20"/>
              </w:rPr>
              <w:t>Política 3: Ações afirmativas.</w:t>
            </w:r>
          </w:p>
          <w:p w14:paraId="7FC7E9F4" w14:textId="77777777" w:rsidR="00D3608B" w:rsidRPr="00EA16B0" w:rsidRDefault="00D3608B" w:rsidP="00E0027D">
            <w:pPr>
              <w:tabs>
                <w:tab w:val="clear" w:pos="161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0"/>
              </w:rPr>
            </w:pPr>
            <w:r w:rsidRPr="00EA16B0">
              <w:rPr>
                <w:rFonts w:asciiTheme="majorHAnsi" w:hAnsiTheme="majorHAnsi" w:cstheme="majorHAnsi"/>
                <w:bCs/>
                <w:szCs w:val="20"/>
              </w:rPr>
              <w:t>Política 4: Estímulo à permanência e combate à evasão.</w:t>
            </w:r>
          </w:p>
        </w:tc>
      </w:tr>
      <w:tr w:rsidR="00D3608B" w:rsidRPr="00EA16B0" w14:paraId="2746F7B1" w14:textId="77777777" w:rsidTr="006A6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1AE5417F" w14:textId="77777777" w:rsidR="00D3608B" w:rsidRPr="00EA16B0" w:rsidRDefault="00D3608B" w:rsidP="00E0027D">
            <w:pPr>
              <w:tabs>
                <w:tab w:val="clear" w:pos="1615"/>
              </w:tabs>
              <w:autoSpaceDE w:val="0"/>
              <w:autoSpaceDN w:val="0"/>
              <w:adjustRightInd w:val="0"/>
              <w:jc w:val="both"/>
              <w:rPr>
                <w:rFonts w:asciiTheme="majorHAnsi" w:hAnsiTheme="majorHAnsi" w:cstheme="majorHAnsi"/>
                <w:szCs w:val="20"/>
              </w:rPr>
            </w:pPr>
            <w:r w:rsidRPr="00EA16B0">
              <w:rPr>
                <w:rFonts w:asciiTheme="majorHAnsi" w:hAnsiTheme="majorHAnsi" w:cstheme="majorHAnsi"/>
                <w:szCs w:val="20"/>
              </w:rPr>
              <w:t>XIII – fomento ao desenvolvimento, ao fortalecimento e à consolidação de incubadoras, cooperativas, aceleradoras e núcleos de inovação e empreendedorismo em conhecimento tecnológico com capacidade para desenvolver novos produtos, processos, serviços competitivos e outras iniciativas;</w:t>
            </w:r>
          </w:p>
          <w:p w14:paraId="680E583C" w14:textId="77777777" w:rsidR="00D3608B" w:rsidRPr="00EA16B0" w:rsidRDefault="00D3608B" w:rsidP="00E0027D">
            <w:pPr>
              <w:tabs>
                <w:tab w:val="clear" w:pos="1615"/>
              </w:tabs>
              <w:autoSpaceDE w:val="0"/>
              <w:autoSpaceDN w:val="0"/>
              <w:adjustRightInd w:val="0"/>
              <w:jc w:val="both"/>
              <w:rPr>
                <w:rFonts w:asciiTheme="majorHAnsi" w:hAnsiTheme="majorHAnsi" w:cstheme="majorHAnsi"/>
                <w:szCs w:val="20"/>
              </w:rPr>
            </w:pPr>
            <w:r w:rsidRPr="00EA16B0">
              <w:rPr>
                <w:rFonts w:asciiTheme="majorHAnsi" w:hAnsiTheme="majorHAnsi" w:cstheme="majorHAnsi"/>
                <w:szCs w:val="20"/>
              </w:rPr>
              <w:t>XIV – estímulo à associação entre pesquisadores, empreendedores e o setor produtivo local, assim como à interação entre empresas incubadas e instituições públicas e privadas que desenvolvam atividades inovadoras e empreendedoras, visando à transferência recíproca de conhecimento e modelos de gestão;</w:t>
            </w:r>
          </w:p>
        </w:tc>
        <w:tc>
          <w:tcPr>
            <w:tcW w:w="4246" w:type="dxa"/>
          </w:tcPr>
          <w:p w14:paraId="095BF15B" w14:textId="77777777" w:rsidR="00D3608B" w:rsidRPr="00EA16B0" w:rsidRDefault="00D3608B" w:rsidP="00E0027D">
            <w:pPr>
              <w:tabs>
                <w:tab w:val="clear" w:pos="1615"/>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0"/>
              </w:rPr>
            </w:pPr>
            <w:r w:rsidRPr="00EA16B0">
              <w:rPr>
                <w:rFonts w:asciiTheme="majorHAnsi" w:hAnsiTheme="majorHAnsi" w:cstheme="majorHAnsi"/>
                <w:bCs/>
                <w:szCs w:val="20"/>
              </w:rPr>
              <w:t>Política 11: Empreendedorismo e inovação.</w:t>
            </w:r>
          </w:p>
        </w:tc>
      </w:tr>
      <w:tr w:rsidR="00D3608B" w:rsidRPr="00EA16B0" w14:paraId="51997A2C" w14:textId="77777777" w:rsidTr="006A649D">
        <w:tc>
          <w:tcPr>
            <w:cnfStyle w:val="001000000000" w:firstRow="0" w:lastRow="0" w:firstColumn="1" w:lastColumn="0" w:oddVBand="0" w:evenVBand="0" w:oddHBand="0" w:evenHBand="0" w:firstRowFirstColumn="0" w:firstRowLastColumn="0" w:lastRowFirstColumn="0" w:lastRowLastColumn="0"/>
            <w:tcW w:w="5382" w:type="dxa"/>
          </w:tcPr>
          <w:p w14:paraId="68990DA7" w14:textId="77777777" w:rsidR="00D3608B" w:rsidRPr="00EA16B0" w:rsidRDefault="00D3608B" w:rsidP="00E0027D">
            <w:pPr>
              <w:tabs>
                <w:tab w:val="clear" w:pos="1615"/>
              </w:tabs>
              <w:autoSpaceDE w:val="0"/>
              <w:autoSpaceDN w:val="0"/>
              <w:adjustRightInd w:val="0"/>
              <w:jc w:val="both"/>
              <w:rPr>
                <w:rFonts w:asciiTheme="majorHAnsi" w:hAnsiTheme="majorHAnsi" w:cstheme="majorHAnsi"/>
                <w:szCs w:val="20"/>
              </w:rPr>
            </w:pPr>
            <w:r w:rsidRPr="00EA16B0">
              <w:rPr>
                <w:rFonts w:asciiTheme="majorHAnsi" w:hAnsiTheme="majorHAnsi" w:cstheme="majorHAnsi"/>
                <w:szCs w:val="20"/>
              </w:rPr>
              <w:t xml:space="preserve">XV – </w:t>
            </w:r>
            <w:proofErr w:type="gramStart"/>
            <w:r w:rsidRPr="00EA16B0">
              <w:rPr>
                <w:rFonts w:asciiTheme="majorHAnsi" w:hAnsiTheme="majorHAnsi" w:cstheme="majorHAnsi"/>
                <w:szCs w:val="20"/>
              </w:rPr>
              <w:t>fomento</w:t>
            </w:r>
            <w:proofErr w:type="gramEnd"/>
            <w:r w:rsidRPr="00EA16B0">
              <w:rPr>
                <w:rFonts w:asciiTheme="majorHAnsi" w:hAnsiTheme="majorHAnsi" w:cstheme="majorHAnsi"/>
                <w:szCs w:val="20"/>
              </w:rPr>
              <w:t xml:space="preserve"> a projetos integrados de extensão e pesquisa em linhas de atuação nas áreas de educação profissional, trabalho, empreendedorismo, produção, </w:t>
            </w:r>
            <w:r w:rsidRPr="00EA16B0">
              <w:rPr>
                <w:rFonts w:asciiTheme="majorHAnsi" w:hAnsiTheme="majorHAnsi" w:cstheme="majorHAnsi"/>
                <w:szCs w:val="20"/>
              </w:rPr>
              <w:lastRenderedPageBreak/>
              <w:t>desenvolvimento, tecnologias sociais e sustentabilidade, com enfoque em inovação e integração social;</w:t>
            </w:r>
          </w:p>
        </w:tc>
        <w:tc>
          <w:tcPr>
            <w:tcW w:w="4246" w:type="dxa"/>
          </w:tcPr>
          <w:p w14:paraId="52AD9D07" w14:textId="77777777" w:rsidR="00D3608B" w:rsidRPr="00EA16B0" w:rsidRDefault="00D3608B" w:rsidP="00E0027D">
            <w:pPr>
              <w:tabs>
                <w:tab w:val="clear" w:pos="161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0"/>
              </w:rPr>
            </w:pPr>
            <w:r w:rsidRPr="00EA16B0">
              <w:rPr>
                <w:rFonts w:asciiTheme="majorHAnsi" w:hAnsiTheme="majorHAnsi" w:cstheme="majorHAnsi"/>
                <w:bCs/>
                <w:szCs w:val="20"/>
              </w:rPr>
              <w:lastRenderedPageBreak/>
              <w:t>Política 11: Empreendedorismo e Inovação.</w:t>
            </w:r>
          </w:p>
          <w:p w14:paraId="696DFBD1" w14:textId="77777777" w:rsidR="00D3608B" w:rsidRPr="00EA16B0" w:rsidRDefault="00D3608B" w:rsidP="00E0027D">
            <w:pPr>
              <w:tabs>
                <w:tab w:val="clear" w:pos="161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0"/>
              </w:rPr>
            </w:pPr>
            <w:r w:rsidRPr="00EA16B0">
              <w:rPr>
                <w:rFonts w:asciiTheme="majorHAnsi" w:hAnsiTheme="majorHAnsi" w:cstheme="majorHAnsi"/>
                <w:bCs/>
                <w:szCs w:val="20"/>
              </w:rPr>
              <w:t>Política 15: Sustentabilidade.</w:t>
            </w:r>
          </w:p>
          <w:p w14:paraId="3B627ECE" w14:textId="77777777" w:rsidR="00D3608B" w:rsidRPr="00EA16B0" w:rsidRDefault="00D3608B" w:rsidP="00E0027D">
            <w:pPr>
              <w:tabs>
                <w:tab w:val="clear" w:pos="161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0"/>
              </w:rPr>
            </w:pPr>
            <w:r w:rsidRPr="00EA16B0">
              <w:rPr>
                <w:rFonts w:asciiTheme="majorHAnsi" w:hAnsiTheme="majorHAnsi" w:cstheme="majorHAnsi"/>
                <w:bCs/>
                <w:szCs w:val="20"/>
              </w:rPr>
              <w:t>Política 14: Responsabilidade social.</w:t>
            </w:r>
          </w:p>
          <w:p w14:paraId="4CA784AB" w14:textId="77777777" w:rsidR="00D3608B" w:rsidRPr="00EA16B0" w:rsidRDefault="00D3608B" w:rsidP="00E0027D">
            <w:pPr>
              <w:tabs>
                <w:tab w:val="clear" w:pos="161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C00000"/>
                <w:szCs w:val="20"/>
              </w:rPr>
            </w:pPr>
            <w:r w:rsidRPr="00EA16B0">
              <w:rPr>
                <w:rFonts w:asciiTheme="majorHAnsi" w:hAnsiTheme="majorHAnsi" w:cstheme="majorHAnsi"/>
                <w:bCs/>
                <w:szCs w:val="20"/>
              </w:rPr>
              <w:lastRenderedPageBreak/>
              <w:t>Política 1: Externalização e internacionalização.</w:t>
            </w:r>
          </w:p>
        </w:tc>
      </w:tr>
      <w:tr w:rsidR="00D3608B" w:rsidRPr="00EA16B0" w14:paraId="0F6DA276" w14:textId="77777777" w:rsidTr="006A6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07F0D2F6" w14:textId="77777777" w:rsidR="00D3608B" w:rsidRPr="00EA16B0" w:rsidRDefault="00D3608B" w:rsidP="00E0027D">
            <w:pPr>
              <w:tabs>
                <w:tab w:val="clear" w:pos="1615"/>
              </w:tabs>
              <w:autoSpaceDE w:val="0"/>
              <w:autoSpaceDN w:val="0"/>
              <w:adjustRightInd w:val="0"/>
              <w:jc w:val="both"/>
              <w:rPr>
                <w:rFonts w:asciiTheme="majorHAnsi" w:hAnsiTheme="majorHAnsi" w:cstheme="majorHAnsi"/>
                <w:szCs w:val="20"/>
              </w:rPr>
            </w:pPr>
            <w:r w:rsidRPr="00EA16B0">
              <w:rPr>
                <w:rFonts w:asciiTheme="majorHAnsi" w:hAnsiTheme="majorHAnsi" w:cstheme="majorHAnsi"/>
                <w:szCs w:val="20"/>
              </w:rPr>
              <w:lastRenderedPageBreak/>
              <w:t>XVI – garantia de pluralidade de ideias e gestão democrática do ensino;</w:t>
            </w:r>
          </w:p>
        </w:tc>
        <w:tc>
          <w:tcPr>
            <w:tcW w:w="4246" w:type="dxa"/>
          </w:tcPr>
          <w:p w14:paraId="3CD9ED33" w14:textId="77777777" w:rsidR="00D3608B" w:rsidRPr="00EA16B0" w:rsidRDefault="00D3608B" w:rsidP="00E0027D">
            <w:pPr>
              <w:tabs>
                <w:tab w:val="clear" w:pos="1615"/>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0"/>
              </w:rPr>
            </w:pPr>
            <w:r w:rsidRPr="00EA16B0">
              <w:rPr>
                <w:rFonts w:asciiTheme="majorHAnsi" w:hAnsiTheme="majorHAnsi" w:cstheme="majorHAnsi"/>
                <w:bCs/>
                <w:szCs w:val="20"/>
              </w:rPr>
              <w:t>Política 10: Organização descentralizada, flexível e com gestão democrática.</w:t>
            </w:r>
          </w:p>
        </w:tc>
      </w:tr>
      <w:tr w:rsidR="00D3608B" w:rsidRPr="00EA16B0" w14:paraId="107316ED" w14:textId="77777777" w:rsidTr="006A649D">
        <w:tc>
          <w:tcPr>
            <w:cnfStyle w:val="001000000000" w:firstRow="0" w:lastRow="0" w:firstColumn="1" w:lastColumn="0" w:oddVBand="0" w:evenVBand="0" w:oddHBand="0" w:evenHBand="0" w:firstRowFirstColumn="0" w:firstRowLastColumn="0" w:lastRowFirstColumn="0" w:lastRowLastColumn="0"/>
            <w:tcW w:w="5382" w:type="dxa"/>
          </w:tcPr>
          <w:p w14:paraId="7BFE2FAD" w14:textId="77777777" w:rsidR="00D3608B" w:rsidRPr="00EA16B0" w:rsidRDefault="00D3608B" w:rsidP="00E0027D">
            <w:pPr>
              <w:tabs>
                <w:tab w:val="clear" w:pos="1615"/>
              </w:tabs>
              <w:autoSpaceDE w:val="0"/>
              <w:autoSpaceDN w:val="0"/>
              <w:adjustRightInd w:val="0"/>
              <w:jc w:val="both"/>
              <w:rPr>
                <w:rFonts w:asciiTheme="majorHAnsi" w:hAnsiTheme="majorHAnsi" w:cstheme="majorHAnsi"/>
                <w:szCs w:val="20"/>
              </w:rPr>
            </w:pPr>
            <w:r w:rsidRPr="00EA16B0">
              <w:rPr>
                <w:rFonts w:asciiTheme="majorHAnsi" w:hAnsiTheme="majorHAnsi" w:cstheme="majorHAnsi"/>
                <w:szCs w:val="20"/>
              </w:rPr>
              <w:t>XVII – fomento, no desenvolvimento de suas pesquisas, à geração de novas tecnologias e processos, visando à promoção do desenvolvimento econômico e técnico-científico do Distrito Federal.</w:t>
            </w:r>
          </w:p>
        </w:tc>
        <w:tc>
          <w:tcPr>
            <w:tcW w:w="4246" w:type="dxa"/>
          </w:tcPr>
          <w:p w14:paraId="6178037F" w14:textId="77777777" w:rsidR="00D3608B" w:rsidRPr="00EA16B0" w:rsidRDefault="00D3608B" w:rsidP="00E0027D">
            <w:pPr>
              <w:tabs>
                <w:tab w:val="clear" w:pos="161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0"/>
              </w:rPr>
            </w:pPr>
            <w:r w:rsidRPr="00EA16B0">
              <w:rPr>
                <w:rFonts w:asciiTheme="majorHAnsi" w:hAnsiTheme="majorHAnsi" w:cstheme="majorHAnsi"/>
                <w:bCs/>
                <w:szCs w:val="20"/>
              </w:rPr>
              <w:t>Política 11: Empreendedorismo e inovação.</w:t>
            </w:r>
          </w:p>
          <w:p w14:paraId="542AFE85" w14:textId="77777777" w:rsidR="00D3608B" w:rsidRPr="00EA16B0" w:rsidRDefault="00D3608B" w:rsidP="00E0027D">
            <w:pPr>
              <w:tabs>
                <w:tab w:val="clear" w:pos="161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0"/>
              </w:rPr>
            </w:pPr>
            <w:r w:rsidRPr="00EA16B0">
              <w:rPr>
                <w:rFonts w:asciiTheme="majorHAnsi" w:hAnsiTheme="majorHAnsi" w:cstheme="majorHAnsi"/>
                <w:bCs/>
                <w:szCs w:val="20"/>
              </w:rPr>
              <w:t>Política 2: Polo irradiador de desenvolvimento.</w:t>
            </w:r>
          </w:p>
        </w:tc>
      </w:tr>
      <w:tr w:rsidR="00D3608B" w:rsidRPr="00EA16B0" w14:paraId="18546A1C" w14:textId="77777777" w:rsidTr="006A6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2A433713" w14:textId="77777777" w:rsidR="00D3608B" w:rsidRPr="00EA16B0" w:rsidRDefault="00D3608B" w:rsidP="00E0027D">
            <w:pPr>
              <w:tabs>
                <w:tab w:val="clear" w:pos="1615"/>
              </w:tabs>
              <w:autoSpaceDE w:val="0"/>
              <w:autoSpaceDN w:val="0"/>
              <w:adjustRightInd w:val="0"/>
              <w:rPr>
                <w:rFonts w:asciiTheme="majorHAnsi" w:hAnsiTheme="majorHAnsi" w:cstheme="majorHAnsi"/>
                <w:szCs w:val="20"/>
              </w:rPr>
            </w:pPr>
            <w:r w:rsidRPr="00EA16B0">
              <w:rPr>
                <w:rFonts w:asciiTheme="majorHAnsi" w:hAnsiTheme="majorHAnsi" w:cstheme="majorHAnsi"/>
                <w:szCs w:val="20"/>
              </w:rPr>
              <w:t xml:space="preserve">Parágrafo único. Para cumprimento de suas finalidades, a </w:t>
            </w:r>
            <w:proofErr w:type="spellStart"/>
            <w:r w:rsidRPr="00EA16B0">
              <w:rPr>
                <w:rFonts w:asciiTheme="majorHAnsi" w:hAnsiTheme="majorHAnsi" w:cstheme="majorHAnsi"/>
                <w:szCs w:val="20"/>
              </w:rPr>
              <w:t>UnDF</w:t>
            </w:r>
            <w:proofErr w:type="spellEnd"/>
            <w:r w:rsidRPr="00EA16B0">
              <w:rPr>
                <w:rFonts w:asciiTheme="majorHAnsi" w:hAnsiTheme="majorHAnsi" w:cstheme="majorHAnsi"/>
                <w:szCs w:val="20"/>
              </w:rPr>
              <w:t xml:space="preserve"> pode prestar serviços a instituições públicas e privadas cujas áreas de excelência interessem aos seus programas e projetos.</w:t>
            </w:r>
          </w:p>
        </w:tc>
        <w:tc>
          <w:tcPr>
            <w:tcW w:w="4246" w:type="dxa"/>
          </w:tcPr>
          <w:p w14:paraId="6FA4977C" w14:textId="77777777" w:rsidR="00D3608B" w:rsidRPr="00EA16B0" w:rsidRDefault="00D3608B" w:rsidP="00E0027D">
            <w:pPr>
              <w:tabs>
                <w:tab w:val="clear" w:pos="1615"/>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0"/>
              </w:rPr>
            </w:pPr>
            <w:r w:rsidRPr="00EA16B0">
              <w:rPr>
                <w:rFonts w:asciiTheme="majorHAnsi" w:hAnsiTheme="majorHAnsi" w:cstheme="majorHAnsi"/>
                <w:bCs/>
                <w:szCs w:val="20"/>
              </w:rPr>
              <w:t>Política 1: Externalização e internacionalização</w:t>
            </w:r>
          </w:p>
        </w:tc>
      </w:tr>
    </w:tbl>
    <w:p w14:paraId="79776399" w14:textId="77777777" w:rsidR="00D3608B" w:rsidRPr="00EA16B0" w:rsidRDefault="00D3608B" w:rsidP="00D3608B">
      <w:pPr>
        <w:tabs>
          <w:tab w:val="clear" w:pos="1615"/>
        </w:tabs>
        <w:autoSpaceDE w:val="0"/>
        <w:autoSpaceDN w:val="0"/>
        <w:adjustRightInd w:val="0"/>
        <w:spacing w:after="240"/>
        <w:rPr>
          <w:rFonts w:asciiTheme="majorHAnsi" w:hAnsiTheme="majorHAnsi" w:cstheme="majorHAnsi"/>
          <w:color w:val="000000"/>
          <w:sz w:val="16"/>
          <w:szCs w:val="24"/>
        </w:rPr>
      </w:pPr>
      <w:r w:rsidRPr="00EA16B0">
        <w:rPr>
          <w:rFonts w:asciiTheme="majorHAnsi" w:hAnsiTheme="majorHAnsi" w:cstheme="majorHAnsi"/>
          <w:color w:val="000000"/>
          <w:sz w:val="16"/>
          <w:szCs w:val="24"/>
        </w:rPr>
        <w:t>Fonte: Elaborado pelo autor a partir da LC 987/2021 (DISTRITO FEDERAL, 2021a).</w:t>
      </w:r>
    </w:p>
    <w:p w14:paraId="3DF8B93C" w14:textId="77777777" w:rsidR="006A649D" w:rsidRPr="00EA16B0" w:rsidRDefault="006A649D" w:rsidP="00D3608B">
      <w:pPr>
        <w:jc w:val="both"/>
        <w:rPr>
          <w:rFonts w:asciiTheme="majorHAnsi" w:hAnsiTheme="majorHAnsi" w:cstheme="majorHAnsi"/>
        </w:rPr>
      </w:pPr>
    </w:p>
    <w:p w14:paraId="7434E3F5" w14:textId="6047CFB8" w:rsidR="00D3608B" w:rsidRPr="00EA16B0" w:rsidRDefault="00D3608B" w:rsidP="006A649D">
      <w:pPr>
        <w:spacing w:line="360" w:lineRule="auto"/>
        <w:jc w:val="both"/>
        <w:rPr>
          <w:rFonts w:asciiTheme="majorHAnsi" w:hAnsiTheme="majorHAnsi" w:cstheme="majorHAnsi"/>
          <w:sz w:val="24"/>
          <w:szCs w:val="24"/>
        </w:rPr>
      </w:pPr>
      <w:r w:rsidRPr="00EA16B0">
        <w:rPr>
          <w:rFonts w:asciiTheme="majorHAnsi" w:hAnsiTheme="majorHAnsi" w:cstheme="majorHAnsi"/>
          <w:sz w:val="24"/>
          <w:szCs w:val="24"/>
        </w:rPr>
        <w:t xml:space="preserve">Foram relacionadas 15 políticas expressas a partir dos incisos dos três artigos citados nos quadros 2.1 e 2.2 e elas podem ser agrupadas para expressar a própria razão de ser das instituições de ensino e reforçam o fato de a educação ser classificada como um direito social. Para facilitar essa visualização, elas são mostradas na Figura 2.2, a seguir. </w:t>
      </w:r>
    </w:p>
    <w:p w14:paraId="7E4A2CFD" w14:textId="77777777" w:rsidR="006A649D" w:rsidRPr="00EA16B0" w:rsidRDefault="006A649D" w:rsidP="00D3608B">
      <w:pPr>
        <w:jc w:val="both"/>
        <w:rPr>
          <w:rFonts w:asciiTheme="majorHAnsi" w:hAnsiTheme="majorHAnsi" w:cstheme="majorHAnsi"/>
          <w:sz w:val="20"/>
        </w:rPr>
      </w:pPr>
    </w:p>
    <w:p w14:paraId="2C1A261E" w14:textId="09E70226" w:rsidR="00D3608B" w:rsidRPr="00EA16B0" w:rsidRDefault="00D3608B" w:rsidP="00D3608B">
      <w:pPr>
        <w:jc w:val="both"/>
        <w:rPr>
          <w:rFonts w:asciiTheme="majorHAnsi" w:hAnsiTheme="majorHAnsi" w:cstheme="majorHAnsi"/>
          <w:sz w:val="20"/>
        </w:rPr>
      </w:pPr>
      <w:r w:rsidRPr="00EA16B0">
        <w:rPr>
          <w:rFonts w:asciiTheme="majorHAnsi" w:hAnsiTheme="majorHAnsi" w:cstheme="majorHAnsi"/>
          <w:sz w:val="20"/>
        </w:rPr>
        <w:t>Figura 2.2. Relações e agrupamento das políticas expressas nos incisos do Art. 3.</w:t>
      </w:r>
      <w:r w:rsidRPr="00EA16B0">
        <w:rPr>
          <w:rFonts w:asciiTheme="majorHAnsi" w:hAnsiTheme="majorHAnsi" w:cstheme="majorHAnsi"/>
          <w:sz w:val="20"/>
          <w:vertAlign w:val="superscript"/>
        </w:rPr>
        <w:t>o</w:t>
      </w:r>
      <w:r w:rsidRPr="00EA16B0">
        <w:rPr>
          <w:rFonts w:asciiTheme="majorHAnsi" w:hAnsiTheme="majorHAnsi" w:cstheme="majorHAnsi"/>
          <w:sz w:val="20"/>
        </w:rPr>
        <w:t xml:space="preserve"> da Lei de Criação da </w:t>
      </w:r>
      <w:proofErr w:type="spellStart"/>
      <w:r w:rsidRPr="00EA16B0">
        <w:rPr>
          <w:rFonts w:asciiTheme="majorHAnsi" w:hAnsiTheme="majorHAnsi" w:cstheme="majorHAnsi"/>
          <w:sz w:val="20"/>
        </w:rPr>
        <w:t>UnDF</w:t>
      </w:r>
      <w:proofErr w:type="spellEnd"/>
      <w:r w:rsidRPr="00EA16B0">
        <w:rPr>
          <w:rFonts w:asciiTheme="majorHAnsi" w:hAnsiTheme="majorHAnsi" w:cstheme="majorHAnsi"/>
          <w:sz w:val="20"/>
        </w:rPr>
        <w:t>.</w:t>
      </w:r>
    </w:p>
    <w:p w14:paraId="023506F9" w14:textId="77777777" w:rsidR="00D3608B" w:rsidRPr="00EA16B0" w:rsidRDefault="00D3608B" w:rsidP="00D3608B">
      <w:pPr>
        <w:spacing w:after="0"/>
        <w:jc w:val="both"/>
        <w:rPr>
          <w:rFonts w:asciiTheme="majorHAnsi" w:hAnsiTheme="majorHAnsi" w:cstheme="majorHAnsi"/>
          <w:sz w:val="20"/>
        </w:rPr>
      </w:pPr>
      <w:r w:rsidRPr="00EA16B0">
        <w:rPr>
          <w:rFonts w:asciiTheme="majorHAnsi" w:hAnsiTheme="majorHAnsi" w:cstheme="majorHAnsi"/>
          <w:noProof/>
          <w:lang w:eastAsia="pt-BR"/>
        </w:rPr>
        <w:drawing>
          <wp:inline distT="0" distB="0" distL="0" distR="0" wp14:anchorId="3892A13F" wp14:editId="6C40CBCF">
            <wp:extent cx="6120130" cy="3588079"/>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3588079"/>
                    </a:xfrm>
                    <a:prstGeom prst="rect">
                      <a:avLst/>
                    </a:prstGeom>
                    <a:noFill/>
                    <a:ln>
                      <a:noFill/>
                    </a:ln>
                  </pic:spPr>
                </pic:pic>
              </a:graphicData>
            </a:graphic>
          </wp:inline>
        </w:drawing>
      </w:r>
    </w:p>
    <w:p w14:paraId="4759292B" w14:textId="77777777" w:rsidR="00D3608B" w:rsidRPr="00EA16B0" w:rsidRDefault="00D3608B" w:rsidP="00D3608B">
      <w:pPr>
        <w:jc w:val="both"/>
        <w:rPr>
          <w:rFonts w:asciiTheme="majorHAnsi" w:hAnsiTheme="majorHAnsi" w:cstheme="majorHAnsi"/>
          <w:sz w:val="16"/>
        </w:rPr>
      </w:pPr>
      <w:r w:rsidRPr="00EA16B0">
        <w:rPr>
          <w:rFonts w:asciiTheme="majorHAnsi" w:hAnsiTheme="majorHAnsi" w:cstheme="majorHAnsi"/>
          <w:sz w:val="16"/>
        </w:rPr>
        <w:t>Fonte: Elaborado pelo Autor em 2022, a partir do Quadro 2.2.</w:t>
      </w:r>
    </w:p>
    <w:p w14:paraId="4A2CF679" w14:textId="77777777" w:rsidR="006A649D" w:rsidRPr="00EA16B0" w:rsidRDefault="006A649D" w:rsidP="00D3608B">
      <w:pPr>
        <w:jc w:val="both"/>
        <w:rPr>
          <w:rFonts w:asciiTheme="majorHAnsi" w:hAnsiTheme="majorHAnsi" w:cstheme="majorHAnsi"/>
        </w:rPr>
      </w:pPr>
    </w:p>
    <w:p w14:paraId="428D1EA1" w14:textId="7EACE728" w:rsidR="00D3608B" w:rsidRPr="00EA16B0" w:rsidRDefault="00D3608B" w:rsidP="006A649D">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lastRenderedPageBreak/>
        <w:t>Percebe-se claramente a estrutura universitária e a indissociabilidade entre ensino, pesquisa e extensão. Na contramão dessa percepção de conjunto, em nosso entendimento, vem a determinação de um percentual mínimo de 10% em atividades de extensão nos cursos de graduação, proposto pelas “Diretrizes de Extensão” no Art. 4.</w:t>
      </w:r>
      <w:r w:rsidRPr="00EA16B0">
        <w:rPr>
          <w:rFonts w:asciiTheme="majorHAnsi" w:hAnsiTheme="majorHAnsi" w:cstheme="majorHAnsi"/>
          <w:sz w:val="24"/>
          <w:szCs w:val="24"/>
          <w:vertAlign w:val="superscript"/>
        </w:rPr>
        <w:t>o</w:t>
      </w:r>
      <w:r w:rsidRPr="00EA16B0">
        <w:rPr>
          <w:rFonts w:asciiTheme="majorHAnsi" w:hAnsiTheme="majorHAnsi" w:cstheme="majorHAnsi"/>
          <w:sz w:val="24"/>
          <w:szCs w:val="24"/>
        </w:rPr>
        <w:t xml:space="preserve"> da Resolução n. 7/2018 originada do Parecer CNE/CES n. 608/2018 (CNE, 2018b; 2018d). Esse tratamento </w:t>
      </w:r>
      <w:proofErr w:type="spellStart"/>
      <w:r w:rsidRPr="00EA16B0">
        <w:rPr>
          <w:rFonts w:asciiTheme="majorHAnsi" w:hAnsiTheme="majorHAnsi" w:cstheme="majorHAnsi"/>
          <w:sz w:val="24"/>
          <w:szCs w:val="24"/>
        </w:rPr>
        <w:t>disciplinarizado</w:t>
      </w:r>
      <w:proofErr w:type="spellEnd"/>
      <w:r w:rsidRPr="00EA16B0">
        <w:rPr>
          <w:rFonts w:asciiTheme="majorHAnsi" w:hAnsiTheme="majorHAnsi" w:cstheme="majorHAnsi"/>
          <w:sz w:val="24"/>
          <w:szCs w:val="24"/>
        </w:rPr>
        <w:t xml:space="preserve"> da extensão só contribui para que ela ocupe o percentual determinado pela legislação e para que perca sua força expressa nos preceitos constitucionais, reiterados pela Lei de Criação da </w:t>
      </w:r>
      <w:proofErr w:type="spellStart"/>
      <w:r w:rsidRPr="00EA16B0">
        <w:rPr>
          <w:rFonts w:asciiTheme="majorHAnsi" w:hAnsiTheme="majorHAnsi" w:cstheme="majorHAnsi"/>
          <w:sz w:val="24"/>
          <w:szCs w:val="24"/>
        </w:rPr>
        <w:t>UnDF</w:t>
      </w:r>
      <w:proofErr w:type="spellEnd"/>
      <w:r w:rsidRPr="00EA16B0">
        <w:rPr>
          <w:rFonts w:asciiTheme="majorHAnsi" w:hAnsiTheme="majorHAnsi" w:cstheme="majorHAnsi"/>
          <w:sz w:val="24"/>
          <w:szCs w:val="24"/>
        </w:rPr>
        <w:t xml:space="preserve"> já que a lógica universitária prevê a realização do ensino a partir da produção de conhecimento (pesquisa) e com a necessária interferência positiva no desenvolvimento social, não apenas pela sua disponibilização à sociedade (extensão), mas com a apropriação de seus benefícios pela mesma.</w:t>
      </w:r>
    </w:p>
    <w:p w14:paraId="3ADCE652" w14:textId="77777777" w:rsidR="00D3608B" w:rsidRPr="00EA16B0" w:rsidRDefault="00D3608B" w:rsidP="006A649D">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Além disso, indissociabilidade não implica na anulação de suas componentes, mas de sua unicidade no processo de produção, de apropriação e de disponibilização de novos conhecimentos. Analogamente, temos os conceitos de </w:t>
      </w:r>
      <w:proofErr w:type="spellStart"/>
      <w:r w:rsidRPr="00EA16B0">
        <w:rPr>
          <w:rFonts w:asciiTheme="majorHAnsi" w:hAnsiTheme="majorHAnsi" w:cstheme="majorHAnsi"/>
          <w:sz w:val="24"/>
          <w:szCs w:val="24"/>
        </w:rPr>
        <w:t>inter</w:t>
      </w:r>
      <w:proofErr w:type="spellEnd"/>
      <w:r w:rsidRPr="00EA16B0">
        <w:rPr>
          <w:rFonts w:asciiTheme="majorHAnsi" w:hAnsiTheme="majorHAnsi" w:cstheme="majorHAnsi"/>
          <w:sz w:val="24"/>
          <w:szCs w:val="24"/>
        </w:rPr>
        <w:t xml:space="preserve"> e transdisciplinaridade que, apesar de extrapolar os limites das disciplinas, não as anulam.</w:t>
      </w:r>
    </w:p>
    <w:p w14:paraId="477CBDD7" w14:textId="77777777" w:rsidR="00D3608B" w:rsidRPr="00EA16B0" w:rsidRDefault="00D3608B" w:rsidP="006A649D">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A partir de sua criação como </w:t>
      </w:r>
      <w:proofErr w:type="spellStart"/>
      <w:r w:rsidRPr="00EA16B0">
        <w:rPr>
          <w:rFonts w:asciiTheme="majorHAnsi" w:hAnsiTheme="majorHAnsi" w:cstheme="majorHAnsi"/>
          <w:sz w:val="24"/>
          <w:szCs w:val="24"/>
        </w:rPr>
        <w:t>UnDF</w:t>
      </w:r>
      <w:proofErr w:type="spellEnd"/>
      <w:r w:rsidRPr="00EA16B0">
        <w:rPr>
          <w:rFonts w:asciiTheme="majorHAnsi" w:hAnsiTheme="majorHAnsi" w:cstheme="majorHAnsi"/>
          <w:sz w:val="24"/>
          <w:szCs w:val="24"/>
        </w:rPr>
        <w:t xml:space="preserve">, uma série de estudos e de trabalhos estão sendo realizados sob a Coordenação do </w:t>
      </w:r>
      <w:r w:rsidRPr="00EA16B0">
        <w:rPr>
          <w:rFonts w:asciiTheme="majorHAnsi" w:eastAsia="Times New Roman" w:hAnsiTheme="majorHAnsi" w:cstheme="majorHAnsi"/>
          <w:sz w:val="24"/>
          <w:szCs w:val="24"/>
          <w:lang w:eastAsia="pt-BR"/>
        </w:rPr>
        <w:t xml:space="preserve">Centro Brasileiro de Pesquisa em Avaliação e Seleção e de Promoção de Eventos </w:t>
      </w:r>
      <w:r w:rsidRPr="00EA16B0">
        <w:rPr>
          <w:rFonts w:asciiTheme="majorHAnsi" w:hAnsiTheme="majorHAnsi" w:cstheme="majorHAnsi"/>
          <w:sz w:val="24"/>
          <w:szCs w:val="24"/>
        </w:rPr>
        <w:t>(CEBRASPE), como subsídio para a sua organização e estruturação. Esses estudos levarão ao desenvolvimento do Plano de Desenvolvimento Institucional (PDI), que terá em sua estrutura o Projeto Pedagógico Institucional (PPI), documentos que organizarão as ações institucionais a partir das políticas estabelecidas, levando em conta os princípios explicitados em sua Lei de Criação como tratado no item anterior.</w:t>
      </w:r>
    </w:p>
    <w:p w14:paraId="178BCA15" w14:textId="3CA0A2CB" w:rsidR="00D3608B" w:rsidRPr="00EA16B0" w:rsidRDefault="00D3608B" w:rsidP="006A649D">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Uma das peças mais importantes desse movimento de estruturação e que organiza legalmente a Instituição </w:t>
      </w:r>
      <w:r w:rsidRPr="00EA16B0">
        <w:rPr>
          <w:rFonts w:asciiTheme="majorHAnsi" w:hAnsiTheme="majorHAnsi" w:cstheme="majorHAnsi"/>
          <w:spacing w:val="-2"/>
          <w:sz w:val="24"/>
          <w:szCs w:val="24"/>
        </w:rPr>
        <w:t>e, assim, o ensino por ela ministrado, é o seu estatuto e todas as consequências desse regramento, não apenas</w:t>
      </w:r>
      <w:r w:rsidRPr="00EA16B0">
        <w:rPr>
          <w:rFonts w:asciiTheme="majorHAnsi" w:hAnsiTheme="majorHAnsi" w:cstheme="majorHAnsi"/>
          <w:sz w:val="24"/>
          <w:szCs w:val="24"/>
        </w:rPr>
        <w:t xml:space="preserve"> para o dia a dia institucional, mas também para os anseios, as características, a missão e a visão institucionais.</w:t>
      </w:r>
    </w:p>
    <w:p w14:paraId="7992286C" w14:textId="77777777" w:rsidR="006A649D" w:rsidRPr="00EA16B0" w:rsidRDefault="006A649D" w:rsidP="006A649D">
      <w:pPr>
        <w:spacing w:line="360" w:lineRule="auto"/>
        <w:ind w:firstLine="709"/>
        <w:jc w:val="both"/>
        <w:rPr>
          <w:rFonts w:asciiTheme="majorHAnsi" w:hAnsiTheme="majorHAnsi" w:cstheme="majorHAnsi"/>
          <w:sz w:val="24"/>
          <w:szCs w:val="24"/>
        </w:rPr>
      </w:pPr>
    </w:p>
    <w:p w14:paraId="68D44D76" w14:textId="1CD201BF" w:rsidR="00D3608B" w:rsidRPr="00EA16B0" w:rsidRDefault="00D3608B" w:rsidP="003A7871">
      <w:pPr>
        <w:pStyle w:val="Ttulo2"/>
        <w:numPr>
          <w:ilvl w:val="1"/>
          <w:numId w:val="1"/>
        </w:numPr>
        <w:tabs>
          <w:tab w:val="clear" w:pos="1615"/>
        </w:tabs>
        <w:spacing w:before="0" w:after="0" w:line="360" w:lineRule="auto"/>
        <w:ind w:left="993" w:hanging="576"/>
        <w:rPr>
          <w:rFonts w:asciiTheme="majorHAnsi" w:hAnsiTheme="majorHAnsi" w:cstheme="majorHAnsi"/>
        </w:rPr>
      </w:pPr>
      <w:bookmarkStart w:id="46" w:name="_Toc102319375"/>
      <w:r w:rsidRPr="00EA16B0">
        <w:rPr>
          <w:rFonts w:asciiTheme="majorHAnsi" w:hAnsiTheme="majorHAnsi" w:cstheme="majorHAnsi"/>
        </w:rPr>
        <w:t>ESTATUTOS E OUTROS INSTRUMENTOS INTERNOS</w:t>
      </w:r>
      <w:bookmarkEnd w:id="46"/>
    </w:p>
    <w:p w14:paraId="33AC8CCC" w14:textId="77777777" w:rsidR="00D3608B" w:rsidRPr="00EA16B0" w:rsidRDefault="00D3608B" w:rsidP="006A649D">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Quando o Art. 2.</w:t>
      </w:r>
      <w:r w:rsidRPr="00EA16B0">
        <w:rPr>
          <w:rFonts w:asciiTheme="majorHAnsi" w:hAnsiTheme="majorHAnsi" w:cstheme="majorHAnsi"/>
          <w:sz w:val="24"/>
          <w:szCs w:val="24"/>
          <w:vertAlign w:val="superscript"/>
        </w:rPr>
        <w:t>o</w:t>
      </w:r>
      <w:r w:rsidRPr="00EA16B0">
        <w:rPr>
          <w:rFonts w:asciiTheme="majorHAnsi" w:hAnsiTheme="majorHAnsi" w:cstheme="majorHAnsi"/>
          <w:sz w:val="24"/>
          <w:szCs w:val="24"/>
        </w:rPr>
        <w:t xml:space="preserve"> da Lei Complementar 987/2021 determina a necessidade de a Instituição elaborar a política de educação superior pública distrital (I) e de expedir normas para o desempenho de suas competências (IV), refere-se à necessidade </w:t>
      </w:r>
      <w:proofErr w:type="gramStart"/>
      <w:r w:rsidRPr="00EA16B0">
        <w:rPr>
          <w:rFonts w:asciiTheme="majorHAnsi" w:hAnsiTheme="majorHAnsi" w:cstheme="majorHAnsi"/>
          <w:sz w:val="24"/>
          <w:szCs w:val="24"/>
        </w:rPr>
        <w:t>da</w:t>
      </w:r>
      <w:proofErr w:type="gramEnd"/>
      <w:r w:rsidRPr="00EA16B0">
        <w:rPr>
          <w:rFonts w:asciiTheme="majorHAnsi" w:hAnsiTheme="majorHAnsi" w:cstheme="majorHAnsi"/>
          <w:sz w:val="24"/>
          <w:szCs w:val="24"/>
        </w:rPr>
        <w:t xml:space="preserve"> organização institucional ser feita a partir de </w:t>
      </w:r>
      <w:r w:rsidRPr="00EA16B0">
        <w:rPr>
          <w:rFonts w:asciiTheme="majorHAnsi" w:hAnsiTheme="majorHAnsi" w:cstheme="majorHAnsi"/>
          <w:sz w:val="24"/>
          <w:szCs w:val="24"/>
        </w:rPr>
        <w:lastRenderedPageBreak/>
        <w:t>uma norma que regulamente seu funcionamento, além de estabelecer e de regular os direitos e as obrigações dos diferentes componentes da comunidade que a compõe. O Estatuto, guardadas as proporções, é a constituição ou a lei orgânica da Instituição e o documento base de suas relações internas. É também o documento submetido ao Conselho de Educação do Distrito Federal para aprovação, ficando a aprovação dos demais regramentos a cargo da própria instituição universitária (Art. 14, Res. 2/2017, CEDF, 2017).</w:t>
      </w:r>
    </w:p>
    <w:p w14:paraId="7DA23B48" w14:textId="77777777" w:rsidR="00D3608B" w:rsidRPr="00EA16B0" w:rsidRDefault="00D3608B" w:rsidP="006A649D">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Os estatutos da </w:t>
      </w:r>
      <w:proofErr w:type="spellStart"/>
      <w:r w:rsidRPr="00EA16B0">
        <w:rPr>
          <w:rFonts w:asciiTheme="majorHAnsi" w:hAnsiTheme="majorHAnsi" w:cstheme="majorHAnsi"/>
          <w:sz w:val="24"/>
          <w:szCs w:val="24"/>
        </w:rPr>
        <w:t>UnDF</w:t>
      </w:r>
      <w:proofErr w:type="spellEnd"/>
      <w:r w:rsidRPr="00EA16B0">
        <w:rPr>
          <w:rFonts w:asciiTheme="majorHAnsi" w:hAnsiTheme="majorHAnsi" w:cstheme="majorHAnsi"/>
          <w:sz w:val="24"/>
          <w:szCs w:val="24"/>
        </w:rPr>
        <w:t xml:space="preserve"> estão em construção e o recente trabalho da Prof</w:t>
      </w:r>
      <w:r w:rsidRPr="00EA16B0">
        <w:rPr>
          <w:rFonts w:asciiTheme="majorHAnsi" w:hAnsiTheme="majorHAnsi" w:cstheme="majorHAnsi"/>
          <w:sz w:val="24"/>
          <w:szCs w:val="24"/>
          <w:vertAlign w:val="superscript"/>
        </w:rPr>
        <w:t>a</w:t>
      </w:r>
      <w:r w:rsidRPr="00EA16B0">
        <w:rPr>
          <w:rFonts w:asciiTheme="majorHAnsi" w:hAnsiTheme="majorHAnsi" w:cstheme="majorHAnsi"/>
          <w:sz w:val="24"/>
          <w:szCs w:val="24"/>
        </w:rPr>
        <w:t xml:space="preserve">. Stela </w:t>
      </w:r>
      <w:proofErr w:type="spellStart"/>
      <w:r w:rsidRPr="00EA16B0">
        <w:rPr>
          <w:rFonts w:asciiTheme="majorHAnsi" w:hAnsiTheme="majorHAnsi" w:cstheme="majorHAnsi"/>
          <w:sz w:val="24"/>
          <w:szCs w:val="24"/>
        </w:rPr>
        <w:t>Meneghel</w:t>
      </w:r>
      <w:proofErr w:type="spellEnd"/>
      <w:r w:rsidRPr="00EA16B0">
        <w:rPr>
          <w:rFonts w:asciiTheme="majorHAnsi" w:hAnsiTheme="majorHAnsi" w:cstheme="majorHAnsi"/>
          <w:sz w:val="24"/>
          <w:szCs w:val="24"/>
        </w:rPr>
        <w:t xml:space="preserve"> (2022) trazem uma interessante proposta para o estabelecimento desse aparato legal para a </w:t>
      </w:r>
      <w:proofErr w:type="spellStart"/>
      <w:r w:rsidRPr="00EA16B0">
        <w:rPr>
          <w:rFonts w:asciiTheme="majorHAnsi" w:hAnsiTheme="majorHAnsi" w:cstheme="majorHAnsi"/>
          <w:sz w:val="24"/>
          <w:szCs w:val="24"/>
        </w:rPr>
        <w:t>UnDF</w:t>
      </w:r>
      <w:proofErr w:type="spellEnd"/>
      <w:r w:rsidRPr="00EA16B0">
        <w:rPr>
          <w:rFonts w:asciiTheme="majorHAnsi" w:hAnsiTheme="majorHAnsi" w:cstheme="majorHAnsi"/>
          <w:sz w:val="24"/>
          <w:szCs w:val="24"/>
        </w:rPr>
        <w:t xml:space="preserve">, baseada em dez princípios para a organização de uma Universidade inovadora, denominados “decálogo” pela autora. Segundo </w:t>
      </w:r>
      <w:proofErr w:type="spellStart"/>
      <w:r w:rsidRPr="00EA16B0">
        <w:rPr>
          <w:rFonts w:asciiTheme="majorHAnsi" w:hAnsiTheme="majorHAnsi" w:cstheme="majorHAnsi"/>
          <w:sz w:val="24"/>
          <w:szCs w:val="24"/>
        </w:rPr>
        <w:t>Meneghel</w:t>
      </w:r>
      <w:proofErr w:type="spellEnd"/>
      <w:r w:rsidRPr="00EA16B0">
        <w:rPr>
          <w:rFonts w:asciiTheme="majorHAnsi" w:hAnsiTheme="majorHAnsi" w:cstheme="majorHAnsi"/>
          <w:sz w:val="24"/>
          <w:szCs w:val="24"/>
        </w:rPr>
        <w:t xml:space="preserve"> (CEBRASPE, 2022b):</w:t>
      </w:r>
    </w:p>
    <w:p w14:paraId="53C93CCE" w14:textId="77777777" w:rsidR="00D3608B" w:rsidRPr="00EA16B0" w:rsidRDefault="00D3608B" w:rsidP="00D3608B">
      <w:pPr>
        <w:tabs>
          <w:tab w:val="left" w:pos="8364"/>
          <w:tab w:val="left" w:pos="8789"/>
        </w:tabs>
        <w:ind w:left="2268" w:right="849"/>
        <w:jc w:val="both"/>
        <w:rPr>
          <w:rFonts w:asciiTheme="majorHAnsi" w:hAnsiTheme="majorHAnsi" w:cstheme="majorHAnsi"/>
          <w:szCs w:val="24"/>
        </w:rPr>
      </w:pPr>
    </w:p>
    <w:p w14:paraId="6A2E8A38" w14:textId="77777777" w:rsidR="00D3608B" w:rsidRPr="00EA16B0" w:rsidRDefault="00D3608B" w:rsidP="00D3608B">
      <w:pPr>
        <w:ind w:left="2268" w:right="-1"/>
        <w:jc w:val="both"/>
        <w:rPr>
          <w:rFonts w:asciiTheme="majorHAnsi" w:hAnsiTheme="majorHAnsi" w:cstheme="majorHAnsi"/>
          <w:bCs/>
          <w:sz w:val="20"/>
          <w:szCs w:val="20"/>
        </w:rPr>
      </w:pPr>
      <w:r w:rsidRPr="00EA16B0">
        <w:rPr>
          <w:rFonts w:asciiTheme="majorHAnsi" w:hAnsiTheme="majorHAnsi" w:cstheme="majorHAnsi"/>
          <w:sz w:val="20"/>
          <w:szCs w:val="20"/>
        </w:rPr>
        <w:t xml:space="preserve">O “Decálogo”, como já indicado no Produto 01, deriva de uma série de estudos, eventos e debates, realizados na Etapa 2 deste projeto, sobre modelos de gestão inovadores. Faz-se necessário </w:t>
      </w:r>
      <w:r w:rsidRPr="00EA16B0">
        <w:rPr>
          <w:rFonts w:asciiTheme="majorHAnsi" w:hAnsiTheme="majorHAnsi" w:cstheme="majorHAnsi"/>
          <w:b/>
          <w:bCs/>
          <w:sz w:val="20"/>
          <w:szCs w:val="20"/>
        </w:rPr>
        <w:t xml:space="preserve">destacar, portanto, que </w:t>
      </w:r>
      <w:r w:rsidRPr="00EA16B0">
        <w:rPr>
          <w:rFonts w:asciiTheme="majorHAnsi" w:hAnsiTheme="majorHAnsi" w:cstheme="majorHAnsi"/>
          <w:sz w:val="20"/>
          <w:szCs w:val="20"/>
        </w:rPr>
        <w:t xml:space="preserve">não se constituem categorias prévias estabelecidas por esta consultora, tampouco fazem referência a um tipo de instituição em específico; mas </w:t>
      </w:r>
      <w:r w:rsidRPr="00EA16B0">
        <w:rPr>
          <w:rFonts w:asciiTheme="majorHAnsi" w:hAnsiTheme="majorHAnsi" w:cstheme="majorHAnsi"/>
          <w:b/>
          <w:bCs/>
          <w:sz w:val="20"/>
          <w:szCs w:val="20"/>
        </w:rPr>
        <w:t xml:space="preserve">decorrem e representam elementos da arquitetura e da experiência de universidades que se destacam mundialmente por seu caráter de inovação. </w:t>
      </w:r>
      <w:r w:rsidRPr="00EA16B0">
        <w:rPr>
          <w:rFonts w:asciiTheme="majorHAnsi" w:hAnsiTheme="majorHAnsi" w:cstheme="majorHAnsi"/>
          <w:bCs/>
          <w:sz w:val="20"/>
          <w:szCs w:val="20"/>
        </w:rPr>
        <w:t>(p. 11, grifado pela autora).</w:t>
      </w:r>
    </w:p>
    <w:p w14:paraId="167968F4" w14:textId="77777777" w:rsidR="00D3608B" w:rsidRPr="00EA16B0" w:rsidRDefault="00D3608B" w:rsidP="00D3608B">
      <w:pPr>
        <w:tabs>
          <w:tab w:val="left" w:pos="8364"/>
          <w:tab w:val="left" w:pos="8789"/>
        </w:tabs>
        <w:ind w:left="2268" w:right="849"/>
        <w:jc w:val="both"/>
        <w:rPr>
          <w:rFonts w:asciiTheme="majorHAnsi" w:hAnsiTheme="majorHAnsi" w:cstheme="majorHAnsi"/>
          <w:bCs/>
          <w:szCs w:val="24"/>
        </w:rPr>
      </w:pPr>
    </w:p>
    <w:p w14:paraId="4ABC0D9D" w14:textId="77777777" w:rsidR="00D3608B" w:rsidRPr="00EA16B0" w:rsidRDefault="00D3608B" w:rsidP="00D47DF0">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Pode-se observar que, no decálogo, todos os princípios se relacionam ao ensino, mas três deles tratam o fazem diretamente e abordam o ensino de graduação e de pós-graduação: </w:t>
      </w:r>
      <w:r w:rsidRPr="00EA16B0">
        <w:rPr>
          <w:rFonts w:asciiTheme="majorHAnsi" w:hAnsiTheme="majorHAnsi" w:cstheme="majorHAnsi"/>
          <w:b/>
          <w:sz w:val="24"/>
          <w:szCs w:val="24"/>
        </w:rPr>
        <w:t>princípios 7, 8 e 9.</w:t>
      </w:r>
    </w:p>
    <w:p w14:paraId="4C585CB8" w14:textId="77777777" w:rsidR="00D47DF0" w:rsidRPr="00EA16B0" w:rsidRDefault="00D47DF0" w:rsidP="00D47DF0">
      <w:pPr>
        <w:tabs>
          <w:tab w:val="left" w:pos="2268"/>
          <w:tab w:val="left" w:pos="8364"/>
        </w:tabs>
        <w:spacing w:after="120" w:line="360" w:lineRule="auto"/>
        <w:ind w:right="849"/>
        <w:jc w:val="both"/>
        <w:rPr>
          <w:rFonts w:asciiTheme="majorHAnsi" w:hAnsiTheme="majorHAnsi" w:cstheme="majorHAnsi"/>
          <w:sz w:val="20"/>
          <w:szCs w:val="20"/>
        </w:rPr>
      </w:pPr>
    </w:p>
    <w:p w14:paraId="2B6329FC" w14:textId="23D8B9B0" w:rsidR="00D3608B" w:rsidRPr="00EA16B0" w:rsidRDefault="00D3608B" w:rsidP="00D47DF0">
      <w:pPr>
        <w:tabs>
          <w:tab w:val="left" w:pos="2268"/>
          <w:tab w:val="left" w:pos="8364"/>
        </w:tabs>
        <w:spacing w:after="120" w:line="360" w:lineRule="auto"/>
        <w:ind w:right="849"/>
        <w:jc w:val="both"/>
        <w:rPr>
          <w:rFonts w:asciiTheme="majorHAnsi" w:hAnsiTheme="majorHAnsi" w:cstheme="majorHAnsi"/>
          <w:b/>
          <w:bCs/>
          <w:sz w:val="20"/>
          <w:szCs w:val="20"/>
        </w:rPr>
      </w:pPr>
      <w:r w:rsidRPr="00EA16B0">
        <w:rPr>
          <w:rFonts w:asciiTheme="majorHAnsi" w:hAnsiTheme="majorHAnsi" w:cstheme="majorHAnsi"/>
          <w:sz w:val="20"/>
          <w:szCs w:val="20"/>
        </w:rPr>
        <w:t xml:space="preserve">Quadro 1 – </w:t>
      </w:r>
      <w:r w:rsidRPr="00EA16B0">
        <w:rPr>
          <w:rFonts w:asciiTheme="majorHAnsi" w:hAnsiTheme="majorHAnsi" w:cstheme="majorHAnsi"/>
          <w:color w:val="171717"/>
          <w:sz w:val="20"/>
          <w:szCs w:val="20"/>
        </w:rPr>
        <w:t>Princípios de Universidades Inovadoras</w:t>
      </w:r>
    </w:p>
    <w:tbl>
      <w:tblPr>
        <w:tblStyle w:val="TabeladeGrade4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D3608B" w:rsidRPr="00EA16B0" w14:paraId="5C012C3D" w14:textId="77777777" w:rsidTr="00D47D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none" w:sz="0" w:space="0" w:color="auto"/>
              <w:left w:val="none" w:sz="0" w:space="0" w:color="auto"/>
              <w:bottom w:val="none" w:sz="0" w:space="0" w:color="auto"/>
              <w:right w:val="none" w:sz="0" w:space="0" w:color="auto"/>
            </w:tcBorders>
          </w:tcPr>
          <w:p w14:paraId="164E7C3F" w14:textId="77777777" w:rsidR="00D3608B" w:rsidRPr="00EA16B0" w:rsidRDefault="00D3608B" w:rsidP="00E0027D">
            <w:pPr>
              <w:tabs>
                <w:tab w:val="left" w:pos="8364"/>
              </w:tabs>
              <w:spacing w:before="60" w:after="60"/>
              <w:ind w:right="284"/>
              <w:jc w:val="both"/>
              <w:rPr>
                <w:rFonts w:asciiTheme="majorHAnsi" w:hAnsiTheme="majorHAnsi" w:cstheme="majorHAnsi"/>
                <w:b w:val="0"/>
                <w:bCs w:val="0"/>
                <w:sz w:val="24"/>
                <w:szCs w:val="28"/>
              </w:rPr>
            </w:pPr>
            <w:r w:rsidRPr="00EA16B0">
              <w:rPr>
                <w:rFonts w:asciiTheme="majorHAnsi" w:hAnsiTheme="majorHAnsi" w:cstheme="majorHAnsi"/>
                <w:color w:val="171717"/>
                <w:sz w:val="24"/>
                <w:szCs w:val="28"/>
              </w:rPr>
              <w:t>PRINCÍPIOS DE UNIVERSIDADES INOVADORAS</w:t>
            </w:r>
          </w:p>
        </w:tc>
      </w:tr>
      <w:tr w:rsidR="00D3608B" w:rsidRPr="00EA16B0" w14:paraId="28BA6EE9" w14:textId="77777777" w:rsidTr="00D47D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340B1892" w14:textId="77777777" w:rsidR="00D3608B" w:rsidRPr="00EA16B0" w:rsidRDefault="00D3608B" w:rsidP="00E0027D">
            <w:pPr>
              <w:tabs>
                <w:tab w:val="left" w:pos="8364"/>
              </w:tabs>
              <w:spacing w:before="60" w:after="60"/>
              <w:ind w:right="284"/>
              <w:jc w:val="both"/>
              <w:rPr>
                <w:rFonts w:asciiTheme="majorHAnsi" w:hAnsiTheme="majorHAnsi" w:cstheme="majorHAnsi"/>
                <w:b w:val="0"/>
                <w:bCs w:val="0"/>
                <w:sz w:val="24"/>
                <w:szCs w:val="28"/>
              </w:rPr>
            </w:pPr>
            <w:r w:rsidRPr="00EA16B0">
              <w:rPr>
                <w:rFonts w:asciiTheme="majorHAnsi" w:hAnsiTheme="majorHAnsi" w:cstheme="majorHAnsi"/>
                <w:color w:val="171717"/>
                <w:sz w:val="24"/>
                <w:szCs w:val="28"/>
              </w:rPr>
              <w:t>1 – Sentido de tecnologia e inovação</w:t>
            </w:r>
          </w:p>
        </w:tc>
      </w:tr>
      <w:tr w:rsidR="00D3608B" w:rsidRPr="00EA16B0" w14:paraId="3D53F054" w14:textId="77777777" w:rsidTr="00D47DF0">
        <w:tc>
          <w:tcPr>
            <w:cnfStyle w:val="001000000000" w:firstRow="0" w:lastRow="0" w:firstColumn="1" w:lastColumn="0" w:oddVBand="0" w:evenVBand="0" w:oddHBand="0" w:evenHBand="0" w:firstRowFirstColumn="0" w:firstRowLastColumn="0" w:lastRowFirstColumn="0" w:lastRowLastColumn="0"/>
            <w:tcW w:w="9639" w:type="dxa"/>
          </w:tcPr>
          <w:p w14:paraId="133D9A44" w14:textId="77777777" w:rsidR="00D3608B" w:rsidRPr="00EA16B0" w:rsidRDefault="00D3608B" w:rsidP="00E0027D">
            <w:pPr>
              <w:tabs>
                <w:tab w:val="left" w:pos="8364"/>
              </w:tabs>
              <w:spacing w:before="60" w:after="60"/>
              <w:ind w:right="284"/>
              <w:jc w:val="both"/>
              <w:rPr>
                <w:rFonts w:asciiTheme="majorHAnsi" w:hAnsiTheme="majorHAnsi" w:cstheme="majorHAnsi"/>
                <w:b w:val="0"/>
                <w:bCs w:val="0"/>
                <w:sz w:val="24"/>
                <w:szCs w:val="28"/>
              </w:rPr>
            </w:pPr>
            <w:r w:rsidRPr="00EA16B0">
              <w:rPr>
                <w:rFonts w:asciiTheme="majorHAnsi" w:hAnsiTheme="majorHAnsi" w:cstheme="majorHAnsi"/>
                <w:color w:val="171717"/>
                <w:sz w:val="24"/>
                <w:szCs w:val="28"/>
              </w:rPr>
              <w:t xml:space="preserve">2 – Integração da universidade com o contexto de desenvolvimento do território </w:t>
            </w:r>
          </w:p>
        </w:tc>
      </w:tr>
      <w:tr w:rsidR="00D3608B" w:rsidRPr="00EA16B0" w14:paraId="6A1808D5" w14:textId="77777777" w:rsidTr="00D47D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837A73F" w14:textId="77777777" w:rsidR="00D3608B" w:rsidRPr="00EA16B0" w:rsidRDefault="00D3608B" w:rsidP="00E0027D">
            <w:pPr>
              <w:tabs>
                <w:tab w:val="left" w:pos="8364"/>
              </w:tabs>
              <w:spacing w:before="60" w:after="60"/>
              <w:ind w:right="284"/>
              <w:jc w:val="both"/>
              <w:rPr>
                <w:rFonts w:asciiTheme="majorHAnsi" w:hAnsiTheme="majorHAnsi" w:cstheme="majorHAnsi"/>
                <w:b w:val="0"/>
                <w:bCs w:val="0"/>
                <w:sz w:val="24"/>
                <w:szCs w:val="28"/>
              </w:rPr>
            </w:pPr>
            <w:r w:rsidRPr="00EA16B0">
              <w:rPr>
                <w:rFonts w:asciiTheme="majorHAnsi" w:hAnsiTheme="majorHAnsi" w:cstheme="majorHAnsi"/>
                <w:color w:val="171717"/>
                <w:sz w:val="24"/>
                <w:szCs w:val="28"/>
              </w:rPr>
              <w:t>3 - Comunicação com a sociedade local e global</w:t>
            </w:r>
          </w:p>
        </w:tc>
      </w:tr>
      <w:tr w:rsidR="00D3608B" w:rsidRPr="00EA16B0" w14:paraId="22F84809" w14:textId="77777777" w:rsidTr="00D47DF0">
        <w:tc>
          <w:tcPr>
            <w:cnfStyle w:val="001000000000" w:firstRow="0" w:lastRow="0" w:firstColumn="1" w:lastColumn="0" w:oddVBand="0" w:evenVBand="0" w:oddHBand="0" w:evenHBand="0" w:firstRowFirstColumn="0" w:firstRowLastColumn="0" w:lastRowFirstColumn="0" w:lastRowLastColumn="0"/>
            <w:tcW w:w="9639" w:type="dxa"/>
          </w:tcPr>
          <w:p w14:paraId="3717B144" w14:textId="77777777" w:rsidR="00D3608B" w:rsidRPr="00EA16B0" w:rsidRDefault="00D3608B" w:rsidP="00E0027D">
            <w:pPr>
              <w:tabs>
                <w:tab w:val="left" w:pos="8364"/>
              </w:tabs>
              <w:spacing w:before="60" w:after="60"/>
              <w:ind w:right="284"/>
              <w:jc w:val="both"/>
              <w:rPr>
                <w:rFonts w:asciiTheme="majorHAnsi" w:hAnsiTheme="majorHAnsi" w:cstheme="majorHAnsi"/>
                <w:b w:val="0"/>
                <w:bCs w:val="0"/>
                <w:sz w:val="24"/>
                <w:szCs w:val="28"/>
              </w:rPr>
            </w:pPr>
            <w:r w:rsidRPr="00EA16B0">
              <w:rPr>
                <w:rFonts w:asciiTheme="majorHAnsi" w:hAnsiTheme="majorHAnsi" w:cstheme="majorHAnsi"/>
                <w:color w:val="171717"/>
                <w:sz w:val="24"/>
                <w:szCs w:val="28"/>
              </w:rPr>
              <w:t>4 - Gestão descentralizada, horizontal e democrática</w:t>
            </w:r>
          </w:p>
        </w:tc>
      </w:tr>
      <w:tr w:rsidR="00D3608B" w:rsidRPr="00EA16B0" w14:paraId="003848A6" w14:textId="77777777" w:rsidTr="00D47D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29F03BF1" w14:textId="77777777" w:rsidR="00D3608B" w:rsidRPr="00EA16B0" w:rsidRDefault="00D3608B" w:rsidP="00E0027D">
            <w:pPr>
              <w:tabs>
                <w:tab w:val="left" w:pos="8364"/>
              </w:tabs>
              <w:spacing w:before="60" w:after="60"/>
              <w:ind w:right="284"/>
              <w:jc w:val="both"/>
              <w:rPr>
                <w:rFonts w:asciiTheme="majorHAnsi" w:hAnsiTheme="majorHAnsi" w:cstheme="majorHAnsi"/>
                <w:b w:val="0"/>
                <w:bCs w:val="0"/>
                <w:sz w:val="24"/>
                <w:szCs w:val="28"/>
              </w:rPr>
            </w:pPr>
            <w:r w:rsidRPr="00EA16B0">
              <w:rPr>
                <w:rFonts w:asciiTheme="majorHAnsi" w:hAnsiTheme="majorHAnsi" w:cstheme="majorHAnsi"/>
                <w:color w:val="171717"/>
                <w:sz w:val="24"/>
                <w:szCs w:val="28"/>
              </w:rPr>
              <w:t xml:space="preserve">5 - </w:t>
            </w:r>
            <w:r w:rsidRPr="00EA16B0">
              <w:rPr>
                <w:rFonts w:asciiTheme="majorHAnsi" w:hAnsiTheme="majorHAnsi" w:cstheme="majorHAnsi"/>
                <w:sz w:val="24"/>
                <w:szCs w:val="28"/>
              </w:rPr>
              <w:t xml:space="preserve">Captação e </w:t>
            </w:r>
            <w:r w:rsidRPr="00EA16B0">
              <w:rPr>
                <w:rFonts w:asciiTheme="majorHAnsi" w:hAnsiTheme="majorHAnsi" w:cstheme="majorHAnsi"/>
                <w:color w:val="171717"/>
                <w:sz w:val="24"/>
                <w:szCs w:val="28"/>
              </w:rPr>
              <w:t>aplicação de recursos atenta aos objetivos institucionais</w:t>
            </w:r>
          </w:p>
        </w:tc>
      </w:tr>
      <w:tr w:rsidR="00D3608B" w:rsidRPr="00EA16B0" w14:paraId="7B1E8ECB" w14:textId="77777777" w:rsidTr="00D47DF0">
        <w:tc>
          <w:tcPr>
            <w:cnfStyle w:val="001000000000" w:firstRow="0" w:lastRow="0" w:firstColumn="1" w:lastColumn="0" w:oddVBand="0" w:evenVBand="0" w:oddHBand="0" w:evenHBand="0" w:firstRowFirstColumn="0" w:firstRowLastColumn="0" w:lastRowFirstColumn="0" w:lastRowLastColumn="0"/>
            <w:tcW w:w="9639" w:type="dxa"/>
          </w:tcPr>
          <w:p w14:paraId="0A47AF59" w14:textId="77777777" w:rsidR="00D3608B" w:rsidRPr="00EA16B0" w:rsidRDefault="00D3608B" w:rsidP="00E0027D">
            <w:pPr>
              <w:tabs>
                <w:tab w:val="left" w:pos="8364"/>
              </w:tabs>
              <w:spacing w:before="60" w:after="60"/>
              <w:ind w:right="284"/>
              <w:jc w:val="both"/>
              <w:rPr>
                <w:rFonts w:asciiTheme="majorHAnsi" w:hAnsiTheme="majorHAnsi" w:cstheme="majorHAnsi"/>
                <w:b w:val="0"/>
                <w:bCs w:val="0"/>
                <w:sz w:val="24"/>
                <w:szCs w:val="28"/>
              </w:rPr>
            </w:pPr>
            <w:r w:rsidRPr="00EA16B0">
              <w:rPr>
                <w:rFonts w:asciiTheme="majorHAnsi" w:hAnsiTheme="majorHAnsi" w:cstheme="majorHAnsi"/>
                <w:color w:val="171717"/>
                <w:sz w:val="24"/>
                <w:szCs w:val="28"/>
              </w:rPr>
              <w:t>6 – Direcionamento da seleção e contratação de servidores</w:t>
            </w:r>
          </w:p>
        </w:tc>
      </w:tr>
      <w:tr w:rsidR="00D3608B" w:rsidRPr="00EA16B0" w14:paraId="18CBB015" w14:textId="77777777" w:rsidTr="00D47D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E59096E" w14:textId="77777777" w:rsidR="00D3608B" w:rsidRPr="00EA16B0" w:rsidRDefault="00D3608B" w:rsidP="00E0027D">
            <w:pPr>
              <w:tabs>
                <w:tab w:val="left" w:pos="8364"/>
              </w:tabs>
              <w:spacing w:before="60" w:after="60"/>
              <w:ind w:right="284"/>
              <w:jc w:val="both"/>
              <w:rPr>
                <w:rFonts w:asciiTheme="majorHAnsi" w:hAnsiTheme="majorHAnsi" w:cstheme="majorHAnsi"/>
                <w:b w:val="0"/>
                <w:bCs w:val="0"/>
                <w:spacing w:val="-4"/>
                <w:sz w:val="24"/>
                <w:szCs w:val="28"/>
              </w:rPr>
            </w:pPr>
            <w:r w:rsidRPr="00EA16B0">
              <w:rPr>
                <w:rFonts w:asciiTheme="majorHAnsi" w:hAnsiTheme="majorHAnsi" w:cstheme="majorHAnsi"/>
                <w:color w:val="171717"/>
                <w:spacing w:val="-4"/>
                <w:sz w:val="24"/>
                <w:szCs w:val="28"/>
              </w:rPr>
              <w:t xml:space="preserve">7 – Diversidade e inclusão na seleção de estudantes </w:t>
            </w:r>
            <w:r w:rsidRPr="00EA16B0">
              <w:rPr>
                <w:rFonts w:asciiTheme="majorHAnsi" w:hAnsiTheme="majorHAnsi" w:cstheme="majorHAnsi"/>
                <w:spacing w:val="-4"/>
                <w:sz w:val="24"/>
                <w:szCs w:val="28"/>
              </w:rPr>
              <w:t>e instalação de programas para permanência e sucesso</w:t>
            </w:r>
          </w:p>
        </w:tc>
      </w:tr>
      <w:tr w:rsidR="00D3608B" w:rsidRPr="00EA16B0" w14:paraId="750AE9C7" w14:textId="77777777" w:rsidTr="00D47DF0">
        <w:tc>
          <w:tcPr>
            <w:cnfStyle w:val="001000000000" w:firstRow="0" w:lastRow="0" w:firstColumn="1" w:lastColumn="0" w:oddVBand="0" w:evenVBand="0" w:oddHBand="0" w:evenHBand="0" w:firstRowFirstColumn="0" w:firstRowLastColumn="0" w:lastRowFirstColumn="0" w:lastRowLastColumn="0"/>
            <w:tcW w:w="9639" w:type="dxa"/>
          </w:tcPr>
          <w:p w14:paraId="592ED76A" w14:textId="77777777" w:rsidR="00D3608B" w:rsidRPr="00EA16B0" w:rsidRDefault="00D3608B" w:rsidP="00E0027D">
            <w:pPr>
              <w:tabs>
                <w:tab w:val="left" w:pos="8364"/>
              </w:tabs>
              <w:spacing w:before="60" w:after="60"/>
              <w:ind w:right="284"/>
              <w:jc w:val="both"/>
              <w:rPr>
                <w:rFonts w:asciiTheme="majorHAnsi" w:hAnsiTheme="majorHAnsi" w:cstheme="majorHAnsi"/>
                <w:b w:val="0"/>
                <w:bCs w:val="0"/>
                <w:sz w:val="24"/>
                <w:szCs w:val="28"/>
              </w:rPr>
            </w:pPr>
            <w:r w:rsidRPr="00EA16B0">
              <w:rPr>
                <w:rFonts w:asciiTheme="majorHAnsi" w:hAnsiTheme="majorHAnsi" w:cstheme="majorHAnsi"/>
                <w:color w:val="171717"/>
                <w:sz w:val="24"/>
                <w:szCs w:val="28"/>
              </w:rPr>
              <w:t>8 - Diversidade e flexibilidade na oferta de formação</w:t>
            </w:r>
          </w:p>
        </w:tc>
      </w:tr>
      <w:tr w:rsidR="00D3608B" w:rsidRPr="00EA16B0" w14:paraId="1C6517DC" w14:textId="77777777" w:rsidTr="00D47D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3EB76331" w14:textId="77777777" w:rsidR="00D3608B" w:rsidRPr="00EA16B0" w:rsidRDefault="00D3608B" w:rsidP="00E0027D">
            <w:pPr>
              <w:tabs>
                <w:tab w:val="left" w:pos="8364"/>
              </w:tabs>
              <w:spacing w:before="60" w:after="60"/>
              <w:ind w:right="284"/>
              <w:jc w:val="both"/>
              <w:rPr>
                <w:rFonts w:asciiTheme="majorHAnsi" w:hAnsiTheme="majorHAnsi" w:cstheme="majorHAnsi"/>
                <w:b w:val="0"/>
                <w:bCs w:val="0"/>
                <w:sz w:val="24"/>
                <w:szCs w:val="28"/>
              </w:rPr>
            </w:pPr>
            <w:r w:rsidRPr="00EA16B0">
              <w:rPr>
                <w:rFonts w:asciiTheme="majorHAnsi" w:hAnsiTheme="majorHAnsi" w:cstheme="majorHAnsi"/>
                <w:color w:val="171717"/>
                <w:sz w:val="24"/>
                <w:szCs w:val="28"/>
              </w:rPr>
              <w:lastRenderedPageBreak/>
              <w:t>9 - Modelo pedagógico disruptivo e metodologias ativas</w:t>
            </w:r>
          </w:p>
        </w:tc>
      </w:tr>
      <w:tr w:rsidR="00D3608B" w:rsidRPr="00EA16B0" w14:paraId="5901E221" w14:textId="77777777" w:rsidTr="00D47DF0">
        <w:tc>
          <w:tcPr>
            <w:cnfStyle w:val="001000000000" w:firstRow="0" w:lastRow="0" w:firstColumn="1" w:lastColumn="0" w:oddVBand="0" w:evenVBand="0" w:oddHBand="0" w:evenHBand="0" w:firstRowFirstColumn="0" w:firstRowLastColumn="0" w:lastRowFirstColumn="0" w:lastRowLastColumn="0"/>
            <w:tcW w:w="9639" w:type="dxa"/>
          </w:tcPr>
          <w:p w14:paraId="6D510A37" w14:textId="77777777" w:rsidR="00D3608B" w:rsidRPr="00EA16B0" w:rsidRDefault="00D3608B" w:rsidP="00E0027D">
            <w:pPr>
              <w:tabs>
                <w:tab w:val="left" w:pos="8364"/>
              </w:tabs>
              <w:spacing w:before="60" w:after="60"/>
              <w:ind w:right="284"/>
              <w:jc w:val="both"/>
              <w:rPr>
                <w:rFonts w:asciiTheme="majorHAnsi" w:hAnsiTheme="majorHAnsi" w:cstheme="majorHAnsi"/>
                <w:b w:val="0"/>
                <w:bCs w:val="0"/>
                <w:sz w:val="24"/>
                <w:szCs w:val="28"/>
              </w:rPr>
            </w:pPr>
            <w:r w:rsidRPr="00EA16B0">
              <w:rPr>
                <w:rFonts w:asciiTheme="majorHAnsi" w:hAnsiTheme="majorHAnsi" w:cstheme="majorHAnsi"/>
                <w:color w:val="171717"/>
                <w:sz w:val="24"/>
                <w:szCs w:val="28"/>
              </w:rPr>
              <w:t xml:space="preserve">10 – Visão de futuro, ênfase no plano de desenvolvimento institucional e </w:t>
            </w:r>
            <w:r w:rsidRPr="00EA16B0">
              <w:rPr>
                <w:rFonts w:asciiTheme="majorHAnsi" w:hAnsiTheme="majorHAnsi" w:cstheme="majorHAnsi"/>
                <w:sz w:val="24"/>
                <w:szCs w:val="28"/>
              </w:rPr>
              <w:t>avaliação interna e externa</w:t>
            </w:r>
          </w:p>
        </w:tc>
      </w:tr>
    </w:tbl>
    <w:p w14:paraId="384CF976" w14:textId="77777777" w:rsidR="00D3608B" w:rsidRPr="00EA16B0" w:rsidRDefault="00D3608B" w:rsidP="00D47DF0">
      <w:pPr>
        <w:tabs>
          <w:tab w:val="left" w:pos="8364"/>
        </w:tabs>
        <w:spacing w:after="120" w:line="360" w:lineRule="auto"/>
        <w:ind w:right="282"/>
        <w:rPr>
          <w:rFonts w:asciiTheme="majorHAnsi" w:hAnsiTheme="majorHAnsi" w:cstheme="majorHAnsi"/>
          <w:sz w:val="20"/>
          <w:szCs w:val="20"/>
        </w:rPr>
      </w:pPr>
      <w:r w:rsidRPr="00EA16B0">
        <w:rPr>
          <w:rFonts w:asciiTheme="majorHAnsi" w:hAnsiTheme="majorHAnsi" w:cstheme="majorHAnsi"/>
          <w:sz w:val="20"/>
          <w:szCs w:val="20"/>
        </w:rPr>
        <w:t xml:space="preserve">Extraído do trabalho de </w:t>
      </w:r>
      <w:proofErr w:type="spellStart"/>
      <w:r w:rsidRPr="00EA16B0">
        <w:rPr>
          <w:rFonts w:asciiTheme="majorHAnsi" w:hAnsiTheme="majorHAnsi" w:cstheme="majorHAnsi"/>
          <w:sz w:val="20"/>
          <w:szCs w:val="20"/>
        </w:rPr>
        <w:t>Meneghel</w:t>
      </w:r>
      <w:proofErr w:type="spellEnd"/>
      <w:r w:rsidRPr="00EA16B0">
        <w:rPr>
          <w:rFonts w:asciiTheme="majorHAnsi" w:hAnsiTheme="majorHAnsi" w:cstheme="majorHAnsi"/>
          <w:sz w:val="20"/>
          <w:szCs w:val="20"/>
        </w:rPr>
        <w:t xml:space="preserve"> (CEBRASPE, 2022b, p. 11).</w:t>
      </w:r>
    </w:p>
    <w:p w14:paraId="0B9E18B8" w14:textId="77777777" w:rsidR="00D47DF0" w:rsidRPr="00EA16B0" w:rsidRDefault="00D47DF0" w:rsidP="00D3608B">
      <w:pPr>
        <w:jc w:val="both"/>
        <w:rPr>
          <w:rFonts w:asciiTheme="majorHAnsi" w:hAnsiTheme="majorHAnsi" w:cstheme="majorHAnsi"/>
        </w:rPr>
      </w:pPr>
    </w:p>
    <w:p w14:paraId="7C0AE5CD" w14:textId="2C5D1FEA" w:rsidR="00D3608B" w:rsidRPr="00EA16B0" w:rsidRDefault="00D3608B" w:rsidP="00D47DF0">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Esses princípios trazem implicações que são detalhadas pela autora (CEBRASPE, 2022b) e que são condizentes com a Lei de Criação da Universidade e que deverão ser respeitadas em todas as relações, políticas e ações institucionais, incluindo aquelas ligadas ao ensino e que aqui serão discutidas com maior detalhamento. Os estatutos também regulamentam a organização da gestão institucional e acadêmica, de modo a consolidar e a permitir sua implantação, com o necessário amparo da legislação institucional nele expressa, e que se consolida nos demais documentos legais, como o Regimento Geral.</w:t>
      </w:r>
    </w:p>
    <w:p w14:paraId="491EE3AE" w14:textId="5F2A6675" w:rsidR="00D3608B" w:rsidRPr="00EA16B0" w:rsidRDefault="00D3608B" w:rsidP="00D47DF0">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É também a partir da estrutura proposta que são construídos coletivamente o Projeto Pedagógico Institucional (PPI) e o Plano de Desenvolvimento Institucional (PDI), contemplando, assim, as políticas e ações da escola com relação ao tempo e à sociedade em que se insere.</w:t>
      </w:r>
    </w:p>
    <w:p w14:paraId="78A974D6" w14:textId="77777777" w:rsidR="00D47DF0" w:rsidRPr="00EA16B0" w:rsidRDefault="00D47DF0" w:rsidP="00D47DF0">
      <w:pPr>
        <w:spacing w:line="360" w:lineRule="auto"/>
        <w:ind w:firstLine="709"/>
        <w:jc w:val="both"/>
        <w:rPr>
          <w:rFonts w:asciiTheme="majorHAnsi" w:hAnsiTheme="majorHAnsi" w:cstheme="majorHAnsi"/>
          <w:sz w:val="24"/>
          <w:szCs w:val="24"/>
        </w:rPr>
      </w:pPr>
    </w:p>
    <w:p w14:paraId="41116DF1" w14:textId="2388DEE9" w:rsidR="00D3608B" w:rsidRPr="00EA16B0" w:rsidRDefault="00D3608B" w:rsidP="003A7871">
      <w:pPr>
        <w:pStyle w:val="Ttulo2"/>
        <w:numPr>
          <w:ilvl w:val="1"/>
          <w:numId w:val="1"/>
        </w:numPr>
        <w:tabs>
          <w:tab w:val="clear" w:pos="1615"/>
        </w:tabs>
        <w:spacing w:before="0" w:after="0" w:line="360" w:lineRule="auto"/>
        <w:ind w:left="993" w:hanging="576"/>
        <w:rPr>
          <w:rFonts w:asciiTheme="majorHAnsi" w:hAnsiTheme="majorHAnsi" w:cstheme="majorHAnsi"/>
        </w:rPr>
      </w:pPr>
      <w:bookmarkStart w:id="47" w:name="_Toc102319376"/>
      <w:r w:rsidRPr="00EA16B0">
        <w:rPr>
          <w:rFonts w:asciiTheme="majorHAnsi" w:hAnsiTheme="majorHAnsi" w:cstheme="majorHAnsi"/>
        </w:rPr>
        <w:t>SUSTENTABILIDADE E RESPONSABILIDADE SOCIAL</w:t>
      </w:r>
      <w:bookmarkEnd w:id="47"/>
    </w:p>
    <w:p w14:paraId="54B38753" w14:textId="17F429E2" w:rsidR="00D3608B" w:rsidRPr="00EA16B0" w:rsidRDefault="00D3608B" w:rsidP="00D47DF0">
      <w:pPr>
        <w:tabs>
          <w:tab w:val="left" w:pos="8364"/>
        </w:tabs>
        <w:autoSpaceDE w:val="0"/>
        <w:autoSpaceDN w:val="0"/>
        <w:adjustRightInd w:val="0"/>
        <w:spacing w:line="360" w:lineRule="auto"/>
        <w:ind w:firstLine="709"/>
        <w:jc w:val="both"/>
        <w:rPr>
          <w:rFonts w:asciiTheme="majorHAnsi" w:eastAsia="Times New Roman" w:hAnsiTheme="majorHAnsi" w:cstheme="majorHAnsi"/>
          <w:sz w:val="24"/>
          <w:szCs w:val="24"/>
        </w:rPr>
      </w:pPr>
      <w:r w:rsidRPr="00EA16B0">
        <w:rPr>
          <w:rFonts w:asciiTheme="majorHAnsi" w:eastAsia="Times New Roman" w:hAnsiTheme="majorHAnsi" w:cstheme="majorHAnsi"/>
          <w:sz w:val="24"/>
          <w:szCs w:val="24"/>
        </w:rPr>
        <w:t>A responsabilidade social se expressa na universidade para a questão de sua finalidade, ou seja, a formação. Entretanto, conforme nos ensina editorial da revista Avaliação, escrito pelo Prof. José Dias Sobrinho (2018), tem-se que é:</w:t>
      </w:r>
    </w:p>
    <w:p w14:paraId="0CF78B90" w14:textId="77777777" w:rsidR="00D47DF0" w:rsidRPr="00EA16B0" w:rsidRDefault="00D47DF0" w:rsidP="00D47DF0">
      <w:pPr>
        <w:tabs>
          <w:tab w:val="left" w:pos="8364"/>
        </w:tabs>
        <w:autoSpaceDE w:val="0"/>
        <w:autoSpaceDN w:val="0"/>
        <w:adjustRightInd w:val="0"/>
        <w:spacing w:line="360" w:lineRule="auto"/>
        <w:ind w:firstLine="709"/>
        <w:jc w:val="both"/>
        <w:rPr>
          <w:rFonts w:asciiTheme="majorHAnsi" w:eastAsia="Times New Roman" w:hAnsiTheme="majorHAnsi" w:cstheme="majorHAnsi"/>
          <w:sz w:val="24"/>
          <w:szCs w:val="24"/>
        </w:rPr>
      </w:pPr>
    </w:p>
    <w:p w14:paraId="065B4DA7" w14:textId="3319E544" w:rsidR="00D3608B" w:rsidRPr="00EA16B0" w:rsidRDefault="00D3608B" w:rsidP="00D3608B">
      <w:pPr>
        <w:tabs>
          <w:tab w:val="left" w:pos="8364"/>
        </w:tabs>
        <w:autoSpaceDE w:val="0"/>
        <w:autoSpaceDN w:val="0"/>
        <w:adjustRightInd w:val="0"/>
        <w:ind w:left="2268" w:right="849"/>
        <w:jc w:val="both"/>
        <w:rPr>
          <w:rFonts w:asciiTheme="majorHAnsi" w:hAnsiTheme="majorHAnsi" w:cstheme="majorHAnsi"/>
          <w:sz w:val="20"/>
          <w:szCs w:val="20"/>
          <w:shd w:val="clear" w:color="auto" w:fill="FFFFFF"/>
        </w:rPr>
      </w:pPr>
      <w:r w:rsidRPr="00EA16B0">
        <w:rPr>
          <w:rFonts w:asciiTheme="majorHAnsi" w:hAnsiTheme="majorHAnsi" w:cstheme="majorHAnsi"/>
          <w:sz w:val="20"/>
          <w:szCs w:val="20"/>
          <w:shd w:val="clear" w:color="auto" w:fill="FFFFFF"/>
        </w:rPr>
        <w:t>Indiscutível que a Universidade tem o dever de formar profissionais competentes e comprometer-se com o desenvolvimento econômico do país. Mas capacitação técnica é apenas uma parte. A vida é muito mais que isso. Técnica sem ética e ciência sem consciência podem produzir mais barbárie que civilização, mais destruição e mortandade que construção da liberdade e da dignidade da vida. Os criadores de bombas e armas de morticínio em larga escala eram ou são cientistas renomados, possuidores dos mais espetaculares conhecimentos e técnicas e disputados a preço de ouro no sistema bélico. Importantes economistas sem ética e senso cidadão muitas vezes favorecem a ampliação de nefastas desigualdades e produção de pobreza e fome, em favor dos donos do mundo. (DIAS SOBRINHO, 2018, Editorial).</w:t>
      </w:r>
    </w:p>
    <w:p w14:paraId="037D38D9" w14:textId="77777777" w:rsidR="00D47DF0" w:rsidRPr="00EA16B0" w:rsidRDefault="00D47DF0" w:rsidP="00D3608B">
      <w:pPr>
        <w:tabs>
          <w:tab w:val="left" w:pos="8364"/>
        </w:tabs>
        <w:autoSpaceDE w:val="0"/>
        <w:autoSpaceDN w:val="0"/>
        <w:adjustRightInd w:val="0"/>
        <w:ind w:left="2268" w:right="849"/>
        <w:jc w:val="both"/>
        <w:rPr>
          <w:rFonts w:asciiTheme="majorHAnsi" w:hAnsiTheme="majorHAnsi" w:cstheme="majorHAnsi"/>
          <w:sz w:val="20"/>
          <w:szCs w:val="20"/>
          <w:shd w:val="clear" w:color="auto" w:fill="FFFFFF"/>
        </w:rPr>
      </w:pPr>
    </w:p>
    <w:p w14:paraId="77BEB29E" w14:textId="75FA99D2" w:rsidR="00D3608B" w:rsidRPr="00EA16B0" w:rsidRDefault="00D3608B" w:rsidP="00D47DF0">
      <w:pPr>
        <w:spacing w:line="360" w:lineRule="auto"/>
        <w:ind w:firstLine="709"/>
        <w:rPr>
          <w:rFonts w:asciiTheme="majorHAnsi" w:hAnsiTheme="majorHAnsi" w:cstheme="majorHAnsi"/>
          <w:sz w:val="24"/>
          <w:szCs w:val="24"/>
        </w:rPr>
      </w:pPr>
      <w:r w:rsidRPr="00EA16B0">
        <w:rPr>
          <w:rFonts w:asciiTheme="majorHAnsi" w:hAnsiTheme="majorHAnsi" w:cstheme="majorHAnsi"/>
          <w:sz w:val="24"/>
          <w:szCs w:val="24"/>
        </w:rPr>
        <w:lastRenderedPageBreak/>
        <w:t>Conforme determina a Lei do SINAES (BRASIL, 2004a), no § 1.</w:t>
      </w:r>
      <w:r w:rsidRPr="00EA16B0">
        <w:rPr>
          <w:rFonts w:asciiTheme="majorHAnsi" w:hAnsiTheme="majorHAnsi" w:cstheme="majorHAnsi"/>
          <w:sz w:val="24"/>
          <w:szCs w:val="24"/>
          <w:vertAlign w:val="superscript"/>
        </w:rPr>
        <w:t>o</w:t>
      </w:r>
      <w:r w:rsidRPr="00EA16B0">
        <w:rPr>
          <w:rFonts w:asciiTheme="majorHAnsi" w:hAnsiTheme="majorHAnsi" w:cstheme="majorHAnsi"/>
          <w:sz w:val="24"/>
          <w:szCs w:val="24"/>
        </w:rPr>
        <w:t xml:space="preserve"> do Art. 1.</w:t>
      </w:r>
      <w:r w:rsidRPr="00EA16B0">
        <w:rPr>
          <w:rFonts w:asciiTheme="majorHAnsi" w:hAnsiTheme="majorHAnsi" w:cstheme="majorHAnsi"/>
          <w:sz w:val="24"/>
          <w:szCs w:val="24"/>
          <w:vertAlign w:val="superscript"/>
        </w:rPr>
        <w:t>o</w:t>
      </w:r>
      <w:r w:rsidRPr="00EA16B0" w:rsidDel="00E44B5D">
        <w:rPr>
          <w:rFonts w:asciiTheme="majorHAnsi" w:hAnsiTheme="majorHAnsi" w:cstheme="majorHAnsi"/>
          <w:sz w:val="24"/>
          <w:szCs w:val="24"/>
        </w:rPr>
        <w:t xml:space="preserve"> </w:t>
      </w:r>
      <w:r w:rsidRPr="00EA16B0">
        <w:rPr>
          <w:rFonts w:asciiTheme="majorHAnsi" w:hAnsiTheme="majorHAnsi" w:cstheme="majorHAnsi"/>
          <w:sz w:val="24"/>
          <w:szCs w:val="24"/>
        </w:rPr>
        <w:t xml:space="preserve">que trata de sua implantação, as Instituições de Educação Superior devem: </w:t>
      </w:r>
    </w:p>
    <w:p w14:paraId="29EC07F3" w14:textId="77777777" w:rsidR="00D47DF0" w:rsidRPr="00EA16B0" w:rsidRDefault="00D47DF0" w:rsidP="00D47DF0">
      <w:pPr>
        <w:spacing w:line="360" w:lineRule="auto"/>
        <w:ind w:firstLine="709"/>
        <w:rPr>
          <w:rFonts w:asciiTheme="majorHAnsi" w:hAnsiTheme="majorHAnsi" w:cstheme="majorHAnsi"/>
          <w:sz w:val="24"/>
          <w:szCs w:val="24"/>
        </w:rPr>
      </w:pPr>
    </w:p>
    <w:p w14:paraId="69D74504" w14:textId="5EF9B617" w:rsidR="00D3608B" w:rsidRPr="00EA16B0" w:rsidRDefault="00D3608B" w:rsidP="00D3608B">
      <w:pPr>
        <w:ind w:left="2268" w:right="-1"/>
        <w:jc w:val="both"/>
        <w:rPr>
          <w:rFonts w:asciiTheme="majorHAnsi" w:hAnsiTheme="majorHAnsi" w:cstheme="majorHAnsi"/>
          <w:color w:val="000000"/>
          <w:sz w:val="20"/>
          <w:szCs w:val="20"/>
          <w:shd w:val="clear" w:color="auto" w:fill="FFFFFF"/>
        </w:rPr>
      </w:pPr>
      <w:r w:rsidRPr="00EA16B0">
        <w:rPr>
          <w:rFonts w:asciiTheme="majorHAnsi" w:hAnsiTheme="majorHAnsi" w:cstheme="majorHAnsi"/>
          <w:color w:val="000000"/>
          <w:sz w:val="20"/>
          <w:szCs w:val="20"/>
          <w:shd w:val="clear" w:color="auto" w:fill="FFFFFF"/>
        </w:rPr>
        <w:t>§ 1.</w:t>
      </w:r>
      <w:r w:rsidRPr="00EA16B0">
        <w:rPr>
          <w:rFonts w:asciiTheme="majorHAnsi" w:hAnsiTheme="majorHAnsi" w:cstheme="majorHAnsi"/>
          <w:color w:val="000000"/>
          <w:sz w:val="20"/>
          <w:szCs w:val="20"/>
          <w:shd w:val="clear" w:color="auto" w:fill="FFFFFF"/>
          <w:vertAlign w:val="superscript"/>
        </w:rPr>
        <w:t>o</w:t>
      </w:r>
      <w:r w:rsidRPr="00EA16B0">
        <w:rPr>
          <w:rFonts w:asciiTheme="majorHAnsi" w:hAnsiTheme="majorHAnsi" w:cstheme="majorHAnsi"/>
          <w:color w:val="000000"/>
          <w:sz w:val="20"/>
          <w:szCs w:val="20"/>
          <w:shd w:val="clear" w:color="auto" w:fill="FFFFFF"/>
        </w:rPr>
        <w:t xml:space="preserve"> O SINAES tem por finalidades a melhoria da qualidade da educação superior, a orientação da expansão da sua oferta, o aumento permanente da sua eficácia institucional e efetividade acadêmica e social e, especialmente, a </w:t>
      </w:r>
      <w:r w:rsidRPr="00EA16B0">
        <w:rPr>
          <w:rFonts w:asciiTheme="majorHAnsi" w:hAnsiTheme="majorHAnsi" w:cstheme="majorHAnsi"/>
          <w:b/>
          <w:color w:val="000000"/>
          <w:sz w:val="20"/>
          <w:szCs w:val="20"/>
          <w:shd w:val="clear" w:color="auto" w:fill="FFFFFF"/>
        </w:rPr>
        <w:t>promoção do aprofundamento dos compromissos e responsabilidades sociais</w:t>
      </w:r>
      <w:r w:rsidRPr="00EA16B0">
        <w:rPr>
          <w:rFonts w:asciiTheme="majorHAnsi" w:hAnsiTheme="majorHAnsi" w:cstheme="majorHAnsi"/>
          <w:color w:val="000000"/>
          <w:sz w:val="20"/>
          <w:szCs w:val="20"/>
          <w:shd w:val="clear" w:color="auto" w:fill="FFFFFF"/>
        </w:rPr>
        <w:t xml:space="preserve"> das instituições de educação superior, por meio da valorização de sua missão pública, da promoção dos valores democráticos, do respeito à diferença e à diversidade, da afirmação da autonomia e da identidade institucional. (BRASIL, 2004a, grifo nosso).</w:t>
      </w:r>
    </w:p>
    <w:p w14:paraId="2CCB6EC4" w14:textId="77777777" w:rsidR="00D47DF0" w:rsidRPr="00EA16B0" w:rsidRDefault="00D47DF0" w:rsidP="00D3608B">
      <w:pPr>
        <w:ind w:left="2268" w:right="-1"/>
        <w:jc w:val="both"/>
        <w:rPr>
          <w:rFonts w:asciiTheme="majorHAnsi" w:hAnsiTheme="majorHAnsi" w:cstheme="majorHAnsi"/>
          <w:color w:val="000000"/>
          <w:sz w:val="20"/>
          <w:szCs w:val="20"/>
          <w:shd w:val="clear" w:color="auto" w:fill="FFFFFF"/>
        </w:rPr>
      </w:pPr>
    </w:p>
    <w:p w14:paraId="027FA0C5" w14:textId="77777777" w:rsidR="00D3608B" w:rsidRPr="00EA16B0" w:rsidRDefault="00D3608B" w:rsidP="00D47DF0">
      <w:pPr>
        <w:spacing w:line="360" w:lineRule="auto"/>
        <w:ind w:right="-1" w:firstLine="709"/>
        <w:jc w:val="both"/>
        <w:rPr>
          <w:rFonts w:asciiTheme="majorHAnsi" w:hAnsiTheme="majorHAnsi" w:cstheme="majorHAnsi"/>
          <w:sz w:val="24"/>
          <w:szCs w:val="24"/>
        </w:rPr>
      </w:pPr>
      <w:r w:rsidRPr="00EA16B0">
        <w:rPr>
          <w:rFonts w:asciiTheme="majorHAnsi" w:hAnsiTheme="majorHAnsi" w:cstheme="majorHAnsi"/>
          <w:sz w:val="24"/>
          <w:szCs w:val="24"/>
        </w:rPr>
        <w:t>Esse compromisso é uma das grandes preocupações para a implantação e organização da Instituição e o principal tema que permeia os trabalhos em desenvolvimento pelo CEBRASPE. Afinal, ele vem expresso na Lei de Criação em diferentes diretrizes de atuação da Universidade, conforme consta nos quadros 2.1, 2.2 e na Figura 2.1, podendo-se acrescentar aos incisos XI e XV listados nessa figura, também os incisos I, II, III, XIII, XIV e XVII, relacionados com as interações com a sociedade, com a externalização e com a internacionalização, com o empreendedorismo e com a inovação que afetam diretamente o desenvolvimento social, especialmente na região de inserção da Universidade.</w:t>
      </w:r>
    </w:p>
    <w:p w14:paraId="754751C5" w14:textId="136529F3" w:rsidR="00D3608B" w:rsidRPr="00EA16B0" w:rsidRDefault="00D3608B" w:rsidP="00D47DF0">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A sustentabilidade é a condição para que a humanidade continue seu desenvolvimento e o garanta, também, para as gerações futuras. Faz parte integrante do inciso XV das diretrizes de atuação da </w:t>
      </w:r>
      <w:proofErr w:type="spellStart"/>
      <w:r w:rsidRPr="00EA16B0">
        <w:rPr>
          <w:rFonts w:asciiTheme="majorHAnsi" w:hAnsiTheme="majorHAnsi" w:cstheme="majorHAnsi"/>
          <w:sz w:val="24"/>
          <w:szCs w:val="24"/>
        </w:rPr>
        <w:t>UnDF</w:t>
      </w:r>
      <w:proofErr w:type="spellEnd"/>
      <w:r w:rsidRPr="00EA16B0">
        <w:rPr>
          <w:rFonts w:asciiTheme="majorHAnsi" w:hAnsiTheme="majorHAnsi" w:cstheme="majorHAnsi"/>
          <w:sz w:val="24"/>
          <w:szCs w:val="24"/>
        </w:rPr>
        <w:t xml:space="preserve"> (quadro 2.2 e figura 2.1) e é um dos valores da atuação da Universidade, expresso na proposta dos Estatutos, Art. 6.</w:t>
      </w:r>
      <w:r w:rsidRPr="00EA16B0">
        <w:rPr>
          <w:rFonts w:asciiTheme="majorHAnsi" w:hAnsiTheme="majorHAnsi" w:cstheme="majorHAnsi"/>
          <w:sz w:val="24"/>
          <w:szCs w:val="24"/>
          <w:vertAlign w:val="superscript"/>
        </w:rPr>
        <w:t>o</w:t>
      </w:r>
      <w:r w:rsidRPr="00EA16B0">
        <w:rPr>
          <w:rFonts w:asciiTheme="majorHAnsi" w:hAnsiTheme="majorHAnsi" w:cstheme="majorHAnsi"/>
          <w:sz w:val="24"/>
          <w:szCs w:val="24"/>
        </w:rPr>
        <w:t xml:space="preserve"> (CEBRASPE, 2022b):</w:t>
      </w:r>
    </w:p>
    <w:p w14:paraId="2B071377" w14:textId="77777777" w:rsidR="00D47DF0" w:rsidRPr="00EA16B0" w:rsidRDefault="00D47DF0" w:rsidP="00D47DF0">
      <w:pPr>
        <w:spacing w:line="360" w:lineRule="auto"/>
        <w:ind w:firstLine="709"/>
        <w:jc w:val="both"/>
        <w:rPr>
          <w:rFonts w:asciiTheme="majorHAnsi" w:hAnsiTheme="majorHAnsi" w:cstheme="majorHAnsi"/>
          <w:sz w:val="24"/>
          <w:szCs w:val="24"/>
        </w:rPr>
      </w:pPr>
    </w:p>
    <w:p w14:paraId="4C18F937" w14:textId="77777777" w:rsidR="00D3608B" w:rsidRPr="00EA16B0" w:rsidRDefault="00D3608B" w:rsidP="00D3608B">
      <w:pPr>
        <w:widowControl w:val="0"/>
        <w:pBdr>
          <w:top w:val="nil"/>
          <w:left w:val="nil"/>
          <w:bottom w:val="nil"/>
          <w:right w:val="nil"/>
          <w:between w:val="nil"/>
        </w:pBdr>
        <w:tabs>
          <w:tab w:val="left" w:pos="8364"/>
        </w:tabs>
        <w:spacing w:after="0"/>
        <w:ind w:left="2268" w:right="-1"/>
        <w:jc w:val="both"/>
        <w:rPr>
          <w:rFonts w:asciiTheme="majorHAnsi" w:eastAsia="Times New Roman" w:hAnsiTheme="majorHAnsi" w:cstheme="majorHAnsi"/>
          <w:color w:val="000000"/>
          <w:sz w:val="20"/>
          <w:szCs w:val="20"/>
        </w:rPr>
      </w:pPr>
      <w:r w:rsidRPr="00EA16B0">
        <w:rPr>
          <w:rFonts w:asciiTheme="majorHAnsi" w:eastAsia="Times New Roman" w:hAnsiTheme="majorHAnsi" w:cstheme="majorHAnsi"/>
          <w:b/>
          <w:color w:val="000000"/>
          <w:sz w:val="20"/>
          <w:szCs w:val="20"/>
        </w:rPr>
        <w:t>Art. 6</w:t>
      </w:r>
      <w:r w:rsidRPr="00EA16B0">
        <w:rPr>
          <w:rFonts w:asciiTheme="majorHAnsi" w:eastAsia="Times New Roman" w:hAnsiTheme="majorHAnsi" w:cstheme="majorHAnsi"/>
          <w:color w:val="000000"/>
          <w:sz w:val="20"/>
          <w:szCs w:val="20"/>
        </w:rPr>
        <w:t>.</w:t>
      </w:r>
      <w:r w:rsidRPr="00EA16B0">
        <w:rPr>
          <w:rFonts w:asciiTheme="majorHAnsi" w:eastAsia="Times New Roman" w:hAnsiTheme="majorHAnsi" w:cstheme="majorHAnsi"/>
          <w:color w:val="000000"/>
          <w:sz w:val="20"/>
          <w:szCs w:val="20"/>
          <w:vertAlign w:val="superscript"/>
        </w:rPr>
        <w:t>o</w:t>
      </w:r>
      <w:r w:rsidRPr="00EA16B0">
        <w:rPr>
          <w:rFonts w:asciiTheme="majorHAnsi" w:eastAsia="Times New Roman" w:hAnsiTheme="majorHAnsi" w:cstheme="majorHAnsi"/>
          <w:color w:val="000000"/>
          <w:sz w:val="20"/>
          <w:szCs w:val="20"/>
        </w:rPr>
        <w:t xml:space="preserve"> – São valores da atuação da </w:t>
      </w:r>
      <w:proofErr w:type="spellStart"/>
      <w:r w:rsidRPr="00EA16B0">
        <w:rPr>
          <w:rFonts w:asciiTheme="majorHAnsi" w:eastAsia="Times New Roman" w:hAnsiTheme="majorHAnsi" w:cstheme="majorHAnsi"/>
          <w:color w:val="000000"/>
          <w:sz w:val="20"/>
          <w:szCs w:val="20"/>
        </w:rPr>
        <w:t>UnDF</w:t>
      </w:r>
      <w:proofErr w:type="spellEnd"/>
      <w:r w:rsidRPr="00EA16B0">
        <w:rPr>
          <w:rFonts w:asciiTheme="majorHAnsi" w:eastAsia="Times New Roman" w:hAnsiTheme="majorHAnsi" w:cstheme="majorHAnsi"/>
          <w:color w:val="000000"/>
          <w:sz w:val="20"/>
          <w:szCs w:val="20"/>
        </w:rPr>
        <w:t>:</w:t>
      </w:r>
    </w:p>
    <w:p w14:paraId="751D8D1E" w14:textId="77777777" w:rsidR="00D3608B" w:rsidRPr="00EA16B0" w:rsidRDefault="00D3608B" w:rsidP="00D3608B">
      <w:pPr>
        <w:tabs>
          <w:tab w:val="left" w:pos="8364"/>
        </w:tabs>
        <w:autoSpaceDE w:val="0"/>
        <w:autoSpaceDN w:val="0"/>
        <w:adjustRightInd w:val="0"/>
        <w:spacing w:after="0"/>
        <w:ind w:left="2268" w:right="-1"/>
        <w:jc w:val="both"/>
        <w:rPr>
          <w:rFonts w:asciiTheme="majorHAnsi" w:eastAsia="Times New Roman" w:hAnsiTheme="majorHAnsi" w:cstheme="majorHAnsi"/>
          <w:color w:val="000000"/>
          <w:sz w:val="20"/>
          <w:szCs w:val="20"/>
        </w:rPr>
      </w:pPr>
      <w:r w:rsidRPr="00EA16B0">
        <w:rPr>
          <w:rFonts w:asciiTheme="majorHAnsi" w:eastAsia="Times New Roman" w:hAnsiTheme="majorHAnsi" w:cstheme="majorHAnsi"/>
          <w:color w:val="000000"/>
          <w:sz w:val="20"/>
          <w:szCs w:val="20"/>
        </w:rPr>
        <w:t>I – ética, transparência e interesse público: (...)</w:t>
      </w:r>
    </w:p>
    <w:p w14:paraId="09BBA572" w14:textId="77777777" w:rsidR="00D3608B" w:rsidRPr="00EA16B0" w:rsidRDefault="00D3608B" w:rsidP="00D3608B">
      <w:pPr>
        <w:tabs>
          <w:tab w:val="left" w:pos="8364"/>
        </w:tabs>
        <w:autoSpaceDE w:val="0"/>
        <w:autoSpaceDN w:val="0"/>
        <w:adjustRightInd w:val="0"/>
        <w:spacing w:after="0"/>
        <w:ind w:left="2268" w:right="-1"/>
        <w:jc w:val="both"/>
        <w:rPr>
          <w:rFonts w:asciiTheme="majorHAnsi" w:eastAsia="Times New Roman" w:hAnsiTheme="majorHAnsi" w:cstheme="majorHAnsi"/>
          <w:color w:val="000000"/>
          <w:sz w:val="20"/>
          <w:szCs w:val="20"/>
        </w:rPr>
      </w:pPr>
      <w:r w:rsidRPr="00EA16B0">
        <w:rPr>
          <w:rFonts w:asciiTheme="majorHAnsi" w:eastAsia="Times New Roman" w:hAnsiTheme="majorHAnsi" w:cstheme="majorHAnsi"/>
          <w:color w:val="000000"/>
          <w:sz w:val="20"/>
          <w:szCs w:val="20"/>
        </w:rPr>
        <w:t xml:space="preserve">II – </w:t>
      </w:r>
      <w:proofErr w:type="gramStart"/>
      <w:r w:rsidRPr="00EA16B0">
        <w:rPr>
          <w:rFonts w:asciiTheme="majorHAnsi" w:eastAsia="Times New Roman" w:hAnsiTheme="majorHAnsi" w:cstheme="majorHAnsi"/>
          <w:color w:val="000000"/>
          <w:sz w:val="20"/>
          <w:szCs w:val="20"/>
        </w:rPr>
        <w:t>pluralismo</w:t>
      </w:r>
      <w:proofErr w:type="gramEnd"/>
      <w:r w:rsidRPr="00EA16B0">
        <w:rPr>
          <w:rFonts w:asciiTheme="majorHAnsi" w:eastAsia="Times New Roman" w:hAnsiTheme="majorHAnsi" w:cstheme="majorHAnsi"/>
          <w:color w:val="000000"/>
          <w:sz w:val="20"/>
          <w:szCs w:val="20"/>
        </w:rPr>
        <w:t>: (...)</w:t>
      </w:r>
    </w:p>
    <w:p w14:paraId="7EC6CF77" w14:textId="77777777" w:rsidR="00D3608B" w:rsidRPr="00EA16B0" w:rsidRDefault="00D3608B" w:rsidP="00D3608B">
      <w:pPr>
        <w:tabs>
          <w:tab w:val="left" w:pos="8364"/>
        </w:tabs>
        <w:autoSpaceDE w:val="0"/>
        <w:autoSpaceDN w:val="0"/>
        <w:adjustRightInd w:val="0"/>
        <w:spacing w:after="0"/>
        <w:ind w:left="2268" w:right="849"/>
        <w:jc w:val="both"/>
        <w:rPr>
          <w:rFonts w:asciiTheme="majorHAnsi" w:eastAsia="Times New Roman" w:hAnsiTheme="majorHAnsi" w:cstheme="majorHAnsi"/>
          <w:color w:val="000000"/>
          <w:sz w:val="20"/>
          <w:szCs w:val="20"/>
        </w:rPr>
      </w:pPr>
      <w:r w:rsidRPr="00EA16B0">
        <w:rPr>
          <w:rFonts w:asciiTheme="majorHAnsi" w:eastAsia="Times New Roman" w:hAnsiTheme="majorHAnsi" w:cstheme="majorHAnsi"/>
          <w:color w:val="000000"/>
          <w:sz w:val="20"/>
          <w:szCs w:val="20"/>
        </w:rPr>
        <w:t>III – sustentabilidade e responsabilidade social: busca de resultados institucionais voltados ao desenvolvimento humano, econômico, social e cultural, com perspectivas local e global, e à educação para a sustentabilidade, mediante um padrão de equilíbrio na relação humana com a natureza.</w:t>
      </w:r>
    </w:p>
    <w:p w14:paraId="2C120C41" w14:textId="77777777" w:rsidR="00D3608B" w:rsidRPr="00EA16B0" w:rsidRDefault="00D3608B" w:rsidP="00D3608B">
      <w:pPr>
        <w:tabs>
          <w:tab w:val="left" w:pos="8364"/>
        </w:tabs>
        <w:autoSpaceDE w:val="0"/>
        <w:autoSpaceDN w:val="0"/>
        <w:adjustRightInd w:val="0"/>
        <w:spacing w:after="0"/>
        <w:ind w:left="2268" w:right="-1"/>
        <w:jc w:val="both"/>
        <w:rPr>
          <w:rFonts w:asciiTheme="majorHAnsi" w:eastAsia="Times New Roman" w:hAnsiTheme="majorHAnsi" w:cstheme="majorHAnsi"/>
          <w:color w:val="000000"/>
          <w:sz w:val="20"/>
          <w:szCs w:val="20"/>
        </w:rPr>
      </w:pPr>
      <w:r w:rsidRPr="00EA16B0">
        <w:rPr>
          <w:rFonts w:asciiTheme="majorHAnsi" w:eastAsia="Times New Roman" w:hAnsiTheme="majorHAnsi" w:cstheme="majorHAnsi"/>
          <w:color w:val="000000"/>
          <w:sz w:val="20"/>
          <w:szCs w:val="20"/>
        </w:rPr>
        <w:t>IV – diversidade e inclusão: (...)</w:t>
      </w:r>
    </w:p>
    <w:p w14:paraId="4B6CF58D" w14:textId="77777777" w:rsidR="00D3608B" w:rsidRPr="00EA16B0" w:rsidRDefault="00D3608B" w:rsidP="00D3608B">
      <w:pPr>
        <w:tabs>
          <w:tab w:val="left" w:pos="8364"/>
        </w:tabs>
        <w:autoSpaceDE w:val="0"/>
        <w:autoSpaceDN w:val="0"/>
        <w:adjustRightInd w:val="0"/>
        <w:spacing w:after="0"/>
        <w:ind w:left="2268" w:right="-1"/>
        <w:jc w:val="both"/>
        <w:rPr>
          <w:rFonts w:asciiTheme="majorHAnsi" w:eastAsia="Times New Roman" w:hAnsiTheme="majorHAnsi" w:cstheme="majorHAnsi"/>
          <w:color w:val="000000"/>
          <w:sz w:val="20"/>
          <w:szCs w:val="20"/>
        </w:rPr>
      </w:pPr>
      <w:r w:rsidRPr="00EA16B0">
        <w:rPr>
          <w:rFonts w:asciiTheme="majorHAnsi" w:eastAsia="Times New Roman" w:hAnsiTheme="majorHAnsi" w:cstheme="majorHAnsi"/>
          <w:color w:val="000000"/>
          <w:sz w:val="20"/>
          <w:szCs w:val="20"/>
        </w:rPr>
        <w:t xml:space="preserve">V – </w:t>
      </w:r>
      <w:proofErr w:type="gramStart"/>
      <w:r w:rsidRPr="00EA16B0">
        <w:rPr>
          <w:rFonts w:asciiTheme="majorHAnsi" w:eastAsia="Times New Roman" w:hAnsiTheme="majorHAnsi" w:cstheme="majorHAnsi"/>
          <w:color w:val="000000"/>
          <w:sz w:val="20"/>
          <w:szCs w:val="20"/>
        </w:rPr>
        <w:t>produção</w:t>
      </w:r>
      <w:proofErr w:type="gramEnd"/>
      <w:r w:rsidRPr="00EA16B0">
        <w:rPr>
          <w:rFonts w:asciiTheme="majorHAnsi" w:eastAsia="Times New Roman" w:hAnsiTheme="majorHAnsi" w:cstheme="majorHAnsi"/>
          <w:color w:val="000000"/>
          <w:sz w:val="20"/>
          <w:szCs w:val="20"/>
        </w:rPr>
        <w:t xml:space="preserve"> de ciência, tecnologia e inovação (CTI): (...)</w:t>
      </w:r>
    </w:p>
    <w:p w14:paraId="2E14F731" w14:textId="77777777" w:rsidR="00D3608B" w:rsidRPr="00EA16B0" w:rsidRDefault="00D3608B" w:rsidP="00D3608B">
      <w:pPr>
        <w:tabs>
          <w:tab w:val="left" w:pos="8364"/>
        </w:tabs>
        <w:autoSpaceDE w:val="0"/>
        <w:autoSpaceDN w:val="0"/>
        <w:adjustRightInd w:val="0"/>
        <w:spacing w:after="0"/>
        <w:ind w:left="2268" w:right="-1"/>
        <w:jc w:val="both"/>
        <w:rPr>
          <w:rFonts w:asciiTheme="majorHAnsi" w:eastAsia="Times New Roman" w:hAnsiTheme="majorHAnsi" w:cstheme="majorHAnsi"/>
          <w:color w:val="000000"/>
          <w:sz w:val="20"/>
          <w:szCs w:val="20"/>
        </w:rPr>
      </w:pPr>
      <w:r w:rsidRPr="00EA16B0">
        <w:rPr>
          <w:rFonts w:asciiTheme="majorHAnsi" w:eastAsia="Times New Roman" w:hAnsiTheme="majorHAnsi" w:cstheme="majorHAnsi"/>
          <w:color w:val="000000"/>
          <w:sz w:val="20"/>
          <w:szCs w:val="20"/>
        </w:rPr>
        <w:t xml:space="preserve">VI – </w:t>
      </w:r>
      <w:proofErr w:type="gramStart"/>
      <w:r w:rsidRPr="00EA16B0">
        <w:rPr>
          <w:rFonts w:asciiTheme="majorHAnsi" w:eastAsia="Times New Roman" w:hAnsiTheme="majorHAnsi" w:cstheme="majorHAnsi"/>
          <w:color w:val="000000"/>
          <w:sz w:val="20"/>
          <w:szCs w:val="20"/>
        </w:rPr>
        <w:t>compromisso</w:t>
      </w:r>
      <w:proofErr w:type="gramEnd"/>
      <w:r w:rsidRPr="00EA16B0">
        <w:rPr>
          <w:rFonts w:asciiTheme="majorHAnsi" w:eastAsia="Times New Roman" w:hAnsiTheme="majorHAnsi" w:cstheme="majorHAnsi"/>
          <w:color w:val="000000"/>
          <w:sz w:val="20"/>
          <w:szCs w:val="20"/>
        </w:rPr>
        <w:t xml:space="preserve"> com o desenvolvimento regional: (...)</w:t>
      </w:r>
    </w:p>
    <w:p w14:paraId="755BEBE3" w14:textId="77777777" w:rsidR="00D3608B" w:rsidRPr="00EA16B0" w:rsidRDefault="00D3608B" w:rsidP="00D3608B">
      <w:pPr>
        <w:tabs>
          <w:tab w:val="left" w:pos="8364"/>
        </w:tabs>
        <w:autoSpaceDE w:val="0"/>
        <w:autoSpaceDN w:val="0"/>
        <w:adjustRightInd w:val="0"/>
        <w:spacing w:after="0"/>
        <w:ind w:left="2268" w:right="-1"/>
        <w:jc w:val="both"/>
        <w:rPr>
          <w:rFonts w:asciiTheme="majorHAnsi" w:eastAsia="Times New Roman" w:hAnsiTheme="majorHAnsi" w:cstheme="majorHAnsi"/>
          <w:color w:val="000000"/>
          <w:sz w:val="20"/>
          <w:szCs w:val="20"/>
        </w:rPr>
      </w:pPr>
      <w:r w:rsidRPr="00EA16B0">
        <w:rPr>
          <w:rFonts w:asciiTheme="majorHAnsi" w:eastAsia="Times New Roman" w:hAnsiTheme="majorHAnsi" w:cstheme="majorHAnsi"/>
          <w:color w:val="000000"/>
          <w:sz w:val="20"/>
          <w:szCs w:val="20"/>
        </w:rPr>
        <w:t>VII – gestão democrática: (...)</w:t>
      </w:r>
    </w:p>
    <w:p w14:paraId="6275628B" w14:textId="77777777" w:rsidR="00D3608B" w:rsidRPr="00EA16B0" w:rsidRDefault="00D3608B" w:rsidP="00D3608B">
      <w:pPr>
        <w:tabs>
          <w:tab w:val="left" w:pos="8364"/>
        </w:tabs>
        <w:autoSpaceDE w:val="0"/>
        <w:autoSpaceDN w:val="0"/>
        <w:adjustRightInd w:val="0"/>
        <w:ind w:left="2268" w:right="849"/>
        <w:jc w:val="both"/>
        <w:rPr>
          <w:rFonts w:asciiTheme="majorHAnsi" w:eastAsia="Times New Roman" w:hAnsiTheme="majorHAnsi" w:cstheme="majorHAnsi"/>
          <w:color w:val="000000"/>
          <w:sz w:val="20"/>
          <w:szCs w:val="20"/>
        </w:rPr>
      </w:pPr>
      <w:r w:rsidRPr="00EA16B0">
        <w:rPr>
          <w:rFonts w:asciiTheme="majorHAnsi" w:eastAsia="Times New Roman" w:hAnsiTheme="majorHAnsi" w:cstheme="majorHAnsi"/>
          <w:color w:val="000000"/>
          <w:sz w:val="20"/>
          <w:szCs w:val="20"/>
        </w:rPr>
        <w:t>VIII – promoção da paz, da equidade, da solidariedade e da aproximação entre gerações, povos, culturas e nações, contrapondo-se a toda e qualquer forma de violência, preconceito, intolerância e segregação. (CEBRASPE, 2022b, p. 38-39).</w:t>
      </w:r>
    </w:p>
    <w:p w14:paraId="4C524ABB" w14:textId="42CD4F19" w:rsidR="00D3608B" w:rsidRPr="00EA16B0" w:rsidRDefault="00D3608B" w:rsidP="00DF4936">
      <w:pPr>
        <w:tabs>
          <w:tab w:val="left" w:pos="8364"/>
        </w:tabs>
        <w:autoSpaceDE w:val="0"/>
        <w:autoSpaceDN w:val="0"/>
        <w:adjustRightInd w:val="0"/>
        <w:spacing w:line="360" w:lineRule="auto"/>
        <w:ind w:right="-1" w:firstLine="709"/>
        <w:jc w:val="both"/>
        <w:rPr>
          <w:rFonts w:asciiTheme="majorHAnsi" w:eastAsia="Times New Roman" w:hAnsiTheme="majorHAnsi" w:cstheme="majorHAnsi"/>
          <w:color w:val="000000"/>
          <w:sz w:val="24"/>
          <w:szCs w:val="24"/>
        </w:rPr>
      </w:pPr>
      <w:r w:rsidRPr="00EA16B0">
        <w:rPr>
          <w:rFonts w:asciiTheme="majorHAnsi" w:hAnsiTheme="majorHAnsi" w:cstheme="majorHAnsi"/>
          <w:color w:val="403D39"/>
          <w:sz w:val="24"/>
          <w:szCs w:val="24"/>
          <w:shd w:val="clear" w:color="auto" w:fill="FFFFFF"/>
        </w:rPr>
        <w:lastRenderedPageBreak/>
        <w:t>No mundo moderno, não há como dissociar esses dois valores e, novamente, eles estão expressos nos oito incisos do Art. 6.</w:t>
      </w:r>
      <w:r w:rsidRPr="00EA16B0">
        <w:rPr>
          <w:rFonts w:asciiTheme="majorHAnsi" w:hAnsiTheme="majorHAnsi" w:cstheme="majorHAnsi"/>
          <w:color w:val="403D39"/>
          <w:sz w:val="24"/>
          <w:szCs w:val="24"/>
          <w:shd w:val="clear" w:color="auto" w:fill="FFFFFF"/>
          <w:vertAlign w:val="superscript"/>
        </w:rPr>
        <w:t>o</w:t>
      </w:r>
      <w:r w:rsidRPr="00EA16B0">
        <w:rPr>
          <w:rFonts w:asciiTheme="majorHAnsi" w:hAnsiTheme="majorHAnsi" w:cstheme="majorHAnsi"/>
          <w:color w:val="403D39"/>
          <w:sz w:val="24"/>
          <w:szCs w:val="24"/>
          <w:shd w:val="clear" w:color="auto" w:fill="FFFFFF"/>
        </w:rPr>
        <w:t xml:space="preserve"> dos Estatutos propostos para a </w:t>
      </w:r>
      <w:proofErr w:type="spellStart"/>
      <w:r w:rsidRPr="00EA16B0">
        <w:rPr>
          <w:rFonts w:asciiTheme="majorHAnsi" w:hAnsiTheme="majorHAnsi" w:cstheme="majorHAnsi"/>
          <w:color w:val="403D39"/>
          <w:sz w:val="24"/>
          <w:szCs w:val="24"/>
          <w:shd w:val="clear" w:color="auto" w:fill="FFFFFF"/>
        </w:rPr>
        <w:t>UnDF</w:t>
      </w:r>
      <w:proofErr w:type="spellEnd"/>
      <w:r w:rsidRPr="00EA16B0">
        <w:rPr>
          <w:rFonts w:asciiTheme="majorHAnsi" w:hAnsiTheme="majorHAnsi" w:cstheme="majorHAnsi"/>
          <w:color w:val="403D39"/>
          <w:sz w:val="24"/>
          <w:szCs w:val="24"/>
          <w:shd w:val="clear" w:color="auto" w:fill="FFFFFF"/>
        </w:rPr>
        <w:t xml:space="preserve">. </w:t>
      </w:r>
      <w:r w:rsidRPr="00EA16B0">
        <w:rPr>
          <w:rFonts w:asciiTheme="majorHAnsi" w:eastAsia="Times New Roman" w:hAnsiTheme="majorHAnsi" w:cstheme="majorHAnsi"/>
          <w:color w:val="000000"/>
          <w:sz w:val="24"/>
          <w:szCs w:val="24"/>
        </w:rPr>
        <w:t>Tratam-se, portanto, de valores que devem permear todas as políticas e ações institucionais, inclusive aquelas ligadas ao ensino.</w:t>
      </w:r>
    </w:p>
    <w:p w14:paraId="59604E78" w14:textId="77777777" w:rsidR="00DF4936" w:rsidRPr="00EA16B0" w:rsidRDefault="00DF4936" w:rsidP="00D3608B">
      <w:pPr>
        <w:tabs>
          <w:tab w:val="left" w:pos="8364"/>
        </w:tabs>
        <w:autoSpaceDE w:val="0"/>
        <w:autoSpaceDN w:val="0"/>
        <w:adjustRightInd w:val="0"/>
        <w:ind w:right="-1"/>
        <w:jc w:val="both"/>
        <w:rPr>
          <w:rFonts w:asciiTheme="majorHAnsi" w:eastAsia="Times New Roman" w:hAnsiTheme="majorHAnsi" w:cstheme="majorHAnsi"/>
          <w:color w:val="000000"/>
          <w:sz w:val="24"/>
          <w:szCs w:val="24"/>
        </w:rPr>
      </w:pPr>
    </w:p>
    <w:p w14:paraId="0C09D8C7" w14:textId="43F06646" w:rsidR="00D3608B" w:rsidRPr="00EA16B0" w:rsidRDefault="00D3608B" w:rsidP="003A7871">
      <w:pPr>
        <w:pStyle w:val="Ttulo2"/>
        <w:numPr>
          <w:ilvl w:val="1"/>
          <w:numId w:val="1"/>
        </w:numPr>
        <w:tabs>
          <w:tab w:val="clear" w:pos="1615"/>
        </w:tabs>
        <w:spacing w:before="0" w:after="0" w:line="360" w:lineRule="auto"/>
        <w:ind w:left="993" w:hanging="576"/>
        <w:rPr>
          <w:rFonts w:asciiTheme="majorHAnsi" w:hAnsiTheme="majorHAnsi" w:cstheme="majorHAnsi"/>
        </w:rPr>
      </w:pPr>
      <w:bookmarkStart w:id="48" w:name="_Toc102319377"/>
      <w:r w:rsidRPr="00EA16B0">
        <w:rPr>
          <w:rFonts w:asciiTheme="majorHAnsi" w:hAnsiTheme="majorHAnsi" w:cstheme="majorHAnsi"/>
        </w:rPr>
        <w:t>ESTRUTURA MULTICÂMPUS E MULTIESPACIAL</w:t>
      </w:r>
      <w:bookmarkEnd w:id="48"/>
    </w:p>
    <w:p w14:paraId="70CE12E5" w14:textId="77777777" w:rsidR="00D3608B" w:rsidRPr="00EA16B0" w:rsidRDefault="00D3608B" w:rsidP="00DF4936">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Como reforço da necessidade expressa nas responsabilidades sociais, a estruturação da Universidade em uma estrutura </w:t>
      </w:r>
      <w:proofErr w:type="spellStart"/>
      <w:r w:rsidRPr="00EA16B0">
        <w:rPr>
          <w:rFonts w:asciiTheme="majorHAnsi" w:hAnsiTheme="majorHAnsi" w:cstheme="majorHAnsi"/>
          <w:sz w:val="24"/>
          <w:szCs w:val="24"/>
        </w:rPr>
        <w:t>multicampus</w:t>
      </w:r>
      <w:proofErr w:type="spellEnd"/>
      <w:r w:rsidRPr="00EA16B0">
        <w:rPr>
          <w:rFonts w:asciiTheme="majorHAnsi" w:hAnsiTheme="majorHAnsi" w:cstheme="majorHAnsi"/>
          <w:sz w:val="24"/>
          <w:szCs w:val="24"/>
        </w:rPr>
        <w:t xml:space="preserve"> já denota a preocupação de uma abrangência geofísica em todo o DF, já que, como instituição distrital, não pode estruturar </w:t>
      </w:r>
      <w:r w:rsidRPr="00EA16B0">
        <w:rPr>
          <w:rFonts w:asciiTheme="majorHAnsi" w:hAnsiTheme="majorHAnsi" w:cstheme="majorHAnsi"/>
          <w:i/>
          <w:iCs/>
          <w:sz w:val="24"/>
          <w:szCs w:val="24"/>
        </w:rPr>
        <w:t>campus</w:t>
      </w:r>
      <w:r w:rsidRPr="00EA16B0">
        <w:rPr>
          <w:rFonts w:asciiTheme="majorHAnsi" w:hAnsiTheme="majorHAnsi" w:cstheme="majorHAnsi"/>
          <w:sz w:val="24"/>
          <w:szCs w:val="24"/>
        </w:rPr>
        <w:t xml:space="preserve"> em locais fora de seus limites geográficos, exceto para polos de apoio ao ensino a distância e, nesse caso, com credenciamento realizado pelo MEC, e não pelo CEDF, ainda que a RIDE seja uma estrutura organizada legalmente, mas não pode se sobrepor à estrutura federativa determinada constitucionalmente.</w:t>
      </w:r>
    </w:p>
    <w:p w14:paraId="2CB7DBC5" w14:textId="77777777" w:rsidR="00D3608B" w:rsidRPr="00EA16B0" w:rsidRDefault="00D3608B" w:rsidP="00DF4936">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Assim, espera-se que essa vocação multiespacial, em um primeiro momento, reforce os dois locais onde a </w:t>
      </w:r>
      <w:proofErr w:type="spellStart"/>
      <w:r w:rsidRPr="00EA16B0">
        <w:rPr>
          <w:rFonts w:asciiTheme="majorHAnsi" w:hAnsiTheme="majorHAnsi" w:cstheme="majorHAnsi"/>
          <w:sz w:val="24"/>
          <w:szCs w:val="24"/>
        </w:rPr>
        <w:t>UnDF</w:t>
      </w:r>
      <w:proofErr w:type="spellEnd"/>
      <w:r w:rsidRPr="00EA16B0">
        <w:rPr>
          <w:rFonts w:asciiTheme="majorHAnsi" w:hAnsiTheme="majorHAnsi" w:cstheme="majorHAnsi"/>
          <w:sz w:val="24"/>
          <w:szCs w:val="24"/>
        </w:rPr>
        <w:t xml:space="preserve"> já oferece os cursos de Medicina (</w:t>
      </w:r>
      <w:r w:rsidRPr="00EA16B0">
        <w:rPr>
          <w:rFonts w:asciiTheme="majorHAnsi" w:hAnsiTheme="majorHAnsi" w:cstheme="majorHAnsi"/>
          <w:color w:val="212529"/>
          <w:sz w:val="24"/>
          <w:szCs w:val="24"/>
        </w:rPr>
        <w:t xml:space="preserve">Edifício </w:t>
      </w:r>
      <w:proofErr w:type="spellStart"/>
      <w:r w:rsidRPr="00EA16B0">
        <w:rPr>
          <w:rFonts w:asciiTheme="majorHAnsi" w:hAnsiTheme="majorHAnsi" w:cstheme="majorHAnsi"/>
          <w:color w:val="212529"/>
          <w:sz w:val="24"/>
          <w:szCs w:val="24"/>
        </w:rPr>
        <w:t>Fepecs</w:t>
      </w:r>
      <w:proofErr w:type="spellEnd"/>
      <w:r w:rsidRPr="00EA16B0">
        <w:rPr>
          <w:rFonts w:asciiTheme="majorHAnsi" w:hAnsiTheme="majorHAnsi" w:cstheme="majorHAnsi"/>
          <w:color w:val="212529"/>
          <w:sz w:val="24"/>
          <w:szCs w:val="24"/>
        </w:rPr>
        <w:t xml:space="preserve"> – SMHN Quadra 03, Conjunto A, Bloco 1 – Asa Norte</w:t>
      </w:r>
      <w:r w:rsidRPr="00EA16B0">
        <w:rPr>
          <w:rFonts w:asciiTheme="majorHAnsi" w:hAnsiTheme="majorHAnsi" w:cstheme="majorHAnsi"/>
          <w:sz w:val="24"/>
          <w:szCs w:val="24"/>
        </w:rPr>
        <w:t>) e de Enfermagem (QD 301 – conj. 04 – Centro Urbano – Samambaia, DF) e que se estenda por pontos estratégicos de todo o Distrito Federal.</w:t>
      </w:r>
    </w:p>
    <w:p w14:paraId="2476E2B8" w14:textId="77777777" w:rsidR="00D3608B" w:rsidRPr="00EA16B0" w:rsidRDefault="00D3608B" w:rsidP="00DF4936">
      <w:pPr>
        <w:spacing w:line="360" w:lineRule="auto"/>
        <w:ind w:firstLine="709"/>
        <w:jc w:val="both"/>
        <w:rPr>
          <w:rFonts w:asciiTheme="majorHAnsi" w:hAnsiTheme="majorHAnsi" w:cstheme="majorHAnsi"/>
          <w:sz w:val="24"/>
          <w:szCs w:val="24"/>
        </w:rPr>
      </w:pPr>
      <w:r w:rsidRPr="00EA16B0">
        <w:rPr>
          <w:rFonts w:asciiTheme="majorHAnsi" w:hAnsiTheme="majorHAnsi" w:cstheme="majorHAnsi"/>
          <w:spacing w:val="-2"/>
          <w:sz w:val="24"/>
          <w:szCs w:val="24"/>
        </w:rPr>
        <w:t xml:space="preserve">Para a </w:t>
      </w:r>
      <w:proofErr w:type="spellStart"/>
      <w:r w:rsidRPr="00EA16B0">
        <w:rPr>
          <w:rFonts w:asciiTheme="majorHAnsi" w:hAnsiTheme="majorHAnsi" w:cstheme="majorHAnsi"/>
          <w:spacing w:val="-2"/>
          <w:sz w:val="24"/>
          <w:szCs w:val="24"/>
        </w:rPr>
        <w:t>EaD</w:t>
      </w:r>
      <w:proofErr w:type="spellEnd"/>
      <w:r w:rsidRPr="00EA16B0">
        <w:rPr>
          <w:rFonts w:asciiTheme="majorHAnsi" w:hAnsiTheme="majorHAnsi" w:cstheme="majorHAnsi"/>
          <w:spacing w:val="-2"/>
          <w:sz w:val="24"/>
          <w:szCs w:val="24"/>
        </w:rPr>
        <w:t xml:space="preserve"> — e para o caso de projetos pedagógicos de cursos estruturados com mais de 40% de suas atividades</w:t>
      </w:r>
      <w:r w:rsidRPr="00EA16B0">
        <w:rPr>
          <w:rFonts w:asciiTheme="majorHAnsi" w:hAnsiTheme="majorHAnsi" w:cstheme="majorHAnsi"/>
          <w:sz w:val="24"/>
          <w:szCs w:val="24"/>
        </w:rPr>
        <w:t xml:space="preserve"> nessa modalidade—, em um primeiro momento e enquanto IES pública, a </w:t>
      </w:r>
      <w:proofErr w:type="spellStart"/>
      <w:r w:rsidRPr="00EA16B0">
        <w:rPr>
          <w:rFonts w:asciiTheme="majorHAnsi" w:hAnsiTheme="majorHAnsi" w:cstheme="majorHAnsi"/>
          <w:sz w:val="24"/>
          <w:szCs w:val="24"/>
        </w:rPr>
        <w:t>UnDF</w:t>
      </w:r>
      <w:proofErr w:type="spellEnd"/>
      <w:r w:rsidRPr="00EA16B0">
        <w:rPr>
          <w:rFonts w:asciiTheme="majorHAnsi" w:hAnsiTheme="majorHAnsi" w:cstheme="majorHAnsi"/>
          <w:sz w:val="24"/>
          <w:szCs w:val="24"/>
        </w:rPr>
        <w:t xml:space="preserve"> é considerada credenciada por cinco anos a partir da primeira oferta </w:t>
      </w:r>
      <w:proofErr w:type="spellStart"/>
      <w:r w:rsidRPr="00EA16B0">
        <w:rPr>
          <w:rFonts w:asciiTheme="majorHAnsi" w:hAnsiTheme="majorHAnsi" w:cstheme="majorHAnsi"/>
          <w:sz w:val="24"/>
          <w:szCs w:val="24"/>
        </w:rPr>
        <w:t>EaD</w:t>
      </w:r>
      <w:proofErr w:type="spellEnd"/>
      <w:r w:rsidRPr="00EA16B0">
        <w:rPr>
          <w:rFonts w:asciiTheme="majorHAnsi" w:hAnsiTheme="majorHAnsi" w:cstheme="majorHAnsi"/>
          <w:sz w:val="24"/>
          <w:szCs w:val="24"/>
        </w:rPr>
        <w:t>, nos termos do Art. 17 do Decreto 9057/2017 (BRASIL, 2017), que é o marco regulatório da oferta de ensino a distância no país. Após esse período, poderá requerer recredenciamento junto ao MEC, ainda que apenas para continuar com oferta no âmbito distrital, mas poderá ampliar essa atuação para fora dos limites geográficos do DF com a criação de polos de apoio presencial na RIDE, por exemplo, complementando o disposto em sua Lei de Criação, agora com atuação também no entorno do DF.</w:t>
      </w:r>
    </w:p>
    <w:p w14:paraId="7FE471A0" w14:textId="77777777" w:rsidR="00D3608B" w:rsidRPr="00EA16B0" w:rsidRDefault="00D3608B" w:rsidP="00DF4936">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Essa decisão deverá ser parte integrante do PDI que será realizado pela comunidade acadêmica institucional, já que o primeiro, de duração quinquenal, deverá ser parte integrante do material a ser utilizado no credenciamento institucional junto ao CEDF.</w:t>
      </w:r>
    </w:p>
    <w:p w14:paraId="79E7FD95" w14:textId="77777777" w:rsidR="00D3608B" w:rsidRPr="00EA16B0" w:rsidRDefault="00D3608B" w:rsidP="00DF4936">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Detalhamento sobre as políticas para </w:t>
      </w:r>
      <w:proofErr w:type="spellStart"/>
      <w:r w:rsidRPr="00EA16B0">
        <w:rPr>
          <w:rFonts w:asciiTheme="majorHAnsi" w:hAnsiTheme="majorHAnsi" w:cstheme="majorHAnsi"/>
          <w:sz w:val="24"/>
          <w:szCs w:val="24"/>
        </w:rPr>
        <w:t>EaD</w:t>
      </w:r>
      <w:proofErr w:type="spellEnd"/>
      <w:r w:rsidRPr="00EA16B0">
        <w:rPr>
          <w:rFonts w:asciiTheme="majorHAnsi" w:hAnsiTheme="majorHAnsi" w:cstheme="majorHAnsi"/>
          <w:sz w:val="24"/>
          <w:szCs w:val="24"/>
        </w:rPr>
        <w:t xml:space="preserve"> farão parte de documento específico, em elaboração.</w:t>
      </w:r>
    </w:p>
    <w:p w14:paraId="53F84413" w14:textId="6D892AD1" w:rsidR="00D3608B" w:rsidRPr="00EA16B0" w:rsidRDefault="00D3608B" w:rsidP="003A7871">
      <w:pPr>
        <w:pStyle w:val="Ttulo2"/>
        <w:numPr>
          <w:ilvl w:val="1"/>
          <w:numId w:val="1"/>
        </w:numPr>
        <w:tabs>
          <w:tab w:val="clear" w:pos="1615"/>
        </w:tabs>
        <w:spacing w:before="0" w:after="0" w:line="360" w:lineRule="auto"/>
        <w:ind w:left="993" w:hanging="576"/>
        <w:rPr>
          <w:rFonts w:asciiTheme="majorHAnsi" w:hAnsiTheme="majorHAnsi" w:cstheme="majorHAnsi"/>
        </w:rPr>
      </w:pPr>
      <w:bookmarkStart w:id="49" w:name="_Toc102319378"/>
      <w:r w:rsidRPr="00EA16B0">
        <w:rPr>
          <w:rFonts w:asciiTheme="majorHAnsi" w:hAnsiTheme="majorHAnsi" w:cstheme="majorHAnsi"/>
        </w:rPr>
        <w:lastRenderedPageBreak/>
        <w:t>EXTERNALIZAÇÃO E INTERNACIONALIZAÇÂO</w:t>
      </w:r>
      <w:bookmarkEnd w:id="49"/>
    </w:p>
    <w:p w14:paraId="76586BFC" w14:textId="77777777" w:rsidR="00D3608B" w:rsidRPr="00EA16B0" w:rsidRDefault="00D3608B" w:rsidP="00DF4936">
      <w:pPr>
        <w:spacing w:line="360" w:lineRule="auto"/>
        <w:ind w:right="-1"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O termo “externalização”, utilizado neste relatório, tem o mesmo sentido daquele empregado no item 4.3.3 do Relatório da </w:t>
      </w:r>
      <w:proofErr w:type="spellStart"/>
      <w:r w:rsidRPr="00EA16B0">
        <w:rPr>
          <w:rFonts w:asciiTheme="majorHAnsi" w:hAnsiTheme="majorHAnsi" w:cstheme="majorHAnsi"/>
          <w:sz w:val="24"/>
          <w:szCs w:val="24"/>
        </w:rPr>
        <w:t>Cebraspe</w:t>
      </w:r>
      <w:proofErr w:type="spellEnd"/>
      <w:r w:rsidRPr="00EA16B0">
        <w:rPr>
          <w:rFonts w:asciiTheme="majorHAnsi" w:hAnsiTheme="majorHAnsi" w:cstheme="majorHAnsi"/>
          <w:sz w:val="24"/>
          <w:szCs w:val="24"/>
        </w:rPr>
        <w:t xml:space="preserve"> (2022a, p. 80-81), que destaca um movimento de “internalização” que as Universidades apresentam, no sentido de realizarem suas ações voltadas para si mesmas, sem levar em conta o que ocorre na sociedade  — e daí a fraca importância da extensão no desenvolvimento dos cursos — e o que ocorre em outras instituições de mesma natureza jurídica e grau de abrangência que ela, ou não. Assim, é sugerido o movimento de “externalização” para organizar ações que viabilizem uma efetiva relação acadêmica com outras instituições superiores nacionais </w:t>
      </w:r>
      <w:proofErr w:type="gramStart"/>
      <w:r w:rsidRPr="00EA16B0">
        <w:rPr>
          <w:rFonts w:asciiTheme="majorHAnsi" w:hAnsiTheme="majorHAnsi" w:cstheme="majorHAnsi"/>
          <w:sz w:val="24"/>
          <w:szCs w:val="24"/>
        </w:rPr>
        <w:t>e também</w:t>
      </w:r>
      <w:proofErr w:type="gramEnd"/>
      <w:r w:rsidRPr="00EA16B0">
        <w:rPr>
          <w:rFonts w:asciiTheme="majorHAnsi" w:hAnsiTheme="majorHAnsi" w:cstheme="majorHAnsi"/>
          <w:sz w:val="24"/>
          <w:szCs w:val="24"/>
        </w:rPr>
        <w:t xml:space="preserve"> ações com a sociedade de seu entorno, de sua região e, em alguns casos determinados no PPI, em nível nacional e internacional. Apenas após esse movimento de abertura é que se dará, de forma eficiente e eficaz, uma internacionalização que respeite e que possibilite a interculturalidade, só possível se houver o conhecimento da própria cultura.</w:t>
      </w:r>
    </w:p>
    <w:p w14:paraId="39338FA5" w14:textId="77777777" w:rsidR="00D3608B" w:rsidRPr="00EA16B0" w:rsidRDefault="00D3608B" w:rsidP="00DF4936">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É chamada a atenção para que:</w:t>
      </w:r>
    </w:p>
    <w:p w14:paraId="0BD8D87A" w14:textId="77777777" w:rsidR="00DF4936" w:rsidRPr="00EA16B0" w:rsidRDefault="00DF4936" w:rsidP="00D3608B">
      <w:pPr>
        <w:ind w:left="2268" w:right="851"/>
        <w:jc w:val="both"/>
        <w:rPr>
          <w:rFonts w:asciiTheme="majorHAnsi" w:hAnsiTheme="majorHAnsi" w:cstheme="majorHAnsi"/>
          <w:sz w:val="20"/>
          <w:szCs w:val="20"/>
        </w:rPr>
      </w:pPr>
    </w:p>
    <w:p w14:paraId="0A1A7267" w14:textId="6E714E61" w:rsidR="00D3608B" w:rsidRPr="00EA16B0" w:rsidRDefault="00D3608B" w:rsidP="00D3608B">
      <w:pPr>
        <w:ind w:left="2268" w:right="851"/>
        <w:jc w:val="both"/>
        <w:rPr>
          <w:rFonts w:asciiTheme="majorHAnsi" w:hAnsiTheme="majorHAnsi" w:cstheme="majorHAnsi"/>
          <w:sz w:val="20"/>
          <w:szCs w:val="20"/>
        </w:rPr>
      </w:pPr>
      <w:r w:rsidRPr="00EA16B0">
        <w:rPr>
          <w:rFonts w:asciiTheme="majorHAnsi" w:hAnsiTheme="majorHAnsi" w:cstheme="majorHAnsi"/>
          <w:sz w:val="20"/>
          <w:szCs w:val="20"/>
        </w:rPr>
        <w:t>No caso da internacionalização, não basta apenas garantir convênios interinstitucionais com Universidades de fora do país mantendo um currículo engessado que acaba impedindo o aproveitamento dos estudos realizados. Isso também ocorre em grande parte das IES brasileiras, com relação a estudos realizados em outras instituições, ainda que credenciadas e com cursos reconhecidos na forma da Lei, reforçando o que foi chamado acima de “internalização da universidade”. Assim, para a graduação garantir uma efetiva participação na pesquisa e na extensão, além de se voltar para a internacionalização, deve primeiramente garantir um movimento de externalização dessas atividades.</w:t>
      </w:r>
    </w:p>
    <w:p w14:paraId="33A39B81" w14:textId="77777777" w:rsidR="00D3608B" w:rsidRPr="00EA16B0" w:rsidRDefault="00D3608B" w:rsidP="00D3608B">
      <w:pPr>
        <w:ind w:left="2268" w:right="849"/>
        <w:jc w:val="both"/>
        <w:rPr>
          <w:rFonts w:asciiTheme="majorHAnsi" w:hAnsiTheme="majorHAnsi" w:cstheme="majorHAnsi"/>
          <w:sz w:val="20"/>
          <w:szCs w:val="20"/>
        </w:rPr>
      </w:pPr>
      <w:r w:rsidRPr="00EA16B0">
        <w:rPr>
          <w:rFonts w:asciiTheme="majorHAnsi" w:hAnsiTheme="majorHAnsi" w:cstheme="majorHAnsi"/>
          <w:sz w:val="20"/>
          <w:szCs w:val="20"/>
        </w:rPr>
        <w:t>Um sistema de créditos que leve em conta as características apresentadas deve, dentre outras situações de desenvolvimento curricular garantir: a) o aproveitamento de atividades profissionais comprovadas, ainda que por meio de checagem realizada por exames elaborados. Por exemplo, um profissional com curso técnico na área de informática, ou da construção civil, ser obrigado a cursar uma atividade introdutória ao letramento digital, ou ao desenho técnico, respectivamente; b) a proficiência de atividades de estudo que possam originar conhecimento adquirido fora das disciplinas de ensino superior. Por exemplo, uma pessoa que tem proficiência em inglês ou que foi alfabetizada em país de língua inglesa ser obrigada a cursar uma atividade que aborde esses conhecimentos; c) a equivalência de estudos em cursos superiores de outras instituições, desde que com carga horária e conteúdos compatíveis.</w:t>
      </w:r>
    </w:p>
    <w:p w14:paraId="269185A6" w14:textId="18F56FE7" w:rsidR="00D3608B" w:rsidRPr="00EA16B0" w:rsidRDefault="00D3608B" w:rsidP="00D3608B">
      <w:pPr>
        <w:ind w:left="2268" w:right="849"/>
        <w:jc w:val="both"/>
        <w:rPr>
          <w:rFonts w:asciiTheme="majorHAnsi" w:hAnsiTheme="majorHAnsi" w:cstheme="majorHAnsi"/>
          <w:sz w:val="20"/>
          <w:szCs w:val="20"/>
        </w:rPr>
      </w:pPr>
      <w:r w:rsidRPr="00EA16B0">
        <w:rPr>
          <w:rFonts w:asciiTheme="majorHAnsi" w:hAnsiTheme="majorHAnsi" w:cstheme="majorHAnsi"/>
          <w:sz w:val="20"/>
          <w:szCs w:val="20"/>
        </w:rPr>
        <w:t xml:space="preserve">Essas três ações permitiriam que houvesse uma maior flexibilidade para que o estudante pudesse realizar atividades curriculares de seu interesse em outras instituições, nacionais inclusive, tendo como computar esses estudos para a integralização de seu curso. Outro ponto importante é garantir que o currículo preveja um percentual significativo de atividades livres para que os estudantes </w:t>
      </w:r>
      <w:r w:rsidRPr="00EA16B0">
        <w:rPr>
          <w:rFonts w:asciiTheme="majorHAnsi" w:hAnsiTheme="majorHAnsi" w:cstheme="majorHAnsi"/>
          <w:sz w:val="20"/>
          <w:szCs w:val="20"/>
        </w:rPr>
        <w:lastRenderedPageBreak/>
        <w:t>possam ter uma formação diferenciada e voltada para seus interesses. Em casos de intercâmbio ou de permanência total em outra instituição, um programa de atividades previamente discutido poderia também contribuir para que houvesse essa possibilidade de aproveitamento futuro. (CEBRASPE, 2022a, p. 81).</w:t>
      </w:r>
    </w:p>
    <w:p w14:paraId="1AD2B182" w14:textId="77777777" w:rsidR="00DF4936" w:rsidRPr="00EA16B0" w:rsidRDefault="00DF4936" w:rsidP="00D3608B">
      <w:pPr>
        <w:ind w:left="2268" w:right="849"/>
        <w:jc w:val="both"/>
        <w:rPr>
          <w:rFonts w:asciiTheme="majorHAnsi" w:hAnsiTheme="majorHAnsi" w:cstheme="majorHAnsi"/>
          <w:sz w:val="20"/>
          <w:szCs w:val="20"/>
        </w:rPr>
      </w:pPr>
    </w:p>
    <w:p w14:paraId="37C0E65B" w14:textId="77777777" w:rsidR="00D3608B" w:rsidRPr="00EA16B0" w:rsidRDefault="00D3608B" w:rsidP="00DF4936">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Além das ações voltadas para maior interação com a sociedade e com outras IES nacionais, aumentando a necessária responsabilidade social, a internacionalização ganha importância crucial em uma formação onde a cultura da paz, da interculturalidade, da diversidade e da tolerância se constituem objetivos maiores para a qualidade do profissional preparado, com competências, habilidades e atitudes que extrapolem o tecnicismo para a resolução de problemas específicos de sua área. </w:t>
      </w:r>
    </w:p>
    <w:p w14:paraId="7E51FB9C" w14:textId="77777777" w:rsidR="00D3608B" w:rsidRPr="00EA16B0" w:rsidRDefault="00D3608B" w:rsidP="00DF4936">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Em vista dessa importância, a internacionalização será tratada em documento específico que está sendo elaborado por especialista da área, abordando aspectos que ultrapassam em muito os conceitos de mobilidade, intercâmbio e projetos isolados de cooperação.</w:t>
      </w:r>
    </w:p>
    <w:p w14:paraId="2A2E859C" w14:textId="77777777" w:rsidR="00D3608B" w:rsidRPr="00EA16B0" w:rsidRDefault="00D3608B" w:rsidP="00D3608B">
      <w:pPr>
        <w:jc w:val="both"/>
        <w:rPr>
          <w:rFonts w:asciiTheme="majorHAnsi" w:hAnsiTheme="majorHAnsi" w:cstheme="majorHAnsi"/>
        </w:rPr>
      </w:pPr>
    </w:p>
    <w:p w14:paraId="55C887EA" w14:textId="47F0B235" w:rsidR="00D3608B" w:rsidRPr="00EA16B0" w:rsidRDefault="00D3608B" w:rsidP="003A7871">
      <w:pPr>
        <w:pStyle w:val="Ttulo2"/>
        <w:numPr>
          <w:ilvl w:val="1"/>
          <w:numId w:val="1"/>
        </w:numPr>
        <w:tabs>
          <w:tab w:val="clear" w:pos="1615"/>
        </w:tabs>
        <w:spacing w:before="0" w:after="0" w:line="360" w:lineRule="auto"/>
        <w:ind w:left="993" w:hanging="576"/>
        <w:rPr>
          <w:rFonts w:asciiTheme="majorHAnsi" w:hAnsiTheme="majorHAnsi" w:cstheme="majorHAnsi"/>
        </w:rPr>
      </w:pPr>
      <w:bookmarkStart w:id="50" w:name="_Toc102319379"/>
      <w:r w:rsidRPr="00EA16B0">
        <w:rPr>
          <w:rFonts w:asciiTheme="majorHAnsi" w:hAnsiTheme="majorHAnsi" w:cstheme="majorHAnsi"/>
        </w:rPr>
        <w:t>DIVERSIDADE E FLEXIBILIDADE FORMATIVAS</w:t>
      </w:r>
      <w:bookmarkEnd w:id="50"/>
    </w:p>
    <w:p w14:paraId="0912F879" w14:textId="77777777" w:rsidR="00D3608B" w:rsidRPr="00EA16B0" w:rsidRDefault="00D3608B" w:rsidP="00DF4936">
      <w:pPr>
        <w:pStyle w:val="Default"/>
        <w:spacing w:after="160" w:line="360" w:lineRule="auto"/>
        <w:ind w:firstLine="709"/>
        <w:jc w:val="both"/>
        <w:rPr>
          <w:rFonts w:asciiTheme="majorHAnsi" w:hAnsiTheme="majorHAnsi" w:cstheme="majorHAnsi"/>
        </w:rPr>
      </w:pPr>
      <w:r w:rsidRPr="00EA16B0">
        <w:rPr>
          <w:rFonts w:asciiTheme="majorHAnsi" w:hAnsiTheme="majorHAnsi" w:cstheme="majorHAnsi"/>
        </w:rPr>
        <w:t xml:space="preserve">A oferta diversificada de opções formativas é outra importante decisão para a garantia do sucesso institucional e sua responsabilidade social. Na Lei de Criação da </w:t>
      </w:r>
      <w:proofErr w:type="spellStart"/>
      <w:r w:rsidRPr="00EA16B0">
        <w:rPr>
          <w:rFonts w:asciiTheme="majorHAnsi" w:hAnsiTheme="majorHAnsi" w:cstheme="majorHAnsi"/>
        </w:rPr>
        <w:t>UnDF</w:t>
      </w:r>
      <w:proofErr w:type="spellEnd"/>
      <w:r w:rsidRPr="00EA16B0">
        <w:rPr>
          <w:rFonts w:asciiTheme="majorHAnsi" w:hAnsiTheme="majorHAnsi" w:cstheme="majorHAnsi"/>
        </w:rPr>
        <w:t xml:space="preserve"> está explícito, no Art. 2.</w:t>
      </w:r>
      <w:r w:rsidRPr="00EA16B0">
        <w:rPr>
          <w:rFonts w:asciiTheme="majorHAnsi" w:hAnsiTheme="majorHAnsi" w:cstheme="majorHAnsi"/>
          <w:vertAlign w:val="superscript"/>
        </w:rPr>
        <w:t>o</w:t>
      </w:r>
      <w:r w:rsidRPr="00EA16B0">
        <w:rPr>
          <w:rFonts w:asciiTheme="majorHAnsi" w:hAnsiTheme="majorHAnsi" w:cstheme="majorHAnsi"/>
        </w:rPr>
        <w:t xml:space="preserve">, que trata de sua finalidade, “ministrar educação superior pública distrital (...) desenvolver pesquisas nas diversas áreas do conhecimento e promover atividades de extensão universitária (...)”. Para desenvolver essas atividades de forma </w:t>
      </w:r>
      <w:proofErr w:type="spellStart"/>
      <w:r w:rsidRPr="00EA16B0">
        <w:rPr>
          <w:rFonts w:asciiTheme="majorHAnsi" w:hAnsiTheme="majorHAnsi" w:cstheme="majorHAnsi"/>
        </w:rPr>
        <w:t>indissociada</w:t>
      </w:r>
      <w:proofErr w:type="spellEnd"/>
      <w:r w:rsidRPr="00EA16B0">
        <w:rPr>
          <w:rFonts w:asciiTheme="majorHAnsi" w:hAnsiTheme="majorHAnsi" w:cstheme="majorHAnsi"/>
        </w:rPr>
        <w:t xml:space="preserve"> como determina a Constituição, o ensino deverá ser feito e construído a partir da pesquisa e essa pesquisa deve ter relevância social, o que implica na necessidade de diversidade e de flexibilidade formativas que viabilizem esse procedimento.</w:t>
      </w:r>
    </w:p>
    <w:p w14:paraId="37D2F2FA" w14:textId="77777777" w:rsidR="00D3608B" w:rsidRPr="00EA16B0" w:rsidRDefault="00D3608B" w:rsidP="00DF4936">
      <w:pPr>
        <w:pStyle w:val="Default"/>
        <w:spacing w:after="160" w:line="360" w:lineRule="auto"/>
        <w:ind w:firstLine="709"/>
        <w:jc w:val="both"/>
        <w:rPr>
          <w:rFonts w:asciiTheme="majorHAnsi" w:hAnsiTheme="majorHAnsi" w:cstheme="majorHAnsi"/>
        </w:rPr>
      </w:pPr>
      <w:r w:rsidRPr="00EA16B0">
        <w:rPr>
          <w:rFonts w:asciiTheme="majorHAnsi" w:hAnsiTheme="majorHAnsi" w:cstheme="majorHAnsi"/>
        </w:rPr>
        <w:t xml:space="preserve">A </w:t>
      </w:r>
      <w:proofErr w:type="spellStart"/>
      <w:r w:rsidRPr="00EA16B0">
        <w:rPr>
          <w:rFonts w:asciiTheme="majorHAnsi" w:hAnsiTheme="majorHAnsi" w:cstheme="majorHAnsi"/>
        </w:rPr>
        <w:t>UnDF</w:t>
      </w:r>
      <w:proofErr w:type="spellEnd"/>
      <w:r w:rsidRPr="00EA16B0">
        <w:rPr>
          <w:rFonts w:asciiTheme="majorHAnsi" w:hAnsiTheme="majorHAnsi" w:cstheme="majorHAnsi"/>
        </w:rPr>
        <w:t xml:space="preserve"> conta, atualmente, com dois cursos na área da saúde e haverá a proposta de outros, abrangendo formações que tenham importância para a região e para o país. Também haverá a ampliação da oferta de cursos na área das humanidades e de ciências sociais aplicadas, hoje apenas com a formação em gestão pública; finalmente, e não menos importante, estão sendo realizados estudos para iniciar a formação de estudantes em cursos da área de Tecnologias da Informação e Comunicação (TICs) que fecharão esse círculo de abrangência.</w:t>
      </w:r>
    </w:p>
    <w:p w14:paraId="32C0436D" w14:textId="77777777" w:rsidR="00D3608B" w:rsidRPr="00EA16B0" w:rsidRDefault="00D3608B" w:rsidP="00DF4936">
      <w:pPr>
        <w:pStyle w:val="Default"/>
        <w:spacing w:after="160" w:line="360" w:lineRule="auto"/>
        <w:ind w:firstLine="709"/>
        <w:jc w:val="both"/>
        <w:rPr>
          <w:rFonts w:asciiTheme="majorHAnsi" w:hAnsiTheme="majorHAnsi" w:cstheme="majorHAnsi"/>
        </w:rPr>
      </w:pPr>
      <w:r w:rsidRPr="00EA16B0">
        <w:rPr>
          <w:rFonts w:asciiTheme="majorHAnsi" w:hAnsiTheme="majorHAnsi" w:cstheme="majorHAnsi"/>
        </w:rPr>
        <w:lastRenderedPageBreak/>
        <w:t>Além disso, as diretrizes de atuação institucional constantes nos diferentes incisos do Art. 3.</w:t>
      </w:r>
      <w:r w:rsidRPr="00EA16B0">
        <w:rPr>
          <w:rFonts w:asciiTheme="majorHAnsi" w:hAnsiTheme="majorHAnsi" w:cstheme="majorHAnsi"/>
          <w:vertAlign w:val="superscript"/>
        </w:rPr>
        <w:t>o</w:t>
      </w:r>
      <w:r w:rsidRPr="00EA16B0">
        <w:rPr>
          <w:rFonts w:asciiTheme="majorHAnsi" w:hAnsiTheme="majorHAnsi" w:cstheme="majorHAnsi"/>
        </w:rPr>
        <w:t xml:space="preserve"> da LC 987 e salientados no quadro 2.2 mostram claramente que a organização da Universidade, descentralizada, </w:t>
      </w:r>
      <w:proofErr w:type="spellStart"/>
      <w:r w:rsidRPr="00EA16B0">
        <w:rPr>
          <w:rFonts w:asciiTheme="majorHAnsi" w:hAnsiTheme="majorHAnsi" w:cstheme="majorHAnsi"/>
        </w:rPr>
        <w:t>multicampus</w:t>
      </w:r>
      <w:proofErr w:type="spellEnd"/>
      <w:r w:rsidRPr="00EA16B0">
        <w:rPr>
          <w:rFonts w:asciiTheme="majorHAnsi" w:hAnsiTheme="majorHAnsi" w:cstheme="majorHAnsi"/>
        </w:rPr>
        <w:t xml:space="preserve"> e multiespacial permitirá que isso ocorra de forma mais eficiente, já que calcado no desenvolvimento do conhecimento científico e de valores éticos que permitirão uma integração com a sociedade, interferindo diretamente em seu desenvolvimento. A gestão democrática também viabiliza a garantia de uma pluralidade de ideias decorrente da possibilidade de expressão e da diversidade.</w:t>
      </w:r>
    </w:p>
    <w:p w14:paraId="14E787F0" w14:textId="77777777" w:rsidR="00D3608B" w:rsidRPr="00EA16B0" w:rsidRDefault="00D3608B" w:rsidP="00DF4936">
      <w:pPr>
        <w:pStyle w:val="Default"/>
        <w:spacing w:after="160" w:line="360" w:lineRule="auto"/>
        <w:ind w:firstLine="709"/>
        <w:jc w:val="both"/>
        <w:rPr>
          <w:rFonts w:asciiTheme="majorHAnsi" w:hAnsiTheme="majorHAnsi" w:cstheme="majorHAnsi"/>
          <w:szCs w:val="28"/>
        </w:rPr>
      </w:pPr>
      <w:r w:rsidRPr="00EA16B0">
        <w:rPr>
          <w:rFonts w:asciiTheme="majorHAnsi" w:hAnsiTheme="majorHAnsi" w:cstheme="majorHAnsi"/>
          <w:szCs w:val="28"/>
        </w:rPr>
        <w:t xml:space="preserve">Além dessa pluralidade formativa no que diz respeito à diversidade de cursos ofertados e de condições </w:t>
      </w:r>
      <w:proofErr w:type="spellStart"/>
      <w:r w:rsidRPr="00EA16B0">
        <w:rPr>
          <w:rFonts w:asciiTheme="majorHAnsi" w:hAnsiTheme="majorHAnsi" w:cstheme="majorHAnsi"/>
          <w:szCs w:val="28"/>
        </w:rPr>
        <w:t>infraestruturais</w:t>
      </w:r>
      <w:proofErr w:type="spellEnd"/>
      <w:r w:rsidRPr="00EA16B0">
        <w:rPr>
          <w:rFonts w:asciiTheme="majorHAnsi" w:hAnsiTheme="majorHAnsi" w:cstheme="majorHAnsi"/>
          <w:szCs w:val="28"/>
        </w:rPr>
        <w:t>, não pode ser esquecida a determinação expressa no Art. 2.</w:t>
      </w:r>
      <w:r w:rsidRPr="00EA16B0">
        <w:rPr>
          <w:rFonts w:asciiTheme="majorHAnsi" w:hAnsiTheme="majorHAnsi" w:cstheme="majorHAnsi"/>
          <w:szCs w:val="28"/>
          <w:vertAlign w:val="superscript"/>
        </w:rPr>
        <w:t>o</w:t>
      </w:r>
      <w:r w:rsidRPr="00EA16B0">
        <w:rPr>
          <w:rFonts w:asciiTheme="majorHAnsi" w:hAnsiTheme="majorHAnsi" w:cstheme="majorHAnsi"/>
          <w:szCs w:val="28"/>
        </w:rPr>
        <w:t xml:space="preserve"> que salienta a oferta de cursos com desenvolvimento presencial e a distância.</w:t>
      </w:r>
    </w:p>
    <w:p w14:paraId="1156C5C7" w14:textId="4F49E47B" w:rsidR="00D3608B" w:rsidRPr="00EA16B0" w:rsidRDefault="00D3608B" w:rsidP="00DF4936">
      <w:pPr>
        <w:pStyle w:val="Default"/>
        <w:spacing w:after="160" w:line="360" w:lineRule="auto"/>
        <w:ind w:firstLine="709"/>
        <w:jc w:val="both"/>
        <w:rPr>
          <w:rFonts w:asciiTheme="majorHAnsi" w:hAnsiTheme="majorHAnsi" w:cstheme="majorHAnsi"/>
          <w:szCs w:val="28"/>
        </w:rPr>
      </w:pPr>
      <w:r w:rsidRPr="00EA16B0">
        <w:rPr>
          <w:rFonts w:asciiTheme="majorHAnsi" w:hAnsiTheme="majorHAnsi" w:cstheme="majorHAnsi"/>
          <w:szCs w:val="28"/>
        </w:rPr>
        <w:t xml:space="preserve">Na pós-graduação, além dos cursos de especialização já ministrados, como “Interdisciplinaridade e Metodologias Ativas”, “Gestão de Saúde Pública” e “Gerontologia”, outros deverão se somar não apenas nessas áreas, mas também na área das TICs. O mesmo raciocínio deve ser aplicado à pós-graduação </w:t>
      </w:r>
      <w:r w:rsidRPr="00EA16B0">
        <w:rPr>
          <w:rFonts w:asciiTheme="majorHAnsi" w:hAnsiTheme="majorHAnsi" w:cstheme="majorHAnsi"/>
          <w:i/>
          <w:iCs/>
          <w:szCs w:val="28"/>
        </w:rPr>
        <w:t>stricto sensu</w:t>
      </w:r>
      <w:r w:rsidRPr="00EA16B0">
        <w:rPr>
          <w:rFonts w:asciiTheme="majorHAnsi" w:hAnsiTheme="majorHAnsi" w:cstheme="majorHAnsi"/>
          <w:szCs w:val="28"/>
        </w:rPr>
        <w:t>, como será discutido em item específico.</w:t>
      </w:r>
    </w:p>
    <w:p w14:paraId="60CF2669" w14:textId="77777777" w:rsidR="00DF4936" w:rsidRPr="00EA16B0" w:rsidRDefault="00DF4936" w:rsidP="00D3608B">
      <w:pPr>
        <w:pStyle w:val="Default"/>
        <w:spacing w:after="160"/>
        <w:jc w:val="both"/>
        <w:rPr>
          <w:rFonts w:asciiTheme="majorHAnsi" w:hAnsiTheme="majorHAnsi" w:cstheme="majorHAnsi"/>
          <w:sz w:val="22"/>
        </w:rPr>
      </w:pPr>
    </w:p>
    <w:p w14:paraId="48EE10A0" w14:textId="767F6FD2" w:rsidR="00D3608B" w:rsidRPr="00EA16B0" w:rsidRDefault="00D3608B" w:rsidP="003A7871">
      <w:pPr>
        <w:pStyle w:val="Ttulo2"/>
        <w:numPr>
          <w:ilvl w:val="1"/>
          <w:numId w:val="1"/>
        </w:numPr>
        <w:tabs>
          <w:tab w:val="clear" w:pos="1615"/>
        </w:tabs>
        <w:spacing w:before="0" w:after="0" w:line="360" w:lineRule="auto"/>
        <w:ind w:left="993" w:hanging="576"/>
        <w:rPr>
          <w:rFonts w:asciiTheme="majorHAnsi" w:hAnsiTheme="majorHAnsi" w:cstheme="majorHAnsi"/>
        </w:rPr>
      </w:pPr>
      <w:bookmarkStart w:id="51" w:name="_Toc102319380"/>
      <w:r w:rsidRPr="00EA16B0">
        <w:rPr>
          <w:rFonts w:asciiTheme="majorHAnsi" w:hAnsiTheme="majorHAnsi" w:cstheme="majorHAnsi"/>
        </w:rPr>
        <w:t>EMPREENDEDORISMO E INOVAÇÃO</w:t>
      </w:r>
      <w:bookmarkEnd w:id="51"/>
    </w:p>
    <w:p w14:paraId="70009FD7" w14:textId="77777777" w:rsidR="00D3608B" w:rsidRPr="00EA16B0" w:rsidRDefault="00D3608B" w:rsidP="00DF4936">
      <w:pPr>
        <w:tabs>
          <w:tab w:val="clear" w:pos="1615"/>
        </w:tabs>
        <w:autoSpaceDE w:val="0"/>
        <w:autoSpaceDN w:val="0"/>
        <w:adjustRightInd w:val="0"/>
        <w:spacing w:line="360" w:lineRule="auto"/>
        <w:ind w:right="-1" w:firstLine="709"/>
        <w:jc w:val="both"/>
        <w:rPr>
          <w:rFonts w:asciiTheme="majorHAnsi" w:hAnsiTheme="majorHAnsi" w:cstheme="majorHAnsi"/>
          <w:sz w:val="24"/>
        </w:rPr>
      </w:pPr>
      <w:r w:rsidRPr="00EA16B0">
        <w:rPr>
          <w:rFonts w:asciiTheme="majorHAnsi" w:hAnsiTheme="majorHAnsi" w:cstheme="majorHAnsi"/>
          <w:sz w:val="24"/>
        </w:rPr>
        <w:t xml:space="preserve">Outra característica que denota um diferencial formativo está relacionada com a ideia de uma atuação da Universidade engajada com os avanços tecnológicos e em sintonia com a sociedade e com a melhoria de suas condições de vida. Essas ações também estão contempladas em diferentes momentos, como já salientado </w:t>
      </w:r>
      <w:r w:rsidRPr="00EA16B0">
        <w:rPr>
          <w:rFonts w:asciiTheme="majorHAnsi" w:hAnsiTheme="majorHAnsi" w:cstheme="majorHAnsi"/>
          <w:spacing w:val="-2"/>
          <w:sz w:val="24"/>
        </w:rPr>
        <w:t>no quadro 2.2, o que é facilitado pela oferta de cursos na área das Tecnologias de Informação e Comunicação.</w:t>
      </w:r>
    </w:p>
    <w:p w14:paraId="6300F383" w14:textId="4A1129CF" w:rsidR="00D3608B" w:rsidRPr="00EA16B0" w:rsidRDefault="00D3608B" w:rsidP="00DF4936">
      <w:pPr>
        <w:tabs>
          <w:tab w:val="clear" w:pos="1615"/>
        </w:tabs>
        <w:autoSpaceDE w:val="0"/>
        <w:autoSpaceDN w:val="0"/>
        <w:adjustRightInd w:val="0"/>
        <w:spacing w:line="360" w:lineRule="auto"/>
        <w:ind w:right="-1" w:firstLine="709"/>
        <w:jc w:val="both"/>
        <w:rPr>
          <w:rFonts w:asciiTheme="majorHAnsi" w:hAnsiTheme="majorHAnsi" w:cstheme="majorHAnsi"/>
          <w:sz w:val="24"/>
        </w:rPr>
      </w:pPr>
      <w:r w:rsidRPr="00EA16B0">
        <w:rPr>
          <w:rFonts w:asciiTheme="majorHAnsi" w:hAnsiTheme="majorHAnsi" w:cstheme="majorHAnsi"/>
          <w:sz w:val="24"/>
        </w:rPr>
        <w:t xml:space="preserve">Espera-se, entretanto, que a cultura do empreendedorismo e da inovação permeie todos os cursos e ações desenvolvidas pela Instituição, já que eles reúnem ações voltadas para um ensino cuja significação remete a ações voltadas ao desenvolvimento social e à pesquisa, possibilitando que a </w:t>
      </w:r>
      <w:proofErr w:type="spellStart"/>
      <w:r w:rsidRPr="00EA16B0">
        <w:rPr>
          <w:rFonts w:asciiTheme="majorHAnsi" w:hAnsiTheme="majorHAnsi" w:cstheme="majorHAnsi"/>
          <w:sz w:val="24"/>
        </w:rPr>
        <w:t>UnDF</w:t>
      </w:r>
      <w:proofErr w:type="spellEnd"/>
      <w:r w:rsidRPr="00EA16B0">
        <w:rPr>
          <w:rFonts w:asciiTheme="majorHAnsi" w:hAnsiTheme="majorHAnsi" w:cstheme="majorHAnsi"/>
          <w:sz w:val="24"/>
        </w:rPr>
        <w:t xml:space="preserve"> seja uma I</w:t>
      </w:r>
      <w:r w:rsidRPr="00EA16B0">
        <w:rPr>
          <w:rFonts w:asciiTheme="majorHAnsi" w:hAnsiTheme="majorHAnsi" w:cstheme="majorHAnsi"/>
          <w:color w:val="000000"/>
          <w:sz w:val="24"/>
          <w:szCs w:val="24"/>
        </w:rPr>
        <w:t>nstituição Científica, Tecnológica e de Inovação (</w:t>
      </w:r>
      <w:r w:rsidRPr="00EA16B0">
        <w:rPr>
          <w:rFonts w:asciiTheme="majorHAnsi" w:hAnsiTheme="majorHAnsi" w:cstheme="majorHAnsi"/>
          <w:sz w:val="24"/>
        </w:rPr>
        <w:t>ICT), nos termos estabelecidos pela legislação, e que possa abrigar incubadoras de empresas e realizar a deposição de patentes que constituam seu patrimônio científico-tecnológico e levem ao desenvolvimento tecnológico do país (BRASIL, 2004b; 2018).</w:t>
      </w:r>
    </w:p>
    <w:p w14:paraId="0F7DCB4F" w14:textId="77777777" w:rsidR="00DF4936" w:rsidRPr="00EA16B0" w:rsidRDefault="00DF4936" w:rsidP="00D3608B">
      <w:pPr>
        <w:tabs>
          <w:tab w:val="clear" w:pos="1615"/>
        </w:tabs>
        <w:autoSpaceDE w:val="0"/>
        <w:autoSpaceDN w:val="0"/>
        <w:adjustRightInd w:val="0"/>
        <w:ind w:right="-1" w:firstLine="578"/>
        <w:jc w:val="both"/>
        <w:rPr>
          <w:rFonts w:asciiTheme="majorHAnsi" w:hAnsiTheme="majorHAnsi" w:cstheme="majorHAnsi"/>
          <w:szCs w:val="21"/>
        </w:rPr>
      </w:pPr>
    </w:p>
    <w:p w14:paraId="368AE4E6" w14:textId="70C0B50F" w:rsidR="00D3608B" w:rsidRPr="00EA16B0" w:rsidRDefault="00D3608B" w:rsidP="003A7871">
      <w:pPr>
        <w:pStyle w:val="Ttulo2"/>
        <w:numPr>
          <w:ilvl w:val="1"/>
          <w:numId w:val="1"/>
        </w:numPr>
        <w:tabs>
          <w:tab w:val="clear" w:pos="1615"/>
        </w:tabs>
        <w:spacing w:before="0" w:after="0" w:line="360" w:lineRule="auto"/>
        <w:ind w:left="993" w:hanging="576"/>
        <w:rPr>
          <w:rFonts w:asciiTheme="majorHAnsi" w:hAnsiTheme="majorHAnsi" w:cstheme="majorHAnsi"/>
        </w:rPr>
      </w:pPr>
      <w:bookmarkStart w:id="52" w:name="_Toc102319381"/>
      <w:r w:rsidRPr="00EA16B0">
        <w:rPr>
          <w:rFonts w:asciiTheme="majorHAnsi" w:hAnsiTheme="majorHAnsi" w:cstheme="majorHAnsi"/>
        </w:rPr>
        <w:lastRenderedPageBreak/>
        <w:t>ORGANIZAÇÃO CURRICULAR</w:t>
      </w:r>
      <w:bookmarkEnd w:id="52"/>
    </w:p>
    <w:p w14:paraId="097C0C26" w14:textId="77777777" w:rsidR="00D3608B" w:rsidRPr="00EA16B0" w:rsidRDefault="00D3608B" w:rsidP="00DF4936">
      <w:pPr>
        <w:spacing w:line="360" w:lineRule="auto"/>
        <w:ind w:firstLine="709"/>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color w:val="000000"/>
          <w:sz w:val="24"/>
          <w:lang w:eastAsia="pt-BR"/>
        </w:rPr>
        <w:t xml:space="preserve">A organização curricular foi proposta no relatório entregue ao CEBRASPE por </w:t>
      </w:r>
      <w:proofErr w:type="spellStart"/>
      <w:r w:rsidRPr="00EA16B0">
        <w:rPr>
          <w:rFonts w:asciiTheme="majorHAnsi" w:eastAsia="Times New Roman" w:hAnsiTheme="majorHAnsi" w:cstheme="majorHAnsi"/>
          <w:color w:val="000000"/>
          <w:sz w:val="24"/>
          <w:lang w:eastAsia="pt-BR"/>
        </w:rPr>
        <w:t>Cortelazzo</w:t>
      </w:r>
      <w:proofErr w:type="spellEnd"/>
      <w:r w:rsidRPr="00EA16B0">
        <w:rPr>
          <w:rFonts w:asciiTheme="majorHAnsi" w:eastAsia="Times New Roman" w:hAnsiTheme="majorHAnsi" w:cstheme="majorHAnsi"/>
          <w:color w:val="000000"/>
          <w:sz w:val="24"/>
          <w:lang w:eastAsia="pt-BR"/>
        </w:rPr>
        <w:t xml:space="preserve"> (CEBRASPE, 2022a) e está concebida de forma a atender as diretrizes de atuação expressas na Lei de Criação, em especial os incisos IV e V salientados na figura 2.1, mas também o inciso VII que ratifica os preceitos constitucionais e o IX e X que tratam de aspectos ligados à formação voltada para a melhoria das condições de vida da sociedade e para o desenvolvimento de pesquisas na formação dos recursos humanos.</w:t>
      </w:r>
    </w:p>
    <w:p w14:paraId="76EAB0F1" w14:textId="77777777" w:rsidR="00D3608B" w:rsidRPr="00EA16B0" w:rsidRDefault="00D3608B" w:rsidP="00DF4936">
      <w:pPr>
        <w:spacing w:line="360" w:lineRule="auto"/>
        <w:ind w:firstLine="709"/>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color w:val="000000"/>
          <w:sz w:val="24"/>
          <w:lang w:eastAsia="pt-BR"/>
        </w:rPr>
        <w:t xml:space="preserve">Na organização curricular proposta, o desenvolvimento de projetos integradores ao longo de todo o curso, como metodologia ativa presente na estrutura dos cursos e, portanto, no projeto pedagógico institucional, leva à indissociabilidade entre o ensino, pesquisa e extensão, já que o ensino se desenvolve a partir de ações de pesquisa e estas são, em grande parte dos casos e em função da escolha de sua temática, voltadas à comunidade local, regional ou nacional, realizando a extensão de forma efetiva e não apenas voltada para o </w:t>
      </w:r>
      <w:r w:rsidRPr="00EA16B0">
        <w:rPr>
          <w:rFonts w:asciiTheme="majorHAnsi" w:eastAsia="Times New Roman" w:hAnsiTheme="majorHAnsi" w:cstheme="majorHAnsi"/>
          <w:color w:val="000000"/>
          <w:spacing w:val="-4"/>
          <w:sz w:val="24"/>
          <w:lang w:eastAsia="pt-BR"/>
        </w:rPr>
        <w:t>assistencialismo típico de ações dessa natureza. Uma organização curricular alicerçada em projetos leva, ainda</w:t>
      </w:r>
      <w:r w:rsidRPr="00EA16B0">
        <w:rPr>
          <w:rFonts w:asciiTheme="majorHAnsi" w:eastAsia="Times New Roman" w:hAnsiTheme="majorHAnsi" w:cstheme="majorHAnsi"/>
          <w:color w:val="000000"/>
          <w:sz w:val="24"/>
          <w:lang w:eastAsia="pt-BR"/>
        </w:rPr>
        <w:t xml:space="preserve">, ao desenvolvimento e à utilização de outras metodologias ativas de aprendizagem e, com isso, ao protagonismo </w:t>
      </w:r>
      <w:r w:rsidRPr="00EA16B0">
        <w:rPr>
          <w:rFonts w:asciiTheme="majorHAnsi" w:eastAsia="Times New Roman" w:hAnsiTheme="majorHAnsi" w:cstheme="majorHAnsi"/>
          <w:color w:val="000000"/>
          <w:spacing w:val="-4"/>
          <w:sz w:val="24"/>
          <w:lang w:eastAsia="pt-BR"/>
        </w:rPr>
        <w:t>do aluno em seu próprio desenvolvimento, levando-o ao amadurecimento e à apropriação de outras competências</w:t>
      </w:r>
      <w:r w:rsidRPr="00EA16B0">
        <w:rPr>
          <w:rFonts w:asciiTheme="majorHAnsi" w:eastAsia="Times New Roman" w:hAnsiTheme="majorHAnsi" w:cstheme="majorHAnsi"/>
          <w:color w:val="000000"/>
          <w:sz w:val="24"/>
          <w:lang w:eastAsia="pt-BR"/>
        </w:rPr>
        <w:t xml:space="preserve"> socioemocionais que lhe serão de extrema valia para futura inserção social e no mundo do trabalho.</w:t>
      </w:r>
    </w:p>
    <w:p w14:paraId="24931506" w14:textId="77777777" w:rsidR="00D3608B" w:rsidRPr="00EA16B0" w:rsidRDefault="00D3608B" w:rsidP="00DF4936">
      <w:pPr>
        <w:spacing w:line="360" w:lineRule="auto"/>
        <w:ind w:firstLine="709"/>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color w:val="000000"/>
          <w:sz w:val="24"/>
          <w:lang w:eastAsia="pt-BR"/>
        </w:rPr>
        <w:t xml:space="preserve">Detalhamento da proposta de organização curricular e do uso de metodologias ativas de aprendizagem pode ser encontrado nos capítulos 3 e 4 do trabalho de </w:t>
      </w:r>
      <w:proofErr w:type="spellStart"/>
      <w:r w:rsidRPr="00EA16B0">
        <w:rPr>
          <w:rFonts w:asciiTheme="majorHAnsi" w:eastAsia="Times New Roman" w:hAnsiTheme="majorHAnsi" w:cstheme="majorHAnsi"/>
          <w:color w:val="000000"/>
          <w:sz w:val="24"/>
          <w:lang w:eastAsia="pt-BR"/>
        </w:rPr>
        <w:t>Cortelazzo</w:t>
      </w:r>
      <w:proofErr w:type="spellEnd"/>
      <w:r w:rsidRPr="00EA16B0">
        <w:rPr>
          <w:rFonts w:asciiTheme="majorHAnsi" w:eastAsia="Times New Roman" w:hAnsiTheme="majorHAnsi" w:cstheme="majorHAnsi"/>
          <w:color w:val="000000"/>
          <w:sz w:val="24"/>
          <w:lang w:eastAsia="pt-BR"/>
        </w:rPr>
        <w:t xml:space="preserve"> (CEBRASPE, 2022ª). No relatório, também são fornecidos dados sobre o ingresso, sobre a permanência e sobre a integralização dos cursos que, enquanto atividades ligadas ao ensino, terão algumas políticas e ações detalhadas no próximo capítulo. </w:t>
      </w:r>
    </w:p>
    <w:p w14:paraId="399A4A3E" w14:textId="67ED58C2" w:rsidR="00D3608B" w:rsidRPr="00EA16B0" w:rsidRDefault="00D3608B" w:rsidP="00DF4936">
      <w:pPr>
        <w:spacing w:line="360" w:lineRule="auto"/>
        <w:ind w:firstLine="709"/>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color w:val="000000"/>
          <w:sz w:val="24"/>
          <w:lang w:eastAsia="pt-BR"/>
        </w:rPr>
        <w:t xml:space="preserve">Para uma melhor compreensão desse entendimento, a figura 2.2 a seguir faz um esquema que poderia ser a base para a oferta de educação superior na </w:t>
      </w:r>
      <w:proofErr w:type="spellStart"/>
      <w:r w:rsidRPr="00EA16B0">
        <w:rPr>
          <w:rFonts w:asciiTheme="majorHAnsi" w:eastAsia="Times New Roman" w:hAnsiTheme="majorHAnsi" w:cstheme="majorHAnsi"/>
          <w:color w:val="000000"/>
          <w:sz w:val="24"/>
          <w:lang w:eastAsia="pt-BR"/>
        </w:rPr>
        <w:t>UnDF</w:t>
      </w:r>
      <w:proofErr w:type="spellEnd"/>
      <w:r w:rsidRPr="00EA16B0">
        <w:rPr>
          <w:rFonts w:asciiTheme="majorHAnsi" w:eastAsia="Times New Roman" w:hAnsiTheme="majorHAnsi" w:cstheme="majorHAnsi"/>
          <w:color w:val="000000"/>
          <w:sz w:val="24"/>
          <w:lang w:eastAsia="pt-BR"/>
        </w:rPr>
        <w:t xml:space="preserve">, desenvolvido em diferentes graus de presencialidade conforme será tratado no produto que vai discorrer sobre </w:t>
      </w:r>
      <w:proofErr w:type="spellStart"/>
      <w:r w:rsidRPr="00EA16B0">
        <w:rPr>
          <w:rFonts w:asciiTheme="majorHAnsi" w:eastAsia="Times New Roman" w:hAnsiTheme="majorHAnsi" w:cstheme="majorHAnsi"/>
          <w:color w:val="000000"/>
          <w:sz w:val="24"/>
          <w:lang w:eastAsia="pt-BR"/>
        </w:rPr>
        <w:t>EaD</w:t>
      </w:r>
      <w:proofErr w:type="spellEnd"/>
      <w:r w:rsidRPr="00EA16B0">
        <w:rPr>
          <w:rFonts w:asciiTheme="majorHAnsi" w:eastAsia="Times New Roman" w:hAnsiTheme="majorHAnsi" w:cstheme="majorHAnsi"/>
          <w:color w:val="000000"/>
          <w:sz w:val="24"/>
          <w:lang w:eastAsia="pt-BR"/>
        </w:rPr>
        <w:t xml:space="preserve"> e que está em preparação.</w:t>
      </w:r>
    </w:p>
    <w:p w14:paraId="1772FA1F" w14:textId="4DA07966" w:rsidR="00DF4936" w:rsidRPr="00EA16B0" w:rsidRDefault="00DF4936" w:rsidP="00D3608B">
      <w:pPr>
        <w:jc w:val="both"/>
        <w:rPr>
          <w:rFonts w:asciiTheme="majorHAnsi" w:eastAsia="Times New Roman" w:hAnsiTheme="majorHAnsi" w:cstheme="majorHAnsi"/>
          <w:color w:val="000000"/>
          <w:szCs w:val="21"/>
          <w:lang w:eastAsia="pt-BR"/>
        </w:rPr>
      </w:pPr>
    </w:p>
    <w:p w14:paraId="205E1799" w14:textId="54BBFE61" w:rsidR="00DF4936" w:rsidRPr="00EA16B0" w:rsidRDefault="00DF4936" w:rsidP="00D3608B">
      <w:pPr>
        <w:jc w:val="both"/>
        <w:rPr>
          <w:rFonts w:asciiTheme="majorHAnsi" w:eastAsia="Times New Roman" w:hAnsiTheme="majorHAnsi" w:cstheme="majorHAnsi"/>
          <w:color w:val="000000"/>
          <w:szCs w:val="21"/>
          <w:lang w:eastAsia="pt-BR"/>
        </w:rPr>
      </w:pPr>
    </w:p>
    <w:p w14:paraId="4B1AB91D" w14:textId="77777777" w:rsidR="00DF4936" w:rsidRPr="00EA16B0" w:rsidRDefault="00DF4936" w:rsidP="00D3608B">
      <w:pPr>
        <w:jc w:val="both"/>
        <w:rPr>
          <w:rFonts w:asciiTheme="majorHAnsi" w:eastAsia="Times New Roman" w:hAnsiTheme="majorHAnsi" w:cstheme="majorHAnsi"/>
          <w:color w:val="000000"/>
          <w:szCs w:val="21"/>
          <w:lang w:eastAsia="pt-BR"/>
        </w:rPr>
      </w:pPr>
    </w:p>
    <w:p w14:paraId="6F1EF5CD" w14:textId="77777777" w:rsidR="00D3608B" w:rsidRPr="00EA16B0" w:rsidRDefault="00D3608B" w:rsidP="00D3608B">
      <w:pPr>
        <w:jc w:val="both"/>
        <w:rPr>
          <w:rFonts w:asciiTheme="majorHAnsi" w:eastAsia="Times New Roman" w:hAnsiTheme="majorHAnsi" w:cstheme="majorHAnsi"/>
          <w:color w:val="000000"/>
          <w:sz w:val="20"/>
          <w:szCs w:val="21"/>
          <w:lang w:eastAsia="pt-BR"/>
        </w:rPr>
      </w:pPr>
      <w:r w:rsidRPr="00EA16B0">
        <w:rPr>
          <w:rFonts w:asciiTheme="majorHAnsi" w:eastAsia="Times New Roman" w:hAnsiTheme="majorHAnsi" w:cstheme="majorHAnsi"/>
          <w:color w:val="000000"/>
          <w:sz w:val="20"/>
          <w:szCs w:val="21"/>
          <w:lang w:eastAsia="pt-BR"/>
        </w:rPr>
        <w:lastRenderedPageBreak/>
        <w:t xml:space="preserve">Figura 2.2. Esquema para ingresso e desenvolvimento da educação superior na </w:t>
      </w:r>
      <w:proofErr w:type="spellStart"/>
      <w:r w:rsidRPr="00EA16B0">
        <w:rPr>
          <w:rFonts w:asciiTheme="majorHAnsi" w:eastAsia="Times New Roman" w:hAnsiTheme="majorHAnsi" w:cstheme="majorHAnsi"/>
          <w:color w:val="000000"/>
          <w:sz w:val="20"/>
          <w:szCs w:val="21"/>
          <w:lang w:eastAsia="pt-BR"/>
        </w:rPr>
        <w:t>UnDF</w:t>
      </w:r>
      <w:proofErr w:type="spellEnd"/>
    </w:p>
    <w:p w14:paraId="11C8AC0B" w14:textId="77777777" w:rsidR="00D3608B" w:rsidRPr="00EA16B0" w:rsidRDefault="00D3608B" w:rsidP="00D3608B">
      <w:pPr>
        <w:spacing w:after="0"/>
        <w:jc w:val="both"/>
        <w:rPr>
          <w:rFonts w:asciiTheme="majorHAnsi" w:eastAsia="Times New Roman" w:hAnsiTheme="majorHAnsi" w:cstheme="majorHAnsi"/>
          <w:color w:val="000000"/>
          <w:szCs w:val="21"/>
          <w:lang w:eastAsia="pt-BR"/>
        </w:rPr>
      </w:pPr>
      <w:r w:rsidRPr="00EA16B0">
        <w:rPr>
          <w:rFonts w:asciiTheme="majorHAnsi" w:hAnsiTheme="majorHAnsi" w:cstheme="majorHAnsi"/>
          <w:noProof/>
          <w:lang w:eastAsia="pt-BR"/>
        </w:rPr>
        <w:drawing>
          <wp:inline distT="0" distB="0" distL="0" distR="0" wp14:anchorId="0CD7A529" wp14:editId="47E7CB2B">
            <wp:extent cx="6120130" cy="3436022"/>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3436022"/>
                    </a:xfrm>
                    <a:prstGeom prst="rect">
                      <a:avLst/>
                    </a:prstGeom>
                    <a:noFill/>
                    <a:ln>
                      <a:noFill/>
                    </a:ln>
                  </pic:spPr>
                </pic:pic>
              </a:graphicData>
            </a:graphic>
          </wp:inline>
        </w:drawing>
      </w:r>
    </w:p>
    <w:p w14:paraId="5A7CCB21" w14:textId="484D2430" w:rsidR="00D3608B" w:rsidRPr="00EA16B0" w:rsidRDefault="00D3608B" w:rsidP="00D3608B">
      <w:pPr>
        <w:jc w:val="both"/>
        <w:rPr>
          <w:rFonts w:asciiTheme="majorHAnsi" w:eastAsia="Times New Roman" w:hAnsiTheme="majorHAnsi" w:cstheme="majorHAnsi"/>
          <w:color w:val="000000"/>
          <w:sz w:val="18"/>
          <w:szCs w:val="21"/>
          <w:lang w:eastAsia="pt-BR"/>
        </w:rPr>
      </w:pPr>
      <w:r w:rsidRPr="00EA16B0">
        <w:rPr>
          <w:rFonts w:asciiTheme="majorHAnsi" w:eastAsia="Times New Roman" w:hAnsiTheme="majorHAnsi" w:cstheme="majorHAnsi"/>
          <w:color w:val="000000"/>
          <w:sz w:val="18"/>
          <w:szCs w:val="21"/>
          <w:lang w:eastAsia="pt-BR"/>
        </w:rPr>
        <w:t xml:space="preserve">Fonte: Elaborado pelo autor em 2022, para ilustrar algumas possibilidades da formação na </w:t>
      </w:r>
      <w:proofErr w:type="spellStart"/>
      <w:r w:rsidRPr="00EA16B0">
        <w:rPr>
          <w:rFonts w:asciiTheme="majorHAnsi" w:eastAsia="Times New Roman" w:hAnsiTheme="majorHAnsi" w:cstheme="majorHAnsi"/>
          <w:color w:val="000000"/>
          <w:sz w:val="18"/>
          <w:szCs w:val="21"/>
          <w:lang w:eastAsia="pt-BR"/>
        </w:rPr>
        <w:t>UnDF</w:t>
      </w:r>
      <w:proofErr w:type="spellEnd"/>
      <w:r w:rsidRPr="00EA16B0">
        <w:rPr>
          <w:rFonts w:asciiTheme="majorHAnsi" w:eastAsia="Times New Roman" w:hAnsiTheme="majorHAnsi" w:cstheme="majorHAnsi"/>
          <w:color w:val="000000"/>
          <w:sz w:val="18"/>
          <w:szCs w:val="21"/>
          <w:lang w:eastAsia="pt-BR"/>
        </w:rPr>
        <w:t>.</w:t>
      </w:r>
    </w:p>
    <w:p w14:paraId="52721C34" w14:textId="77777777" w:rsidR="00DF4936" w:rsidRPr="00EA16B0" w:rsidRDefault="00DF4936" w:rsidP="00D3608B">
      <w:pPr>
        <w:jc w:val="both"/>
        <w:rPr>
          <w:rFonts w:asciiTheme="majorHAnsi" w:eastAsia="Times New Roman" w:hAnsiTheme="majorHAnsi" w:cstheme="majorHAnsi"/>
          <w:color w:val="000000"/>
          <w:sz w:val="18"/>
          <w:szCs w:val="21"/>
          <w:lang w:eastAsia="pt-BR"/>
        </w:rPr>
      </w:pPr>
    </w:p>
    <w:p w14:paraId="0089A67B" w14:textId="77777777" w:rsidR="00D3608B" w:rsidRPr="00EA16B0" w:rsidRDefault="00D3608B" w:rsidP="00DF4936">
      <w:pPr>
        <w:spacing w:line="360" w:lineRule="auto"/>
        <w:ind w:firstLine="709"/>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color w:val="000000"/>
          <w:sz w:val="24"/>
          <w:lang w:eastAsia="pt-BR"/>
        </w:rPr>
        <w:t>As possibilidades mostradas merecem alguns esclarecimentos e reflexões:</w:t>
      </w:r>
    </w:p>
    <w:p w14:paraId="3BC468F8" w14:textId="77777777" w:rsidR="00D3608B" w:rsidRPr="00EA16B0" w:rsidRDefault="00D3608B" w:rsidP="003A7871">
      <w:pPr>
        <w:pStyle w:val="PargrafodaLista"/>
        <w:numPr>
          <w:ilvl w:val="0"/>
          <w:numId w:val="8"/>
        </w:numPr>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b/>
          <w:color w:val="000000"/>
          <w:sz w:val="24"/>
          <w:lang w:eastAsia="pt-BR"/>
        </w:rPr>
        <w:t>Ingresso:</w:t>
      </w:r>
      <w:r w:rsidRPr="00EA16B0">
        <w:rPr>
          <w:rFonts w:asciiTheme="majorHAnsi" w:eastAsia="Times New Roman" w:hAnsiTheme="majorHAnsi" w:cstheme="majorHAnsi"/>
          <w:color w:val="000000"/>
          <w:sz w:val="24"/>
          <w:lang w:eastAsia="pt-BR"/>
        </w:rPr>
        <w:t xml:space="preserve"> pode ser comum e levar a um elenco de disciplinas que tenham a duração de um semestre (ou até menos), mas pode ser maior que isso. Vai depender das atividades curriculares consideradas comuns a todas as formações, dependendo do projeto pedagógico elaborado para cada tipo de formação. Pode também ser comum apenas para a área das licenciaturas e para bacharelados e cursos superiores de tecnologia. Aqui poderiam ser incluídas atividades ligadas à ética, cidadania, organização do estado brasileiro, desenvolvimento tecnológico, sustentabilidade etc.</w:t>
      </w:r>
    </w:p>
    <w:p w14:paraId="78FBB2FB" w14:textId="77777777" w:rsidR="00D3608B" w:rsidRPr="00EA16B0" w:rsidRDefault="00D3608B" w:rsidP="00D3608B">
      <w:pPr>
        <w:ind w:left="709"/>
        <w:jc w:val="both"/>
        <w:rPr>
          <w:rFonts w:asciiTheme="majorHAnsi" w:eastAsia="Times New Roman" w:hAnsiTheme="majorHAnsi" w:cstheme="majorHAnsi"/>
          <w:b/>
          <w:color w:val="000000"/>
          <w:sz w:val="24"/>
          <w:lang w:eastAsia="pt-BR"/>
        </w:rPr>
      </w:pPr>
      <w:r w:rsidRPr="00EA16B0">
        <w:rPr>
          <w:rFonts w:asciiTheme="majorHAnsi" w:eastAsia="Times New Roman" w:hAnsiTheme="majorHAnsi" w:cstheme="majorHAnsi"/>
          <w:b/>
          <w:color w:val="000000"/>
          <w:sz w:val="24"/>
          <w:lang w:eastAsia="pt-BR"/>
        </w:rPr>
        <w:t xml:space="preserve">Ano 1 e ano 2: </w:t>
      </w:r>
    </w:p>
    <w:p w14:paraId="6B0E3806" w14:textId="77777777" w:rsidR="00D3608B" w:rsidRPr="00EA16B0" w:rsidRDefault="00D3608B" w:rsidP="003A7871">
      <w:pPr>
        <w:pStyle w:val="PargrafodaLista"/>
        <w:numPr>
          <w:ilvl w:val="0"/>
          <w:numId w:val="8"/>
        </w:numPr>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b/>
          <w:color w:val="000000"/>
          <w:sz w:val="24"/>
          <w:lang w:eastAsia="pt-BR"/>
        </w:rPr>
        <w:t xml:space="preserve">Formação de professores: </w:t>
      </w:r>
      <w:r w:rsidRPr="00EA16B0">
        <w:rPr>
          <w:rFonts w:asciiTheme="majorHAnsi" w:eastAsia="Times New Roman" w:hAnsiTheme="majorHAnsi" w:cstheme="majorHAnsi"/>
          <w:color w:val="000000"/>
          <w:sz w:val="24"/>
          <w:lang w:eastAsia="pt-BR"/>
        </w:rPr>
        <w:t>para as licenciaturas, podem ser desenvolvidas atividades voltadas à formação pedagógica. Aqui poderiam ser desenvolvidas formações para a primeira licenciatura ou para a formação pedagógica complementar para bacharéis e tecnólogos. Abrangeria áreas ligadas à psicologia e à cognição, à organização da educação nacional, às políticas de estado para a educação etc.</w:t>
      </w:r>
    </w:p>
    <w:p w14:paraId="1B882D4D" w14:textId="77777777" w:rsidR="00D3608B" w:rsidRPr="00EA16B0" w:rsidRDefault="00D3608B" w:rsidP="003A7871">
      <w:pPr>
        <w:pStyle w:val="PargrafodaLista"/>
        <w:numPr>
          <w:ilvl w:val="0"/>
          <w:numId w:val="8"/>
        </w:numPr>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b/>
          <w:color w:val="000000"/>
          <w:sz w:val="24"/>
          <w:lang w:eastAsia="pt-BR"/>
        </w:rPr>
        <w:t xml:space="preserve">Bacharelados e cursos superiores de tecnologia: </w:t>
      </w:r>
      <w:r w:rsidRPr="00EA16B0">
        <w:rPr>
          <w:rFonts w:asciiTheme="majorHAnsi" w:eastAsia="Times New Roman" w:hAnsiTheme="majorHAnsi" w:cstheme="majorHAnsi"/>
          <w:color w:val="000000"/>
          <w:sz w:val="24"/>
          <w:lang w:eastAsia="pt-BR"/>
        </w:rPr>
        <w:t>para essas formações, poderiam ser realizadas formações voltadas para áreas mais delimitadas, como Matemática e Tecnologia; Saúde; Ciências Físicas e Naturais; Ciências Humanas etc.</w:t>
      </w:r>
    </w:p>
    <w:p w14:paraId="523EA4D5" w14:textId="77777777" w:rsidR="00D3608B" w:rsidRPr="00EA16B0" w:rsidRDefault="00D3608B" w:rsidP="00D3608B">
      <w:pPr>
        <w:ind w:left="709"/>
        <w:jc w:val="both"/>
        <w:rPr>
          <w:rFonts w:asciiTheme="majorHAnsi" w:eastAsia="Times New Roman" w:hAnsiTheme="majorHAnsi" w:cstheme="majorHAnsi"/>
          <w:b/>
          <w:color w:val="000000"/>
          <w:sz w:val="24"/>
          <w:lang w:eastAsia="pt-BR"/>
        </w:rPr>
      </w:pPr>
      <w:r w:rsidRPr="00EA16B0">
        <w:rPr>
          <w:rFonts w:asciiTheme="majorHAnsi" w:eastAsia="Times New Roman" w:hAnsiTheme="majorHAnsi" w:cstheme="majorHAnsi"/>
          <w:b/>
          <w:color w:val="000000"/>
          <w:sz w:val="24"/>
          <w:lang w:eastAsia="pt-BR"/>
        </w:rPr>
        <w:t>Ano 3:</w:t>
      </w:r>
    </w:p>
    <w:p w14:paraId="4846729E" w14:textId="77777777" w:rsidR="00D3608B" w:rsidRPr="00EA16B0" w:rsidRDefault="00D3608B" w:rsidP="003A7871">
      <w:pPr>
        <w:pStyle w:val="PargrafodaLista"/>
        <w:numPr>
          <w:ilvl w:val="0"/>
          <w:numId w:val="9"/>
        </w:numPr>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b/>
          <w:color w:val="000000"/>
          <w:sz w:val="24"/>
          <w:lang w:eastAsia="pt-BR"/>
        </w:rPr>
        <w:t xml:space="preserve">Licenciatura interdisciplinar: </w:t>
      </w:r>
      <w:r w:rsidRPr="00EA16B0">
        <w:rPr>
          <w:rFonts w:asciiTheme="majorHAnsi" w:eastAsia="Times New Roman" w:hAnsiTheme="majorHAnsi" w:cstheme="majorHAnsi"/>
          <w:color w:val="000000"/>
          <w:sz w:val="24"/>
          <w:lang w:eastAsia="pt-BR"/>
        </w:rPr>
        <w:t>seriam definidas as áreas a serem consideradas interdisciplinares. Por exemplo: Linguagens (ou Letras e Artes), Ciências Físicas e Biológicas, Ciências Sociais (ou Ciências Humanas Aplicadas e Pedagógicas), Matemática etc.</w:t>
      </w:r>
    </w:p>
    <w:p w14:paraId="51A7FF2C" w14:textId="77777777" w:rsidR="00D3608B" w:rsidRPr="00EA16B0" w:rsidRDefault="00D3608B" w:rsidP="003A7871">
      <w:pPr>
        <w:pStyle w:val="PargrafodaLista"/>
        <w:numPr>
          <w:ilvl w:val="0"/>
          <w:numId w:val="9"/>
        </w:numPr>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b/>
          <w:color w:val="000000"/>
          <w:sz w:val="24"/>
          <w:lang w:eastAsia="pt-BR"/>
        </w:rPr>
        <w:lastRenderedPageBreak/>
        <w:t xml:space="preserve">Bacharelados Interdisciplinares: </w:t>
      </w:r>
      <w:r w:rsidRPr="00EA16B0">
        <w:rPr>
          <w:rFonts w:asciiTheme="majorHAnsi" w:eastAsia="Times New Roman" w:hAnsiTheme="majorHAnsi" w:cstheme="majorHAnsi"/>
          <w:color w:val="000000"/>
          <w:sz w:val="24"/>
          <w:lang w:eastAsia="pt-BR"/>
        </w:rPr>
        <w:t xml:space="preserve">da mesma forma que com as licenciaturas, seriam definidas as áreas formativas, delimitando-se algumas que já estão sendo oferecidas em várias instituições, facilitando o entendimento de candidatos. Ciência e Tecnologia, Humanidades, Saúde, Ciências Humanas Aplicadas (ou Gestão </w:t>
      </w:r>
      <w:proofErr w:type="gramStart"/>
      <w:r w:rsidRPr="00EA16B0">
        <w:rPr>
          <w:rFonts w:asciiTheme="majorHAnsi" w:eastAsia="Times New Roman" w:hAnsiTheme="majorHAnsi" w:cstheme="majorHAnsi"/>
          <w:color w:val="000000"/>
          <w:sz w:val="24"/>
          <w:lang w:eastAsia="pt-BR"/>
        </w:rPr>
        <w:t>e  Ciências</w:t>
      </w:r>
      <w:proofErr w:type="gramEnd"/>
      <w:r w:rsidRPr="00EA16B0">
        <w:rPr>
          <w:rFonts w:asciiTheme="majorHAnsi" w:eastAsia="Times New Roman" w:hAnsiTheme="majorHAnsi" w:cstheme="majorHAnsi"/>
          <w:color w:val="000000"/>
          <w:sz w:val="24"/>
          <w:lang w:eastAsia="pt-BR"/>
        </w:rPr>
        <w:t xml:space="preserve"> Sociais) etc.</w:t>
      </w:r>
    </w:p>
    <w:p w14:paraId="34F52AC7" w14:textId="77777777" w:rsidR="00D3608B" w:rsidRPr="00EA16B0" w:rsidRDefault="00D3608B" w:rsidP="003A7871">
      <w:pPr>
        <w:pStyle w:val="PargrafodaLista"/>
        <w:numPr>
          <w:ilvl w:val="0"/>
          <w:numId w:val="9"/>
        </w:numPr>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b/>
          <w:color w:val="000000"/>
          <w:sz w:val="24"/>
          <w:lang w:eastAsia="pt-BR"/>
        </w:rPr>
        <w:t xml:space="preserve">Cursos superiores de Tecnologia: </w:t>
      </w:r>
      <w:r w:rsidRPr="00EA16B0">
        <w:rPr>
          <w:rFonts w:asciiTheme="majorHAnsi" w:eastAsia="Times New Roman" w:hAnsiTheme="majorHAnsi" w:cstheme="majorHAnsi"/>
          <w:color w:val="000000"/>
          <w:sz w:val="24"/>
          <w:lang w:eastAsia="pt-BR"/>
        </w:rPr>
        <w:t>também a serem definidos os eixos a serem contemplados, o que poderia, inclusive, iniciar a partir do 2.</w:t>
      </w:r>
      <w:r w:rsidRPr="00EA16B0">
        <w:rPr>
          <w:rFonts w:asciiTheme="majorHAnsi" w:eastAsia="Times New Roman" w:hAnsiTheme="majorHAnsi" w:cstheme="majorHAnsi"/>
          <w:color w:val="000000"/>
          <w:sz w:val="24"/>
          <w:vertAlign w:val="superscript"/>
          <w:lang w:eastAsia="pt-BR"/>
        </w:rPr>
        <w:t>o</w:t>
      </w:r>
      <w:r w:rsidRPr="00EA16B0">
        <w:rPr>
          <w:rFonts w:asciiTheme="majorHAnsi" w:eastAsia="Times New Roman" w:hAnsiTheme="majorHAnsi" w:cstheme="majorHAnsi"/>
          <w:color w:val="000000"/>
          <w:sz w:val="24"/>
          <w:lang w:eastAsia="pt-BR"/>
        </w:rPr>
        <w:t xml:space="preserve"> ano para facilitar a formação em áreas mais diversas. Seriam contemplados pelo menos eixos na área da gestão, da informação, da infraestrutura etc.</w:t>
      </w:r>
    </w:p>
    <w:p w14:paraId="3C76EE6F" w14:textId="77777777" w:rsidR="00D3608B" w:rsidRPr="00EA16B0" w:rsidRDefault="00D3608B" w:rsidP="00D3608B">
      <w:pPr>
        <w:ind w:left="709"/>
        <w:jc w:val="both"/>
        <w:rPr>
          <w:rFonts w:asciiTheme="majorHAnsi" w:eastAsia="Times New Roman" w:hAnsiTheme="majorHAnsi" w:cstheme="majorHAnsi"/>
          <w:b/>
          <w:color w:val="000000"/>
          <w:sz w:val="24"/>
          <w:lang w:eastAsia="pt-BR"/>
        </w:rPr>
      </w:pPr>
      <w:r w:rsidRPr="00EA16B0">
        <w:rPr>
          <w:rFonts w:asciiTheme="majorHAnsi" w:eastAsia="Times New Roman" w:hAnsiTheme="majorHAnsi" w:cstheme="majorHAnsi"/>
          <w:b/>
          <w:color w:val="000000"/>
          <w:sz w:val="24"/>
          <w:lang w:eastAsia="pt-BR"/>
        </w:rPr>
        <w:t>Ano 4:</w:t>
      </w:r>
    </w:p>
    <w:p w14:paraId="39A5DF82" w14:textId="77777777" w:rsidR="00D3608B" w:rsidRPr="00EA16B0" w:rsidRDefault="00D3608B" w:rsidP="003A7871">
      <w:pPr>
        <w:pStyle w:val="PargrafodaLista"/>
        <w:numPr>
          <w:ilvl w:val="0"/>
          <w:numId w:val="10"/>
        </w:numPr>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b/>
          <w:color w:val="000000"/>
          <w:sz w:val="24"/>
          <w:lang w:eastAsia="pt-BR"/>
        </w:rPr>
        <w:t xml:space="preserve">Licenciaturas específicas: </w:t>
      </w:r>
      <w:r w:rsidRPr="00EA16B0">
        <w:rPr>
          <w:rFonts w:asciiTheme="majorHAnsi" w:eastAsia="Times New Roman" w:hAnsiTheme="majorHAnsi" w:cstheme="majorHAnsi"/>
          <w:color w:val="000000"/>
          <w:sz w:val="24"/>
          <w:lang w:eastAsia="pt-BR"/>
        </w:rPr>
        <w:t xml:space="preserve">decorrentes da escolha das licenciaturas interdisciplinares. Por exemplo, a área de ciências poderia levar à realização de licenciatura em biologia, física, química, matemática. Em letras e artes, a Licenciatura em Arte, em Letras – Português, Inglês, </w:t>
      </w:r>
      <w:proofErr w:type="gramStart"/>
      <w:r w:rsidRPr="00EA16B0">
        <w:rPr>
          <w:rFonts w:asciiTheme="majorHAnsi" w:eastAsia="Times New Roman" w:hAnsiTheme="majorHAnsi" w:cstheme="majorHAnsi"/>
          <w:color w:val="000000"/>
          <w:sz w:val="24"/>
          <w:lang w:eastAsia="pt-BR"/>
        </w:rPr>
        <w:t>Espanhol</w:t>
      </w:r>
      <w:proofErr w:type="gramEnd"/>
      <w:r w:rsidRPr="00EA16B0">
        <w:rPr>
          <w:rFonts w:asciiTheme="majorHAnsi" w:eastAsia="Times New Roman" w:hAnsiTheme="majorHAnsi" w:cstheme="majorHAnsi"/>
          <w:color w:val="000000"/>
          <w:sz w:val="24"/>
          <w:lang w:eastAsia="pt-BR"/>
        </w:rPr>
        <w:t xml:space="preserve"> etc.</w:t>
      </w:r>
    </w:p>
    <w:p w14:paraId="2B7C4722" w14:textId="77777777" w:rsidR="00D3608B" w:rsidRPr="00EA16B0" w:rsidRDefault="00D3608B" w:rsidP="003A7871">
      <w:pPr>
        <w:pStyle w:val="PargrafodaLista"/>
        <w:numPr>
          <w:ilvl w:val="0"/>
          <w:numId w:val="10"/>
        </w:numPr>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b/>
          <w:color w:val="000000"/>
          <w:sz w:val="24"/>
          <w:lang w:eastAsia="pt-BR"/>
        </w:rPr>
        <w:t xml:space="preserve">Bacharelados específicos: </w:t>
      </w:r>
      <w:r w:rsidRPr="00EA16B0">
        <w:rPr>
          <w:rFonts w:asciiTheme="majorHAnsi" w:eastAsia="Times New Roman" w:hAnsiTheme="majorHAnsi" w:cstheme="majorHAnsi"/>
          <w:color w:val="000000"/>
          <w:sz w:val="24"/>
          <w:lang w:eastAsia="pt-BR"/>
        </w:rPr>
        <w:t>também decorrentes da escolha do bacharelado interdisciplinar. Na área de Tecnologia, Ciências da Computação, Sistemas de Internet, Engenharias. Na área de Ciências Humanas, Serviço Social, Administração etc.</w:t>
      </w:r>
    </w:p>
    <w:p w14:paraId="59C1B313" w14:textId="77777777" w:rsidR="00D3608B" w:rsidRPr="00EA16B0" w:rsidRDefault="00D3608B" w:rsidP="003A7871">
      <w:pPr>
        <w:pStyle w:val="PargrafodaLista"/>
        <w:numPr>
          <w:ilvl w:val="0"/>
          <w:numId w:val="10"/>
        </w:numPr>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b/>
          <w:color w:val="000000"/>
          <w:sz w:val="24"/>
          <w:lang w:eastAsia="pt-BR"/>
        </w:rPr>
        <w:t xml:space="preserve">Pós-graduação: </w:t>
      </w:r>
      <w:r w:rsidRPr="00EA16B0">
        <w:rPr>
          <w:rFonts w:asciiTheme="majorHAnsi" w:eastAsia="Times New Roman" w:hAnsiTheme="majorHAnsi" w:cstheme="majorHAnsi"/>
          <w:color w:val="000000"/>
          <w:sz w:val="24"/>
          <w:lang w:eastAsia="pt-BR"/>
        </w:rPr>
        <w:t>Formados em cursos superiores de Tecnologia, Bacharelados e Licenciaturas Interdisciplinares podem optar pela pós-graduação, realizando curso(s) de especialização ou ingressando em programas de mestrado e, posteriormente, doutorados.</w:t>
      </w:r>
    </w:p>
    <w:p w14:paraId="76FFC3EE" w14:textId="04F61828" w:rsidR="00D3608B" w:rsidRPr="00EA16B0" w:rsidRDefault="00D3608B" w:rsidP="00D3608B">
      <w:pPr>
        <w:ind w:left="709"/>
        <w:jc w:val="both"/>
        <w:rPr>
          <w:rFonts w:asciiTheme="majorHAnsi" w:eastAsia="Times New Roman" w:hAnsiTheme="majorHAnsi" w:cstheme="majorHAnsi"/>
          <w:b/>
          <w:color w:val="000000"/>
          <w:sz w:val="24"/>
          <w:lang w:eastAsia="pt-BR"/>
        </w:rPr>
      </w:pPr>
      <w:r w:rsidRPr="00EA16B0">
        <w:rPr>
          <w:rFonts w:asciiTheme="majorHAnsi" w:eastAsia="Times New Roman" w:hAnsiTheme="majorHAnsi" w:cstheme="majorHAnsi"/>
          <w:b/>
          <w:color w:val="000000"/>
          <w:sz w:val="24"/>
          <w:lang w:eastAsia="pt-BR"/>
        </w:rPr>
        <w:t>Ano 5 e 6 para bacharelados específicos:</w:t>
      </w:r>
    </w:p>
    <w:p w14:paraId="700957A6" w14:textId="77777777" w:rsidR="00DF4936" w:rsidRPr="00EA16B0" w:rsidRDefault="00DF4936" w:rsidP="00D3608B">
      <w:pPr>
        <w:ind w:left="709"/>
        <w:jc w:val="both"/>
        <w:rPr>
          <w:rFonts w:asciiTheme="majorHAnsi" w:eastAsia="Times New Roman" w:hAnsiTheme="majorHAnsi" w:cstheme="majorHAnsi"/>
          <w:b/>
          <w:color w:val="000000"/>
          <w:sz w:val="24"/>
          <w:lang w:eastAsia="pt-BR"/>
        </w:rPr>
      </w:pPr>
    </w:p>
    <w:p w14:paraId="4D0C6E1B" w14:textId="77777777" w:rsidR="00D3608B" w:rsidRPr="00EA16B0" w:rsidRDefault="00D3608B" w:rsidP="00DF4936">
      <w:pPr>
        <w:spacing w:line="360" w:lineRule="auto"/>
        <w:ind w:firstLine="709"/>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color w:val="000000"/>
          <w:sz w:val="24"/>
          <w:lang w:eastAsia="pt-BR"/>
        </w:rPr>
        <w:t>Alguns bacharelados como Engenharias, Odontologia, Medicina, Música – Regência exigem tempos maiores para a integralização e podem, portanto, exigir 5.</w:t>
      </w:r>
      <w:r w:rsidRPr="00EA16B0">
        <w:rPr>
          <w:rFonts w:asciiTheme="majorHAnsi" w:eastAsia="Times New Roman" w:hAnsiTheme="majorHAnsi" w:cstheme="majorHAnsi"/>
          <w:color w:val="000000"/>
          <w:sz w:val="24"/>
          <w:vertAlign w:val="superscript"/>
          <w:lang w:eastAsia="pt-BR"/>
        </w:rPr>
        <w:t>o</w:t>
      </w:r>
      <w:r w:rsidRPr="00EA16B0">
        <w:rPr>
          <w:rFonts w:asciiTheme="majorHAnsi" w:eastAsia="Times New Roman" w:hAnsiTheme="majorHAnsi" w:cstheme="majorHAnsi"/>
          <w:color w:val="000000"/>
          <w:sz w:val="24"/>
          <w:lang w:eastAsia="pt-BR"/>
        </w:rPr>
        <w:t xml:space="preserve"> e 6.</w:t>
      </w:r>
      <w:r w:rsidRPr="00EA16B0">
        <w:rPr>
          <w:rFonts w:asciiTheme="majorHAnsi" w:eastAsia="Times New Roman" w:hAnsiTheme="majorHAnsi" w:cstheme="majorHAnsi"/>
          <w:color w:val="000000"/>
          <w:sz w:val="24"/>
          <w:vertAlign w:val="superscript"/>
          <w:lang w:eastAsia="pt-BR"/>
        </w:rPr>
        <w:t>o</w:t>
      </w:r>
      <w:r w:rsidRPr="00EA16B0" w:rsidDel="00D456E1">
        <w:rPr>
          <w:rFonts w:asciiTheme="majorHAnsi" w:eastAsia="Times New Roman" w:hAnsiTheme="majorHAnsi" w:cstheme="majorHAnsi"/>
          <w:color w:val="000000"/>
          <w:sz w:val="24"/>
          <w:lang w:eastAsia="pt-BR"/>
        </w:rPr>
        <w:t xml:space="preserve"> </w:t>
      </w:r>
      <w:r w:rsidRPr="00EA16B0">
        <w:rPr>
          <w:rFonts w:asciiTheme="majorHAnsi" w:eastAsia="Times New Roman" w:hAnsiTheme="majorHAnsi" w:cstheme="majorHAnsi"/>
          <w:color w:val="000000"/>
          <w:sz w:val="24"/>
          <w:lang w:eastAsia="pt-BR"/>
        </w:rPr>
        <w:t>anos de atividades ligadas à graduação para, apenas posteriormente, ingressarem (se houver interesse) em cursos e em programas de pós-graduação.</w:t>
      </w:r>
    </w:p>
    <w:p w14:paraId="70E8EA55" w14:textId="77777777" w:rsidR="00D3608B" w:rsidRPr="00EA16B0" w:rsidRDefault="00D3608B" w:rsidP="00DF4936">
      <w:pPr>
        <w:spacing w:line="360" w:lineRule="auto"/>
        <w:ind w:firstLine="709"/>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color w:val="000000"/>
          <w:sz w:val="24"/>
          <w:lang w:eastAsia="pt-BR"/>
        </w:rPr>
        <w:t>Finalmente, deve ser destacado que algumas atividades curriculares de bacharelados e de licenciaturas interdisciplinares que guardem aderência possam ser comuns a essas duas formações, lembrando, obviamente, que, no caso da licenciatura, o foco é o ensino dos conteúdos e não apenas o seu conhecimento e, em muitos casos, sem a necessidade de aprofundamento necessário para o bacharel.</w:t>
      </w:r>
    </w:p>
    <w:p w14:paraId="3272A7A1" w14:textId="77777777" w:rsidR="00D3608B" w:rsidRPr="00EA16B0" w:rsidRDefault="00D3608B" w:rsidP="00DF4936">
      <w:pPr>
        <w:spacing w:line="360" w:lineRule="auto"/>
        <w:ind w:firstLine="709"/>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color w:val="000000"/>
          <w:sz w:val="24"/>
          <w:lang w:eastAsia="pt-BR"/>
        </w:rPr>
        <w:t>Em nenhum momento se pretendeu com essas explicações esgotar as possibilidades geradas por um modelo com essas características, que podem ser desenvolvidas de forma presencial ou a distância ou com diferentes combinações de atividades hoje denominadas híbridas, como será discutido no trabalho que está em desenvolvimento para o ensino a distância.</w:t>
      </w:r>
    </w:p>
    <w:p w14:paraId="7395A2ED" w14:textId="77777777" w:rsidR="00D3608B" w:rsidRPr="00EA16B0" w:rsidRDefault="00D3608B" w:rsidP="00DF4936">
      <w:pPr>
        <w:spacing w:line="360" w:lineRule="auto"/>
        <w:ind w:firstLine="709"/>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color w:val="000000"/>
          <w:sz w:val="24"/>
          <w:lang w:eastAsia="pt-BR"/>
        </w:rPr>
        <w:t xml:space="preserve">Também deve ficar claro que a intersecção de atividades comuns dependerá da estruturação dos projetos pedagógicos dos cursos e, quanto mais elas forem estruturadas para uma formação </w:t>
      </w:r>
      <w:r w:rsidRPr="00EA16B0">
        <w:rPr>
          <w:rFonts w:asciiTheme="majorHAnsi" w:eastAsia="Times New Roman" w:hAnsiTheme="majorHAnsi" w:cstheme="majorHAnsi"/>
          <w:color w:val="000000"/>
          <w:sz w:val="24"/>
          <w:lang w:eastAsia="pt-BR"/>
        </w:rPr>
        <w:lastRenderedPageBreak/>
        <w:t xml:space="preserve">interdisciplinar, maiores as chances de elas levarem a formações comuns e a certificações em cada etapa do processo, lembrando que essas formações que são inferiores </w:t>
      </w:r>
      <w:proofErr w:type="spellStart"/>
      <w:r w:rsidRPr="00EA16B0">
        <w:rPr>
          <w:rFonts w:asciiTheme="majorHAnsi" w:eastAsia="Times New Roman" w:hAnsiTheme="majorHAnsi" w:cstheme="majorHAnsi"/>
          <w:color w:val="000000"/>
          <w:sz w:val="24"/>
          <w:lang w:eastAsia="pt-BR"/>
        </w:rPr>
        <w:t>as</w:t>
      </w:r>
      <w:proofErr w:type="spellEnd"/>
      <w:r w:rsidRPr="00EA16B0">
        <w:rPr>
          <w:rFonts w:asciiTheme="majorHAnsi" w:eastAsia="Times New Roman" w:hAnsiTheme="majorHAnsi" w:cstheme="majorHAnsi"/>
          <w:color w:val="000000"/>
          <w:sz w:val="24"/>
          <w:lang w:eastAsia="pt-BR"/>
        </w:rPr>
        <w:t xml:space="preserve"> 2.400 horas ou a 3 anos de duração devem, obrigatoriamente, corresponder a formações em cursos sequenciais. Há algumas exceções para as graduações tecnológicas, mas deve-se considerar que estágios e atividades complementares para esses cursos não estão previstos na carga horária mínima estabelecida no Catálogo Nacional de Cursos Superiores de Tecnologia e, quando acrescentadas, acabam originando uma formação próxima ou até superior as 2.400 horas previstas para a formação em cursos de bacharelados e de licenciaturas interdisciplinares que também levam ao grau acadêmico.</w:t>
      </w:r>
    </w:p>
    <w:p w14:paraId="4E985D53" w14:textId="77777777" w:rsidR="00D3608B" w:rsidRPr="00EA16B0" w:rsidRDefault="00D3608B" w:rsidP="00D3608B">
      <w:pPr>
        <w:tabs>
          <w:tab w:val="clear" w:pos="1615"/>
        </w:tabs>
        <w:spacing w:line="259" w:lineRule="auto"/>
        <w:rPr>
          <w:rFonts w:asciiTheme="majorHAnsi" w:eastAsia="Times New Roman" w:hAnsiTheme="majorHAnsi" w:cstheme="majorHAnsi"/>
          <w:color w:val="000000"/>
          <w:szCs w:val="21"/>
          <w:lang w:eastAsia="pt-BR"/>
        </w:rPr>
      </w:pPr>
      <w:r w:rsidRPr="00EA16B0">
        <w:rPr>
          <w:rFonts w:asciiTheme="majorHAnsi" w:eastAsia="Times New Roman" w:hAnsiTheme="majorHAnsi" w:cstheme="majorHAnsi"/>
          <w:color w:val="000000"/>
          <w:szCs w:val="21"/>
          <w:lang w:eastAsia="pt-BR"/>
        </w:rPr>
        <w:br w:type="page"/>
      </w:r>
    </w:p>
    <w:p w14:paraId="4641237A" w14:textId="11F808E0" w:rsidR="00D3608B" w:rsidRPr="00EA16B0" w:rsidRDefault="00D3608B" w:rsidP="003A7871">
      <w:pPr>
        <w:pStyle w:val="Ttulo1"/>
        <w:numPr>
          <w:ilvl w:val="0"/>
          <w:numId w:val="1"/>
        </w:numPr>
        <w:tabs>
          <w:tab w:val="clear" w:pos="1615"/>
        </w:tabs>
        <w:spacing w:before="0" w:after="0" w:line="360" w:lineRule="auto"/>
        <w:ind w:left="432" w:hanging="432"/>
        <w:jc w:val="both"/>
        <w:rPr>
          <w:rFonts w:asciiTheme="majorHAnsi" w:hAnsiTheme="majorHAnsi" w:cstheme="majorHAnsi"/>
          <w:color w:val="4875BD"/>
        </w:rPr>
      </w:pPr>
      <w:bookmarkStart w:id="53" w:name="_Toc102319382"/>
      <w:r w:rsidRPr="00EA16B0">
        <w:rPr>
          <w:rFonts w:asciiTheme="majorHAnsi" w:hAnsiTheme="majorHAnsi" w:cstheme="majorHAnsi"/>
          <w:color w:val="4875BD"/>
        </w:rPr>
        <w:lastRenderedPageBreak/>
        <w:t>DIRETRIZES PARA O ENSINO</w:t>
      </w:r>
      <w:bookmarkEnd w:id="53"/>
    </w:p>
    <w:p w14:paraId="75F7DC0F" w14:textId="77777777" w:rsidR="00DF4936" w:rsidRPr="00EA16B0" w:rsidRDefault="00DF4936" w:rsidP="00D3608B">
      <w:pPr>
        <w:jc w:val="both"/>
        <w:rPr>
          <w:rFonts w:asciiTheme="majorHAnsi" w:hAnsiTheme="majorHAnsi" w:cstheme="majorHAnsi"/>
        </w:rPr>
      </w:pPr>
    </w:p>
    <w:p w14:paraId="4BFACF7E" w14:textId="7E7F5549" w:rsidR="00D3608B" w:rsidRPr="00EA16B0" w:rsidRDefault="00D3608B" w:rsidP="00DF4936">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A proposta pedagógica da </w:t>
      </w:r>
      <w:proofErr w:type="spellStart"/>
      <w:r w:rsidRPr="00EA16B0">
        <w:rPr>
          <w:rFonts w:asciiTheme="majorHAnsi" w:hAnsiTheme="majorHAnsi" w:cstheme="majorHAnsi"/>
          <w:sz w:val="24"/>
          <w:szCs w:val="24"/>
        </w:rPr>
        <w:t>UnDF</w:t>
      </w:r>
      <w:proofErr w:type="spellEnd"/>
      <w:r w:rsidRPr="00EA16B0">
        <w:rPr>
          <w:rFonts w:asciiTheme="majorHAnsi" w:hAnsiTheme="majorHAnsi" w:cstheme="majorHAnsi"/>
          <w:sz w:val="24"/>
          <w:szCs w:val="24"/>
        </w:rPr>
        <w:t xml:space="preserve"> deve atender ao disposto na Lei de criação da Universidade, seus Estatutos e Projeto Pedagógico Institucional. Por isso, é preciso cumprir o estabelecido nas determinações do Art. 3º, especialmente nos incisos ligados ao ensino e já abordados no capítulo anterior.</w:t>
      </w:r>
    </w:p>
    <w:p w14:paraId="6FF6FC3F" w14:textId="42692139" w:rsidR="00D3608B" w:rsidRPr="00EA16B0" w:rsidRDefault="00D3608B" w:rsidP="00DF4936">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Assim, no presente capítulo serão abordados alguns aspectos ligados ao ingresso, permanência e à integralização dos cursos, bem como a necessidade de uma política de preenchimento de vagas docentes que dê conta da estrutura inovadora proposta para a Instituição.</w:t>
      </w:r>
    </w:p>
    <w:p w14:paraId="562C59AD" w14:textId="77777777" w:rsidR="00DF4936" w:rsidRPr="00EA16B0" w:rsidRDefault="00DF4936" w:rsidP="00DF4936">
      <w:pPr>
        <w:spacing w:line="360" w:lineRule="auto"/>
        <w:ind w:firstLine="709"/>
        <w:jc w:val="both"/>
        <w:rPr>
          <w:rFonts w:asciiTheme="majorHAnsi" w:hAnsiTheme="majorHAnsi" w:cstheme="majorHAnsi"/>
          <w:sz w:val="24"/>
          <w:szCs w:val="24"/>
        </w:rPr>
      </w:pPr>
    </w:p>
    <w:p w14:paraId="7137F72B" w14:textId="2B4BE598" w:rsidR="00D3608B" w:rsidRPr="00EA16B0" w:rsidRDefault="00D3608B" w:rsidP="003A7871">
      <w:pPr>
        <w:pStyle w:val="Ttulo2"/>
        <w:numPr>
          <w:ilvl w:val="1"/>
          <w:numId w:val="1"/>
        </w:numPr>
        <w:tabs>
          <w:tab w:val="clear" w:pos="1615"/>
        </w:tabs>
        <w:spacing w:before="0" w:after="0" w:line="360" w:lineRule="auto"/>
        <w:ind w:left="993" w:hanging="576"/>
        <w:rPr>
          <w:rFonts w:asciiTheme="majorHAnsi" w:hAnsiTheme="majorHAnsi" w:cstheme="majorHAnsi"/>
        </w:rPr>
      </w:pPr>
      <w:bookmarkStart w:id="54" w:name="_Toc102319383"/>
      <w:r w:rsidRPr="00EA16B0">
        <w:rPr>
          <w:rFonts w:asciiTheme="majorHAnsi" w:hAnsiTheme="majorHAnsi" w:cstheme="majorHAnsi"/>
        </w:rPr>
        <w:t>INGRESSO</w:t>
      </w:r>
      <w:bookmarkEnd w:id="54"/>
    </w:p>
    <w:p w14:paraId="0B12173F" w14:textId="77777777" w:rsidR="00D3608B" w:rsidRPr="00EA16B0" w:rsidRDefault="00D3608B" w:rsidP="00DF4936">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A LDB n. 9.394/96 eliminou a necessidade do exame vestibular para ingresso na educação superior, deixando o termo “processo seletivo”, que pode ser feito por meio de exame, de análise de currículo, de ENEM e, depois de 2009 para IES públicas, por meio do Sistema de Seleção Unificado (</w:t>
      </w:r>
      <w:proofErr w:type="spellStart"/>
      <w:r w:rsidRPr="00EA16B0">
        <w:rPr>
          <w:rFonts w:asciiTheme="majorHAnsi" w:hAnsiTheme="majorHAnsi" w:cstheme="majorHAnsi"/>
          <w:sz w:val="24"/>
          <w:szCs w:val="24"/>
        </w:rPr>
        <w:t>SiSU</w:t>
      </w:r>
      <w:proofErr w:type="spellEnd"/>
      <w:r w:rsidRPr="00EA16B0">
        <w:rPr>
          <w:rFonts w:asciiTheme="majorHAnsi" w:hAnsiTheme="majorHAnsi" w:cstheme="majorHAnsi"/>
          <w:sz w:val="24"/>
          <w:szCs w:val="24"/>
        </w:rPr>
        <w:t>), gerenciado pelo MEC e que tem o ENEM como referencial (</w:t>
      </w:r>
      <w:proofErr w:type="spellStart"/>
      <w:r w:rsidRPr="00EA16B0">
        <w:rPr>
          <w:rFonts w:asciiTheme="majorHAnsi" w:hAnsiTheme="majorHAnsi" w:cstheme="majorHAnsi"/>
          <w:sz w:val="24"/>
          <w:szCs w:val="24"/>
        </w:rPr>
        <w:t>SiSU</w:t>
      </w:r>
      <w:proofErr w:type="spellEnd"/>
      <w:r w:rsidRPr="00EA16B0">
        <w:rPr>
          <w:rFonts w:asciiTheme="majorHAnsi" w:hAnsiTheme="majorHAnsi" w:cstheme="majorHAnsi"/>
          <w:sz w:val="24"/>
          <w:szCs w:val="24"/>
        </w:rPr>
        <w:t>, 2022).</w:t>
      </w:r>
    </w:p>
    <w:p w14:paraId="501291A5" w14:textId="77777777" w:rsidR="00D3608B" w:rsidRPr="00EA16B0" w:rsidRDefault="00D3608B" w:rsidP="00DF4936">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A ESCS utiliza o </w:t>
      </w:r>
      <w:proofErr w:type="spellStart"/>
      <w:r w:rsidRPr="00EA16B0">
        <w:rPr>
          <w:rFonts w:asciiTheme="majorHAnsi" w:hAnsiTheme="majorHAnsi" w:cstheme="majorHAnsi"/>
          <w:sz w:val="24"/>
          <w:szCs w:val="24"/>
        </w:rPr>
        <w:t>SiSU</w:t>
      </w:r>
      <w:proofErr w:type="spellEnd"/>
      <w:r w:rsidRPr="00EA16B0">
        <w:rPr>
          <w:rFonts w:asciiTheme="majorHAnsi" w:hAnsiTheme="majorHAnsi" w:cstheme="majorHAnsi"/>
          <w:sz w:val="24"/>
          <w:szCs w:val="24"/>
        </w:rPr>
        <w:t xml:space="preserve"> para realizar a seleção para ingresso nos cursos de Enfermagem e Medicina que a Instituição já oferece. No relatório sobre organização acadêmica apresentado por </w:t>
      </w:r>
      <w:proofErr w:type="spellStart"/>
      <w:r w:rsidRPr="00EA16B0">
        <w:rPr>
          <w:rFonts w:asciiTheme="majorHAnsi" w:hAnsiTheme="majorHAnsi" w:cstheme="majorHAnsi"/>
          <w:sz w:val="24"/>
          <w:szCs w:val="24"/>
        </w:rPr>
        <w:t>Cortelazzo</w:t>
      </w:r>
      <w:proofErr w:type="spellEnd"/>
      <w:r w:rsidRPr="00EA16B0">
        <w:rPr>
          <w:rFonts w:asciiTheme="majorHAnsi" w:hAnsiTheme="majorHAnsi" w:cstheme="majorHAnsi"/>
          <w:sz w:val="24"/>
          <w:szCs w:val="24"/>
        </w:rPr>
        <w:t xml:space="preserve"> (2022), é feita uma abordagem mais detalhada da forma como a instituição vem realizando o ingresso de seus estudantes e ponderada a necessidade de esse modelo ter que passar por diversas adequações para o caso de continuar sendo utilizado, agora para os cursos da área da Computação e, no futuro, para os demais cursos e áreas.</w:t>
      </w:r>
    </w:p>
    <w:p w14:paraId="736A44E6" w14:textId="77777777" w:rsidR="00D3608B" w:rsidRPr="00EA16B0" w:rsidRDefault="00D3608B" w:rsidP="00DF4936">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A grande vantagem que traz esse sistema é que não há necessidade de a Instituição ter a responsabilidade pela elaboração e aplicação do processo seletivo, normalmente moroso e de alto custo, proporcional à abrangência pretendida. Além disso, o </w:t>
      </w:r>
      <w:proofErr w:type="spellStart"/>
      <w:r w:rsidRPr="00EA16B0">
        <w:rPr>
          <w:rFonts w:asciiTheme="majorHAnsi" w:hAnsiTheme="majorHAnsi" w:cstheme="majorHAnsi"/>
          <w:sz w:val="24"/>
          <w:szCs w:val="24"/>
        </w:rPr>
        <w:t>SiSU</w:t>
      </w:r>
      <w:proofErr w:type="spellEnd"/>
      <w:r w:rsidRPr="00EA16B0">
        <w:rPr>
          <w:rFonts w:asciiTheme="majorHAnsi" w:hAnsiTheme="majorHAnsi" w:cstheme="majorHAnsi"/>
          <w:sz w:val="24"/>
          <w:szCs w:val="24"/>
        </w:rPr>
        <w:t xml:space="preserve"> permite que cada Instituição estabeleça as regras para o preenchimento de suas vagas, por meio de editais que podem não apenas valorar de forma diferente os pesos de cada componente das provas hoje realizadas pelo ENEM (cinco provas se contada a redação), como também estabelecer cotas ou outros critérios de diferenciação como uma pontuação acrescida para condições que contemplem a especificidade e o projeto pedagógico de cada IES participante. Assim, algumas escolas preferem garantir um </w:t>
      </w:r>
      <w:r w:rsidRPr="00EA16B0">
        <w:rPr>
          <w:rFonts w:asciiTheme="majorHAnsi" w:hAnsiTheme="majorHAnsi" w:cstheme="majorHAnsi"/>
          <w:sz w:val="24"/>
          <w:szCs w:val="24"/>
        </w:rPr>
        <w:lastRenderedPageBreak/>
        <w:t>atendimento privilegiado dos estudantes originários de seu entorno a partir de um percentual de acréscimo nas notas obtidas que também podem ser diferenciados em função do tipo de escola básica frequentada e da etnia do candidato. Há casos em que as vagas são alocadas com percentuais diferentes para candidatos de livre concorrência e candidatos que satisfazem alguma condição estabelecida em edital elaborado por aquela IES.</w:t>
      </w:r>
    </w:p>
    <w:p w14:paraId="4EE22337" w14:textId="77777777" w:rsidR="00D3608B" w:rsidRPr="00EA16B0" w:rsidRDefault="00D3608B" w:rsidP="00DF4936">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Essa flexibilidade contribui para que a Instituição possa prever ou facilitar o ingresso que garanta maior diversidade e inclusão de pessoas que não conseguiriam acesso sem essa sistemática, o que permite políticas institucionais voltadas para mais equidade e justiça sociais e atende diretamente ao Princípio 7 do decálogo no texto sobre os estatutos e citado no capítulo anterior (CEBRASPE, 2022b).</w:t>
      </w:r>
    </w:p>
    <w:p w14:paraId="546DD1F7" w14:textId="77777777" w:rsidR="00D3608B" w:rsidRPr="00EA16B0" w:rsidRDefault="00D3608B" w:rsidP="00DF4936">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Essa política está explicitada na Lei de Criação da </w:t>
      </w:r>
      <w:proofErr w:type="spellStart"/>
      <w:r w:rsidRPr="00EA16B0">
        <w:rPr>
          <w:rFonts w:asciiTheme="majorHAnsi" w:hAnsiTheme="majorHAnsi" w:cstheme="majorHAnsi"/>
          <w:sz w:val="24"/>
          <w:szCs w:val="24"/>
        </w:rPr>
        <w:t>UnDF</w:t>
      </w:r>
      <w:proofErr w:type="spellEnd"/>
      <w:r w:rsidRPr="00EA16B0">
        <w:rPr>
          <w:rFonts w:asciiTheme="majorHAnsi" w:hAnsiTheme="majorHAnsi" w:cstheme="majorHAnsi"/>
          <w:sz w:val="24"/>
          <w:szCs w:val="24"/>
        </w:rPr>
        <w:t xml:space="preserve"> quando trata dos princípios que regerão a sua atuação, no inciso XII do Art. 3.</w:t>
      </w:r>
      <w:r w:rsidRPr="00EA16B0">
        <w:rPr>
          <w:rFonts w:asciiTheme="majorHAnsi" w:hAnsiTheme="majorHAnsi" w:cstheme="majorHAnsi"/>
          <w:sz w:val="24"/>
          <w:szCs w:val="24"/>
          <w:vertAlign w:val="superscript"/>
        </w:rPr>
        <w:t>o</w:t>
      </w:r>
      <w:r w:rsidRPr="00EA16B0">
        <w:rPr>
          <w:rFonts w:asciiTheme="majorHAnsi" w:hAnsiTheme="majorHAnsi" w:cstheme="majorHAnsi"/>
          <w:sz w:val="24"/>
          <w:szCs w:val="24"/>
        </w:rPr>
        <w:t xml:space="preserve"> da Lei:</w:t>
      </w:r>
    </w:p>
    <w:p w14:paraId="5EFB82C4" w14:textId="77777777" w:rsidR="00DF4936" w:rsidRPr="00EA16B0" w:rsidRDefault="00DF4936" w:rsidP="00D3608B">
      <w:pPr>
        <w:ind w:left="2268" w:right="849"/>
        <w:jc w:val="both"/>
        <w:rPr>
          <w:rFonts w:asciiTheme="majorHAnsi" w:eastAsia="Times New Roman" w:hAnsiTheme="majorHAnsi" w:cstheme="majorHAnsi"/>
          <w:color w:val="000000"/>
          <w:sz w:val="20"/>
          <w:szCs w:val="20"/>
          <w:lang w:eastAsia="pt-BR"/>
        </w:rPr>
      </w:pPr>
    </w:p>
    <w:p w14:paraId="141CDA88" w14:textId="71D48459" w:rsidR="00D3608B" w:rsidRPr="00EA16B0" w:rsidRDefault="00D3608B" w:rsidP="00D3608B">
      <w:pPr>
        <w:ind w:left="2268" w:right="849"/>
        <w:jc w:val="both"/>
        <w:rPr>
          <w:rFonts w:asciiTheme="majorHAnsi" w:eastAsia="Times New Roman" w:hAnsiTheme="majorHAnsi" w:cstheme="majorHAnsi"/>
          <w:color w:val="000000"/>
          <w:sz w:val="20"/>
          <w:szCs w:val="20"/>
          <w:lang w:eastAsia="pt-BR"/>
        </w:rPr>
      </w:pPr>
      <w:r w:rsidRPr="00EA16B0">
        <w:rPr>
          <w:rFonts w:asciiTheme="majorHAnsi" w:eastAsia="Times New Roman" w:hAnsiTheme="majorHAnsi" w:cstheme="majorHAnsi"/>
          <w:color w:val="000000"/>
          <w:sz w:val="20"/>
          <w:szCs w:val="20"/>
          <w:lang w:eastAsia="pt-BR"/>
        </w:rPr>
        <w:t xml:space="preserve">XII – democratização do acesso ao ensino superior público, gratuito e de qualidade, por meio da implementação de cotas raciais e sociais para ingresso em cursos de graduação ofertados pela </w:t>
      </w:r>
      <w:proofErr w:type="spellStart"/>
      <w:r w:rsidRPr="00EA16B0">
        <w:rPr>
          <w:rFonts w:asciiTheme="majorHAnsi" w:eastAsia="Times New Roman" w:hAnsiTheme="majorHAnsi" w:cstheme="majorHAnsi"/>
          <w:color w:val="000000"/>
          <w:sz w:val="20"/>
          <w:szCs w:val="20"/>
          <w:lang w:eastAsia="pt-BR"/>
        </w:rPr>
        <w:t>UnDF</w:t>
      </w:r>
      <w:proofErr w:type="spellEnd"/>
      <w:r w:rsidRPr="00EA16B0">
        <w:rPr>
          <w:rFonts w:asciiTheme="majorHAnsi" w:eastAsia="Times New Roman" w:hAnsiTheme="majorHAnsi" w:cstheme="majorHAnsi"/>
          <w:color w:val="000000"/>
          <w:sz w:val="20"/>
          <w:szCs w:val="20"/>
          <w:lang w:eastAsia="pt-BR"/>
        </w:rPr>
        <w:t>, conforme legislações específicas, a ser disciplinada no Estatuto. (DISTRITO FEDERAL, 2021).</w:t>
      </w:r>
    </w:p>
    <w:p w14:paraId="00E640CC" w14:textId="77777777" w:rsidR="00DF4936" w:rsidRPr="00EA16B0" w:rsidRDefault="00DF4936" w:rsidP="00D3608B">
      <w:pPr>
        <w:ind w:left="2268" w:right="849"/>
        <w:jc w:val="both"/>
        <w:rPr>
          <w:rFonts w:asciiTheme="majorHAnsi" w:eastAsia="Times New Roman" w:hAnsiTheme="majorHAnsi" w:cstheme="majorHAnsi"/>
          <w:color w:val="000000"/>
          <w:sz w:val="20"/>
          <w:szCs w:val="20"/>
          <w:lang w:eastAsia="pt-BR"/>
        </w:rPr>
      </w:pPr>
    </w:p>
    <w:p w14:paraId="31F8592A" w14:textId="1C508C55" w:rsidR="00D3608B" w:rsidRPr="00EA16B0" w:rsidRDefault="00D3608B" w:rsidP="00DF4936">
      <w:pPr>
        <w:spacing w:line="360" w:lineRule="auto"/>
        <w:ind w:right="-1" w:firstLine="709"/>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color w:val="000000"/>
          <w:sz w:val="24"/>
          <w:lang w:eastAsia="pt-BR"/>
        </w:rPr>
        <w:t>Assim, para ilustrar as possibilidades, apresentamos na tabela 3.1, as políticas adotadas por duas Instituições no processo para ingresso no 1.</w:t>
      </w:r>
      <w:r w:rsidRPr="00EA16B0">
        <w:rPr>
          <w:rFonts w:asciiTheme="majorHAnsi" w:eastAsia="Times New Roman" w:hAnsiTheme="majorHAnsi" w:cstheme="majorHAnsi"/>
          <w:color w:val="000000"/>
          <w:sz w:val="24"/>
          <w:vertAlign w:val="superscript"/>
          <w:lang w:eastAsia="pt-BR"/>
        </w:rPr>
        <w:t>o</w:t>
      </w:r>
      <w:r w:rsidRPr="00EA16B0">
        <w:rPr>
          <w:rFonts w:asciiTheme="majorHAnsi" w:eastAsia="Times New Roman" w:hAnsiTheme="majorHAnsi" w:cstheme="majorHAnsi"/>
          <w:color w:val="000000"/>
          <w:sz w:val="24"/>
          <w:lang w:eastAsia="pt-BR"/>
        </w:rPr>
        <w:t xml:space="preserve"> semestre de 2022, mostrando que as ações afirmativas podem abranger diferentes categorias, a critério das Instituições, respeitada a lei das cotas (BRASIL, 2012) para o caso de Instituições públicas do sistema federal de ensino.</w:t>
      </w:r>
    </w:p>
    <w:p w14:paraId="59245186" w14:textId="29348A4A" w:rsidR="00DF4936" w:rsidRPr="00EA16B0" w:rsidRDefault="00DF4936" w:rsidP="00D3608B">
      <w:pPr>
        <w:ind w:right="-1"/>
        <w:jc w:val="both"/>
        <w:rPr>
          <w:rFonts w:asciiTheme="majorHAnsi" w:eastAsia="Times New Roman" w:hAnsiTheme="majorHAnsi" w:cstheme="majorHAnsi"/>
          <w:color w:val="000000"/>
          <w:szCs w:val="21"/>
          <w:lang w:eastAsia="pt-BR"/>
        </w:rPr>
      </w:pPr>
    </w:p>
    <w:p w14:paraId="5FAA0981" w14:textId="193B84CA" w:rsidR="00DF4936" w:rsidRPr="00EA16B0" w:rsidRDefault="00DF4936" w:rsidP="00D3608B">
      <w:pPr>
        <w:ind w:right="-1"/>
        <w:jc w:val="both"/>
        <w:rPr>
          <w:rFonts w:asciiTheme="majorHAnsi" w:eastAsia="Times New Roman" w:hAnsiTheme="majorHAnsi" w:cstheme="majorHAnsi"/>
          <w:color w:val="000000"/>
          <w:szCs w:val="21"/>
          <w:lang w:eastAsia="pt-BR"/>
        </w:rPr>
      </w:pPr>
    </w:p>
    <w:p w14:paraId="1B61F494" w14:textId="17F09847" w:rsidR="00DF4936" w:rsidRPr="00EA16B0" w:rsidRDefault="00DF4936" w:rsidP="00D3608B">
      <w:pPr>
        <w:ind w:right="-1"/>
        <w:jc w:val="both"/>
        <w:rPr>
          <w:rFonts w:asciiTheme="majorHAnsi" w:eastAsia="Times New Roman" w:hAnsiTheme="majorHAnsi" w:cstheme="majorHAnsi"/>
          <w:color w:val="000000"/>
          <w:szCs w:val="21"/>
          <w:lang w:eastAsia="pt-BR"/>
        </w:rPr>
      </w:pPr>
    </w:p>
    <w:p w14:paraId="040E8C5A" w14:textId="3D2B00C8" w:rsidR="00DF4936" w:rsidRPr="00EA16B0" w:rsidRDefault="00DF4936" w:rsidP="00D3608B">
      <w:pPr>
        <w:ind w:right="-1"/>
        <w:jc w:val="both"/>
        <w:rPr>
          <w:rFonts w:asciiTheme="majorHAnsi" w:eastAsia="Times New Roman" w:hAnsiTheme="majorHAnsi" w:cstheme="majorHAnsi"/>
          <w:color w:val="000000"/>
          <w:szCs w:val="21"/>
          <w:lang w:eastAsia="pt-BR"/>
        </w:rPr>
      </w:pPr>
    </w:p>
    <w:p w14:paraId="35C9D951" w14:textId="1BA2B80B" w:rsidR="00DF4936" w:rsidRPr="00EA16B0" w:rsidRDefault="00DF4936" w:rsidP="00D3608B">
      <w:pPr>
        <w:ind w:right="-1"/>
        <w:jc w:val="both"/>
        <w:rPr>
          <w:rFonts w:asciiTheme="majorHAnsi" w:eastAsia="Times New Roman" w:hAnsiTheme="majorHAnsi" w:cstheme="majorHAnsi"/>
          <w:color w:val="000000"/>
          <w:szCs w:val="21"/>
          <w:lang w:eastAsia="pt-BR"/>
        </w:rPr>
      </w:pPr>
    </w:p>
    <w:p w14:paraId="4C7B39A3" w14:textId="2E5F1289" w:rsidR="00DF4936" w:rsidRPr="00EA16B0" w:rsidRDefault="00DF4936" w:rsidP="00D3608B">
      <w:pPr>
        <w:ind w:right="-1"/>
        <w:jc w:val="both"/>
        <w:rPr>
          <w:rFonts w:asciiTheme="majorHAnsi" w:eastAsia="Times New Roman" w:hAnsiTheme="majorHAnsi" w:cstheme="majorHAnsi"/>
          <w:color w:val="000000"/>
          <w:szCs w:val="21"/>
          <w:lang w:eastAsia="pt-BR"/>
        </w:rPr>
      </w:pPr>
    </w:p>
    <w:p w14:paraId="1056CFF7" w14:textId="6D74E110" w:rsidR="00DF4936" w:rsidRPr="00EA16B0" w:rsidRDefault="00DF4936" w:rsidP="00D3608B">
      <w:pPr>
        <w:ind w:right="-1"/>
        <w:jc w:val="both"/>
        <w:rPr>
          <w:rFonts w:asciiTheme="majorHAnsi" w:eastAsia="Times New Roman" w:hAnsiTheme="majorHAnsi" w:cstheme="majorHAnsi"/>
          <w:color w:val="000000"/>
          <w:szCs w:val="21"/>
          <w:lang w:eastAsia="pt-BR"/>
        </w:rPr>
      </w:pPr>
    </w:p>
    <w:p w14:paraId="37EB14B4" w14:textId="50861AD3" w:rsidR="00DF4936" w:rsidRPr="00EA16B0" w:rsidRDefault="00DF4936" w:rsidP="00D3608B">
      <w:pPr>
        <w:ind w:right="-1"/>
        <w:jc w:val="both"/>
        <w:rPr>
          <w:rFonts w:asciiTheme="majorHAnsi" w:eastAsia="Times New Roman" w:hAnsiTheme="majorHAnsi" w:cstheme="majorHAnsi"/>
          <w:color w:val="000000"/>
          <w:szCs w:val="21"/>
          <w:lang w:eastAsia="pt-BR"/>
        </w:rPr>
      </w:pPr>
    </w:p>
    <w:p w14:paraId="43BFFDE6" w14:textId="377C33F3" w:rsidR="00DF4936" w:rsidRPr="00EA16B0" w:rsidRDefault="00DF4936" w:rsidP="00D3608B">
      <w:pPr>
        <w:ind w:right="-1"/>
        <w:jc w:val="both"/>
        <w:rPr>
          <w:rFonts w:asciiTheme="majorHAnsi" w:eastAsia="Times New Roman" w:hAnsiTheme="majorHAnsi" w:cstheme="majorHAnsi"/>
          <w:color w:val="000000"/>
          <w:szCs w:val="21"/>
          <w:lang w:eastAsia="pt-BR"/>
        </w:rPr>
      </w:pPr>
    </w:p>
    <w:p w14:paraId="32E1D17D" w14:textId="77777777" w:rsidR="00DF4936" w:rsidRPr="00EA16B0" w:rsidRDefault="00DF4936" w:rsidP="00D3608B">
      <w:pPr>
        <w:ind w:right="-1"/>
        <w:jc w:val="both"/>
        <w:rPr>
          <w:rFonts w:asciiTheme="majorHAnsi" w:eastAsia="Times New Roman" w:hAnsiTheme="majorHAnsi" w:cstheme="majorHAnsi"/>
          <w:color w:val="000000"/>
          <w:szCs w:val="21"/>
          <w:lang w:eastAsia="pt-BR"/>
        </w:rPr>
      </w:pPr>
    </w:p>
    <w:p w14:paraId="1F817E38" w14:textId="77777777" w:rsidR="00D3608B" w:rsidRPr="00EA16B0" w:rsidRDefault="00D3608B" w:rsidP="00D3608B">
      <w:pPr>
        <w:ind w:right="-1"/>
        <w:jc w:val="both"/>
        <w:rPr>
          <w:rFonts w:asciiTheme="majorHAnsi" w:eastAsia="Times New Roman" w:hAnsiTheme="majorHAnsi" w:cstheme="majorHAnsi"/>
          <w:color w:val="000000"/>
          <w:sz w:val="20"/>
          <w:szCs w:val="21"/>
          <w:lang w:eastAsia="pt-BR"/>
        </w:rPr>
      </w:pPr>
      <w:r w:rsidRPr="00EA16B0">
        <w:rPr>
          <w:rFonts w:asciiTheme="majorHAnsi" w:eastAsia="Times New Roman" w:hAnsiTheme="majorHAnsi" w:cstheme="majorHAnsi"/>
          <w:color w:val="000000"/>
          <w:sz w:val="20"/>
          <w:szCs w:val="21"/>
          <w:lang w:eastAsia="pt-BR"/>
        </w:rPr>
        <w:lastRenderedPageBreak/>
        <w:t>Tabela 3.1. Políticas de ações afirmativas para ingresso no 1.</w:t>
      </w:r>
      <w:r w:rsidRPr="00EA16B0">
        <w:rPr>
          <w:rFonts w:asciiTheme="majorHAnsi" w:eastAsia="Times New Roman" w:hAnsiTheme="majorHAnsi" w:cstheme="majorHAnsi"/>
          <w:color w:val="000000"/>
          <w:sz w:val="20"/>
          <w:szCs w:val="21"/>
          <w:vertAlign w:val="superscript"/>
          <w:lang w:eastAsia="pt-BR"/>
        </w:rPr>
        <w:t>o</w:t>
      </w:r>
      <w:r w:rsidRPr="00EA16B0">
        <w:rPr>
          <w:rFonts w:asciiTheme="majorHAnsi" w:eastAsia="Times New Roman" w:hAnsiTheme="majorHAnsi" w:cstheme="majorHAnsi"/>
          <w:color w:val="000000"/>
          <w:sz w:val="20"/>
          <w:szCs w:val="21"/>
          <w:lang w:eastAsia="pt-BR"/>
        </w:rPr>
        <w:t xml:space="preserve"> semestre de 2022 em duas Instituições que utilizam o </w:t>
      </w:r>
      <w:proofErr w:type="spellStart"/>
      <w:r w:rsidRPr="00EA16B0">
        <w:rPr>
          <w:rFonts w:asciiTheme="majorHAnsi" w:eastAsia="Times New Roman" w:hAnsiTheme="majorHAnsi" w:cstheme="majorHAnsi"/>
          <w:color w:val="000000"/>
          <w:sz w:val="20"/>
          <w:szCs w:val="21"/>
          <w:lang w:eastAsia="pt-BR"/>
        </w:rPr>
        <w:t>SiSU</w:t>
      </w:r>
      <w:proofErr w:type="spellEnd"/>
    </w:p>
    <w:p w14:paraId="45D3FBA4" w14:textId="77777777" w:rsidR="00D3608B" w:rsidRPr="00EA16B0" w:rsidRDefault="00D3608B" w:rsidP="00D3608B">
      <w:pPr>
        <w:spacing w:after="0"/>
        <w:jc w:val="both"/>
        <w:rPr>
          <w:rFonts w:asciiTheme="majorHAnsi" w:eastAsia="Times New Roman" w:hAnsiTheme="majorHAnsi" w:cstheme="majorHAnsi"/>
          <w:color w:val="000000"/>
          <w:szCs w:val="21"/>
          <w:lang w:eastAsia="pt-BR"/>
        </w:rPr>
      </w:pPr>
      <w:r w:rsidRPr="00EA16B0">
        <w:rPr>
          <w:rFonts w:asciiTheme="majorHAnsi" w:hAnsiTheme="majorHAnsi" w:cstheme="majorHAnsi"/>
          <w:noProof/>
          <w:lang w:eastAsia="pt-BR"/>
        </w:rPr>
        <w:drawing>
          <wp:inline distT="0" distB="0" distL="0" distR="0" wp14:anchorId="226A1015" wp14:editId="59F7B8D7">
            <wp:extent cx="6120059" cy="2800350"/>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1822" cy="2801157"/>
                    </a:xfrm>
                    <a:prstGeom prst="rect">
                      <a:avLst/>
                    </a:prstGeom>
                    <a:noFill/>
                    <a:ln>
                      <a:noFill/>
                    </a:ln>
                  </pic:spPr>
                </pic:pic>
              </a:graphicData>
            </a:graphic>
          </wp:inline>
        </w:drawing>
      </w:r>
    </w:p>
    <w:p w14:paraId="70699F7D" w14:textId="6158734F" w:rsidR="00D3608B" w:rsidRPr="00EA16B0" w:rsidRDefault="00D3608B" w:rsidP="00D3608B">
      <w:pPr>
        <w:spacing w:after="240"/>
        <w:ind w:right="851"/>
        <w:jc w:val="both"/>
        <w:rPr>
          <w:rFonts w:asciiTheme="majorHAnsi" w:eastAsia="Times New Roman" w:hAnsiTheme="majorHAnsi" w:cstheme="majorHAnsi"/>
          <w:color w:val="000000"/>
          <w:sz w:val="16"/>
          <w:szCs w:val="16"/>
          <w:lang w:eastAsia="pt-BR"/>
        </w:rPr>
      </w:pPr>
      <w:r w:rsidRPr="00EA16B0">
        <w:rPr>
          <w:rFonts w:asciiTheme="majorHAnsi" w:eastAsia="Times New Roman" w:hAnsiTheme="majorHAnsi" w:cstheme="majorHAnsi"/>
          <w:color w:val="000000"/>
          <w:sz w:val="16"/>
          <w:szCs w:val="16"/>
          <w:lang w:eastAsia="pt-BR"/>
        </w:rPr>
        <w:t xml:space="preserve">Elaborado pelo autor a partir do site do </w:t>
      </w:r>
      <w:proofErr w:type="spellStart"/>
      <w:r w:rsidRPr="00EA16B0">
        <w:rPr>
          <w:rFonts w:asciiTheme="majorHAnsi" w:eastAsia="Times New Roman" w:hAnsiTheme="majorHAnsi" w:cstheme="majorHAnsi"/>
          <w:color w:val="000000"/>
          <w:sz w:val="16"/>
          <w:szCs w:val="16"/>
          <w:lang w:eastAsia="pt-BR"/>
        </w:rPr>
        <w:t>SiSU</w:t>
      </w:r>
      <w:proofErr w:type="spellEnd"/>
      <w:r w:rsidRPr="00EA16B0">
        <w:rPr>
          <w:rFonts w:asciiTheme="majorHAnsi" w:eastAsia="Times New Roman" w:hAnsiTheme="majorHAnsi" w:cstheme="majorHAnsi"/>
          <w:color w:val="000000"/>
          <w:sz w:val="16"/>
          <w:szCs w:val="16"/>
          <w:lang w:eastAsia="pt-BR"/>
        </w:rPr>
        <w:t>, UFABC (2022) e ESCS (2022), com atualização em 18/2/2022.</w:t>
      </w:r>
    </w:p>
    <w:p w14:paraId="194C75F8" w14:textId="77777777" w:rsidR="00DF4936" w:rsidRPr="00EA16B0" w:rsidRDefault="00DF4936" w:rsidP="00D3608B">
      <w:pPr>
        <w:spacing w:after="240"/>
        <w:ind w:right="851"/>
        <w:jc w:val="both"/>
        <w:rPr>
          <w:rFonts w:asciiTheme="majorHAnsi" w:eastAsia="Times New Roman" w:hAnsiTheme="majorHAnsi" w:cstheme="majorHAnsi"/>
          <w:color w:val="000000"/>
          <w:sz w:val="16"/>
          <w:szCs w:val="16"/>
          <w:lang w:eastAsia="pt-BR"/>
        </w:rPr>
      </w:pPr>
    </w:p>
    <w:p w14:paraId="1F18613E" w14:textId="25565D86" w:rsidR="00D3608B" w:rsidRPr="00EA16B0" w:rsidRDefault="00D3608B" w:rsidP="00DF4936">
      <w:pPr>
        <w:spacing w:line="360" w:lineRule="auto"/>
        <w:ind w:right="-1" w:firstLine="709"/>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color w:val="000000"/>
          <w:sz w:val="24"/>
          <w:lang w:eastAsia="pt-BR"/>
        </w:rPr>
        <w:t>Algumas IES utilizavam, ainda, uma pontuação acrescida para beneficiar estudantes egressos da região onde a escola se insere, evitando ou minimizando a vinda de estudantes de outras regiões, ainda que beneficiados por ações afirmativas, mas sem o interesse de permanecer no local/região após sua formação, ou aumentando a possibilidade potencial de evasão. Esse era, por exemplo, o caso da Universidade Federal do Maranhão (UFMA), que concedia uma pontuação acrescida de 20% para alunos egressos de escolas do estado do Maranhão até o ano de 2021. Entretanto, neste ano, há informação de que isso não está ocorrendo, conforme consta do Edital n. 17/2022 da Instituição (UFMA, 2021):</w:t>
      </w:r>
    </w:p>
    <w:p w14:paraId="7D4E9A85" w14:textId="77777777" w:rsidR="00DF4936" w:rsidRPr="00EA16B0" w:rsidRDefault="00DF4936" w:rsidP="00D3608B">
      <w:pPr>
        <w:ind w:right="-1"/>
        <w:jc w:val="both"/>
        <w:rPr>
          <w:rFonts w:asciiTheme="majorHAnsi" w:eastAsia="Times New Roman" w:hAnsiTheme="majorHAnsi" w:cstheme="majorHAnsi"/>
          <w:color w:val="000000"/>
          <w:szCs w:val="21"/>
          <w:lang w:eastAsia="pt-BR"/>
        </w:rPr>
      </w:pPr>
    </w:p>
    <w:p w14:paraId="0557517B" w14:textId="4B8ACD09" w:rsidR="00D3608B" w:rsidRPr="00EA16B0" w:rsidRDefault="00D3608B" w:rsidP="00D3608B">
      <w:pPr>
        <w:spacing w:after="240"/>
        <w:ind w:left="2268" w:right="849"/>
        <w:jc w:val="both"/>
        <w:rPr>
          <w:rFonts w:asciiTheme="majorHAnsi" w:hAnsiTheme="majorHAnsi" w:cstheme="majorHAnsi"/>
          <w:sz w:val="20"/>
          <w:szCs w:val="20"/>
        </w:rPr>
      </w:pPr>
      <w:r w:rsidRPr="00EA16B0">
        <w:rPr>
          <w:rFonts w:asciiTheme="majorHAnsi" w:hAnsiTheme="majorHAnsi" w:cstheme="majorHAnsi"/>
          <w:sz w:val="20"/>
          <w:szCs w:val="20"/>
        </w:rPr>
        <w:t>4.4. Em cumprimento ao acórdão proferido pelo Tribunal Regional Federal da 1.</w:t>
      </w:r>
      <w:r w:rsidRPr="00EA16B0">
        <w:rPr>
          <w:rFonts w:asciiTheme="majorHAnsi" w:hAnsiTheme="majorHAnsi" w:cstheme="majorHAnsi"/>
          <w:sz w:val="20"/>
          <w:szCs w:val="20"/>
          <w:vertAlign w:val="superscript"/>
        </w:rPr>
        <w:t>a</w:t>
      </w:r>
      <w:r w:rsidRPr="00EA16B0">
        <w:rPr>
          <w:rFonts w:asciiTheme="majorHAnsi" w:hAnsiTheme="majorHAnsi" w:cstheme="majorHAnsi"/>
          <w:sz w:val="20"/>
          <w:szCs w:val="20"/>
        </w:rPr>
        <w:t xml:space="preserve"> Região, (TRF1) no âmbito da Ação Civil Pública ajuizada pelo Ministério Público Federal (MPF-MA), deixou de viger a Resolução CONSEPE nº 1.653/2017, que regulamentava a aplicação da bonificação de 20% na nota final do ENEM para os estudantes que cursaram o último ano do Ensino fundamental (9º ano) e os três anos do Ensino médio (1.</w:t>
      </w:r>
      <w:r w:rsidRPr="00EA16B0">
        <w:rPr>
          <w:rFonts w:asciiTheme="majorHAnsi" w:hAnsiTheme="majorHAnsi" w:cstheme="majorHAnsi"/>
          <w:sz w:val="20"/>
          <w:szCs w:val="20"/>
          <w:vertAlign w:val="superscript"/>
        </w:rPr>
        <w:t>o</w:t>
      </w:r>
      <w:r w:rsidRPr="00EA16B0">
        <w:rPr>
          <w:rFonts w:asciiTheme="majorHAnsi" w:hAnsiTheme="majorHAnsi" w:cstheme="majorHAnsi"/>
          <w:sz w:val="20"/>
          <w:szCs w:val="20"/>
        </w:rPr>
        <w:t xml:space="preserve"> ao 3.</w:t>
      </w:r>
      <w:r w:rsidRPr="00EA16B0">
        <w:rPr>
          <w:rFonts w:asciiTheme="majorHAnsi" w:hAnsiTheme="majorHAnsi" w:cstheme="majorHAnsi"/>
          <w:sz w:val="20"/>
          <w:szCs w:val="20"/>
          <w:vertAlign w:val="superscript"/>
        </w:rPr>
        <w:t>o</w:t>
      </w:r>
      <w:r w:rsidRPr="00EA16B0" w:rsidDel="00BA50BE">
        <w:rPr>
          <w:rFonts w:asciiTheme="majorHAnsi" w:hAnsiTheme="majorHAnsi" w:cstheme="majorHAnsi"/>
          <w:sz w:val="20"/>
          <w:szCs w:val="20"/>
        </w:rPr>
        <w:t xml:space="preserve"> </w:t>
      </w:r>
      <w:r w:rsidRPr="00EA16B0">
        <w:rPr>
          <w:rFonts w:asciiTheme="majorHAnsi" w:hAnsiTheme="majorHAnsi" w:cstheme="majorHAnsi"/>
          <w:sz w:val="20"/>
          <w:szCs w:val="20"/>
        </w:rPr>
        <w:t>ano) em escolas públicas ou privadas do Estado do Maranhão. Portanto, não será possível optar por essa ação afirmativa, própria da UFMA, neste Processo Seletivo. (UFMA, 2021, p. 4).</w:t>
      </w:r>
    </w:p>
    <w:p w14:paraId="26E8C1B1" w14:textId="77777777" w:rsidR="00DF4936" w:rsidRPr="00EA16B0" w:rsidRDefault="00DF4936" w:rsidP="00D3608B">
      <w:pPr>
        <w:spacing w:after="240"/>
        <w:ind w:left="2268" w:right="849"/>
        <w:jc w:val="both"/>
        <w:rPr>
          <w:rFonts w:asciiTheme="majorHAnsi" w:hAnsiTheme="majorHAnsi" w:cstheme="majorHAnsi"/>
          <w:sz w:val="20"/>
          <w:szCs w:val="20"/>
        </w:rPr>
      </w:pPr>
    </w:p>
    <w:p w14:paraId="01DD99E1" w14:textId="77777777" w:rsidR="00D3608B" w:rsidRPr="00EA16B0" w:rsidRDefault="00D3608B" w:rsidP="00DF4936">
      <w:pPr>
        <w:spacing w:line="360" w:lineRule="auto"/>
        <w:ind w:right="-1" w:firstLine="709"/>
        <w:jc w:val="both"/>
        <w:rPr>
          <w:rFonts w:asciiTheme="majorHAnsi" w:hAnsiTheme="majorHAnsi" w:cstheme="majorHAnsi"/>
          <w:sz w:val="24"/>
          <w:szCs w:val="24"/>
        </w:rPr>
      </w:pPr>
      <w:r w:rsidRPr="00EA16B0">
        <w:rPr>
          <w:rFonts w:asciiTheme="majorHAnsi" w:hAnsiTheme="majorHAnsi" w:cstheme="majorHAnsi"/>
          <w:spacing w:val="-2"/>
          <w:sz w:val="24"/>
          <w:szCs w:val="24"/>
        </w:rPr>
        <w:t xml:space="preserve">Dessa forma, a sugestão de um percentual diferenciado realizada por </w:t>
      </w:r>
      <w:proofErr w:type="spellStart"/>
      <w:r w:rsidRPr="00EA16B0">
        <w:rPr>
          <w:rFonts w:asciiTheme="majorHAnsi" w:hAnsiTheme="majorHAnsi" w:cstheme="majorHAnsi"/>
          <w:spacing w:val="-2"/>
          <w:sz w:val="24"/>
          <w:szCs w:val="24"/>
        </w:rPr>
        <w:t>Cortelazzo</w:t>
      </w:r>
      <w:proofErr w:type="spellEnd"/>
      <w:r w:rsidRPr="00EA16B0">
        <w:rPr>
          <w:rFonts w:asciiTheme="majorHAnsi" w:hAnsiTheme="majorHAnsi" w:cstheme="majorHAnsi"/>
          <w:spacing w:val="-2"/>
          <w:sz w:val="24"/>
          <w:szCs w:val="24"/>
        </w:rPr>
        <w:t xml:space="preserve"> (2022) para egressos de escolas</w:t>
      </w:r>
      <w:r w:rsidRPr="00EA16B0">
        <w:rPr>
          <w:rFonts w:asciiTheme="majorHAnsi" w:hAnsiTheme="majorHAnsi" w:cstheme="majorHAnsi"/>
          <w:sz w:val="24"/>
          <w:szCs w:val="24"/>
        </w:rPr>
        <w:t xml:space="preserve"> públicas do DF ou da RIDE deve ser analisada à luz desses fatos, bem como a opção por um sistema de ingresso que não utilize o </w:t>
      </w:r>
      <w:proofErr w:type="spellStart"/>
      <w:r w:rsidRPr="00EA16B0">
        <w:rPr>
          <w:rFonts w:asciiTheme="majorHAnsi" w:hAnsiTheme="majorHAnsi" w:cstheme="majorHAnsi"/>
          <w:sz w:val="24"/>
          <w:szCs w:val="24"/>
        </w:rPr>
        <w:t>SiSU</w:t>
      </w:r>
      <w:proofErr w:type="spellEnd"/>
      <w:r w:rsidRPr="00EA16B0">
        <w:rPr>
          <w:rFonts w:asciiTheme="majorHAnsi" w:hAnsiTheme="majorHAnsi" w:cstheme="majorHAnsi"/>
          <w:sz w:val="24"/>
          <w:szCs w:val="24"/>
        </w:rPr>
        <w:t xml:space="preserve">, mas que se baseie em outro processo </w:t>
      </w:r>
      <w:r w:rsidRPr="00EA16B0">
        <w:rPr>
          <w:rFonts w:asciiTheme="majorHAnsi" w:hAnsiTheme="majorHAnsi" w:cstheme="majorHAnsi"/>
          <w:sz w:val="24"/>
          <w:szCs w:val="24"/>
        </w:rPr>
        <w:lastRenderedPageBreak/>
        <w:t xml:space="preserve">seletivo como o uso do ENEM ou uso de histórico </w:t>
      </w:r>
      <w:r w:rsidRPr="00EA16B0">
        <w:rPr>
          <w:rFonts w:asciiTheme="majorHAnsi" w:hAnsiTheme="majorHAnsi" w:cstheme="majorHAnsi"/>
          <w:spacing w:val="-2"/>
          <w:sz w:val="24"/>
          <w:szCs w:val="24"/>
        </w:rPr>
        <w:t>escolar para todas as vagas ou para um percentual, o que poderia contribuir para o ingresso de estudantes das</w:t>
      </w:r>
      <w:r w:rsidRPr="00EA16B0">
        <w:rPr>
          <w:rFonts w:asciiTheme="majorHAnsi" w:hAnsiTheme="majorHAnsi" w:cstheme="majorHAnsi"/>
          <w:sz w:val="24"/>
          <w:szCs w:val="24"/>
        </w:rPr>
        <w:t xml:space="preserve"> escolas públicas da região, se assim for o interesse institucional. A Unicamp, para ingresso no seu Programa </w:t>
      </w:r>
      <w:r w:rsidRPr="00EA16B0">
        <w:rPr>
          <w:rFonts w:asciiTheme="majorHAnsi" w:hAnsiTheme="majorHAnsi" w:cstheme="majorHAnsi"/>
          <w:spacing w:val="-2"/>
          <w:sz w:val="24"/>
          <w:szCs w:val="24"/>
        </w:rPr>
        <w:t>de Formação Interdisciplinar Superior (PROFIS), com 120 vagas, utiliza a melhor nota obtida no ENEM para um</w:t>
      </w:r>
      <w:r w:rsidRPr="00EA16B0">
        <w:rPr>
          <w:rFonts w:asciiTheme="majorHAnsi" w:hAnsiTheme="majorHAnsi" w:cstheme="majorHAnsi"/>
          <w:sz w:val="24"/>
          <w:szCs w:val="24"/>
        </w:rPr>
        <w:t xml:space="preserve"> </w:t>
      </w:r>
      <w:r w:rsidRPr="00EA16B0">
        <w:rPr>
          <w:rFonts w:asciiTheme="majorHAnsi" w:hAnsiTheme="majorHAnsi" w:cstheme="majorHAnsi"/>
          <w:spacing w:val="-2"/>
          <w:sz w:val="24"/>
          <w:szCs w:val="24"/>
        </w:rPr>
        <w:t>estudante de cada escola pública da cidade de Campinas e que tenha interesse na realização dessa formação</w:t>
      </w:r>
      <w:r w:rsidRPr="00EA16B0">
        <w:rPr>
          <w:rFonts w:asciiTheme="majorHAnsi" w:hAnsiTheme="majorHAnsi" w:cstheme="majorHAnsi"/>
          <w:sz w:val="24"/>
          <w:szCs w:val="24"/>
        </w:rPr>
        <w:t>.</w:t>
      </w:r>
    </w:p>
    <w:p w14:paraId="15675F6F" w14:textId="1C2E6495" w:rsidR="00D3608B" w:rsidRPr="00EA16B0" w:rsidRDefault="00D3608B" w:rsidP="00DF4936">
      <w:pPr>
        <w:spacing w:line="360" w:lineRule="auto"/>
        <w:ind w:firstLine="709"/>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color w:val="000000"/>
          <w:sz w:val="24"/>
          <w:lang w:eastAsia="pt-BR"/>
        </w:rPr>
        <w:t>Outra questão relevante quanto ao ingresso refere-se ao preenchimento das vagas oferecidas. Na maioria das IES públicas, a despeito da procura ser maior que a oferta, os processos administrativos necessários ao ingresso dos estudantes muitas vezes resultam na ociosidade de um percentual das vagas ofertadas, ainda que pequeno, especialmente se considerada a ociosidade decorrente do ingresso em IES privadas. Alguns valores nacionais obtidos do Censo de 2019, último disponível, estão descritos a seguir para contribuir com a discussão desse tema (tabela 3.2).</w:t>
      </w:r>
    </w:p>
    <w:p w14:paraId="39C4F366" w14:textId="77777777" w:rsidR="00D3608B" w:rsidRPr="00EA16B0" w:rsidRDefault="00D3608B" w:rsidP="00D3608B">
      <w:pPr>
        <w:jc w:val="both"/>
        <w:rPr>
          <w:rFonts w:asciiTheme="majorHAnsi" w:eastAsia="Times New Roman" w:hAnsiTheme="majorHAnsi" w:cstheme="majorHAnsi"/>
          <w:color w:val="000000"/>
          <w:szCs w:val="21"/>
          <w:lang w:eastAsia="pt-BR"/>
        </w:rPr>
      </w:pPr>
    </w:p>
    <w:p w14:paraId="53BA743C" w14:textId="77777777" w:rsidR="00D3608B" w:rsidRPr="00EA16B0" w:rsidRDefault="00D3608B" w:rsidP="00DF4936">
      <w:pPr>
        <w:spacing w:after="0"/>
        <w:ind w:right="-1"/>
        <w:rPr>
          <w:rFonts w:asciiTheme="majorHAnsi" w:eastAsia="Times New Roman" w:hAnsiTheme="majorHAnsi" w:cstheme="majorHAnsi"/>
          <w:color w:val="000000"/>
          <w:sz w:val="20"/>
          <w:szCs w:val="21"/>
          <w:lang w:eastAsia="pt-BR"/>
        </w:rPr>
      </w:pPr>
      <w:r w:rsidRPr="00EA16B0">
        <w:rPr>
          <w:rFonts w:asciiTheme="majorHAnsi" w:eastAsia="Times New Roman" w:hAnsiTheme="majorHAnsi" w:cstheme="majorHAnsi"/>
          <w:color w:val="000000"/>
          <w:sz w:val="20"/>
          <w:szCs w:val="21"/>
          <w:lang w:eastAsia="pt-BR"/>
        </w:rPr>
        <w:t>Tabela 3.2. Vagas, Candidatos, Ingressos e Ociosidade no total de cursos superiores do Brasil em 2019.</w:t>
      </w:r>
    </w:p>
    <w:p w14:paraId="3309F604" w14:textId="77777777" w:rsidR="00D3608B" w:rsidRPr="00EA16B0" w:rsidRDefault="00D3608B" w:rsidP="00D3608B">
      <w:pPr>
        <w:spacing w:after="0"/>
        <w:ind w:right="-1"/>
        <w:jc w:val="center"/>
        <w:rPr>
          <w:rFonts w:asciiTheme="majorHAnsi" w:eastAsia="Times New Roman" w:hAnsiTheme="majorHAnsi" w:cstheme="majorHAnsi"/>
          <w:color w:val="000000"/>
          <w:szCs w:val="21"/>
          <w:lang w:eastAsia="pt-BR"/>
        </w:rPr>
      </w:pPr>
      <w:r w:rsidRPr="00EA16B0">
        <w:rPr>
          <w:rFonts w:asciiTheme="majorHAnsi" w:hAnsiTheme="majorHAnsi" w:cstheme="majorHAnsi"/>
          <w:noProof/>
          <w:lang w:eastAsia="pt-BR"/>
        </w:rPr>
        <w:drawing>
          <wp:inline distT="0" distB="0" distL="0" distR="0" wp14:anchorId="0F7AE753" wp14:editId="79091F1C">
            <wp:extent cx="4724400" cy="1287780"/>
            <wp:effectExtent l="0" t="0" r="0" b="762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24400" cy="1287780"/>
                    </a:xfrm>
                    <a:prstGeom prst="rect">
                      <a:avLst/>
                    </a:prstGeom>
                    <a:noFill/>
                    <a:ln>
                      <a:noFill/>
                    </a:ln>
                  </pic:spPr>
                </pic:pic>
              </a:graphicData>
            </a:graphic>
          </wp:inline>
        </w:drawing>
      </w:r>
    </w:p>
    <w:p w14:paraId="202FD797" w14:textId="4A5B5A99" w:rsidR="00D3608B" w:rsidRPr="00EA16B0" w:rsidRDefault="00D3608B" w:rsidP="00DF4936">
      <w:pPr>
        <w:rPr>
          <w:rFonts w:asciiTheme="majorHAnsi" w:eastAsia="Times New Roman" w:hAnsiTheme="majorHAnsi" w:cstheme="majorHAnsi"/>
          <w:color w:val="000000"/>
          <w:sz w:val="16"/>
          <w:szCs w:val="21"/>
          <w:lang w:eastAsia="pt-BR"/>
        </w:rPr>
      </w:pPr>
      <w:r w:rsidRPr="00EA16B0">
        <w:rPr>
          <w:rFonts w:asciiTheme="majorHAnsi" w:eastAsia="Times New Roman" w:hAnsiTheme="majorHAnsi" w:cstheme="majorHAnsi"/>
          <w:color w:val="000000"/>
          <w:sz w:val="16"/>
          <w:szCs w:val="21"/>
          <w:lang w:eastAsia="pt-BR"/>
        </w:rPr>
        <w:t>Fonte: Elaborado pelo autor a partir do Censo da Educação Superior de 2019 (INEP, 2020a)</w:t>
      </w:r>
    </w:p>
    <w:p w14:paraId="2DAF7B5F" w14:textId="77777777" w:rsidR="00DF4936" w:rsidRPr="00EA16B0" w:rsidRDefault="00DF4936" w:rsidP="00D3608B">
      <w:pPr>
        <w:jc w:val="center"/>
        <w:rPr>
          <w:rFonts w:asciiTheme="majorHAnsi" w:eastAsia="Times New Roman" w:hAnsiTheme="majorHAnsi" w:cstheme="majorHAnsi"/>
          <w:color w:val="000000"/>
          <w:sz w:val="16"/>
          <w:szCs w:val="21"/>
          <w:lang w:eastAsia="pt-BR"/>
        </w:rPr>
      </w:pPr>
    </w:p>
    <w:p w14:paraId="666E710D" w14:textId="77777777" w:rsidR="00D3608B" w:rsidRPr="00EA16B0" w:rsidRDefault="00D3608B" w:rsidP="00DF4936">
      <w:pPr>
        <w:spacing w:line="360" w:lineRule="auto"/>
        <w:ind w:firstLine="709"/>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color w:val="000000"/>
          <w:sz w:val="24"/>
          <w:lang w:eastAsia="pt-BR"/>
        </w:rPr>
        <w:t>A tabela mostra que a demanda nas IES Públicas é de praticamente 10 candidatos/vaga (9,8), distribuídos entre candidatos de IES federais (12,2 c/v), estaduais (8,9 c/v) e municipais (0,9 c/v). No Brasil, conforme explicado anteriormente, a partir de 1988, o ensino de graduação público é gratuito e as IES que já existiam até essa data e que cobravam mensalidade (quase a totalidade das IES municipais) puderam permanecer com essa situação sem perda dessa natureza jurídica. Por isso, a demanda nessas IES é nitidamente menor e comparável à das IES privadas (1,1 c/v), o mesmo ocorrendo com os valores de ociosidade, apenas levemente inferior ao das IES privadas e muito superior ao das outras públicas (tabela 3.2).</w:t>
      </w:r>
    </w:p>
    <w:p w14:paraId="35F3FE94" w14:textId="401CB28B" w:rsidR="00D3608B" w:rsidRPr="00EA16B0" w:rsidRDefault="00D3608B" w:rsidP="00DF4936">
      <w:pPr>
        <w:spacing w:after="240" w:line="360" w:lineRule="auto"/>
        <w:ind w:firstLine="709"/>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color w:val="000000"/>
          <w:sz w:val="24"/>
          <w:lang w:eastAsia="pt-BR"/>
        </w:rPr>
        <w:t xml:space="preserve">Nota-se que, a despeito de as IES públicas ofertarem apenas 5,3% das vagas e com uma concorrência quase 10 vezes maior que as privadas, ainda apresentam vagas não preenchidas no ingresso, o que não deveria ser admitido, seja em função dessa alta demanda, seja pelo percentual de vagas públicas de educação superior no país. Para refinar os dados, foram analisados os cursos </w:t>
      </w:r>
      <w:r w:rsidRPr="00EA16B0">
        <w:rPr>
          <w:rFonts w:asciiTheme="majorHAnsi" w:eastAsia="Times New Roman" w:hAnsiTheme="majorHAnsi" w:cstheme="majorHAnsi"/>
          <w:color w:val="000000"/>
          <w:sz w:val="24"/>
          <w:lang w:eastAsia="pt-BR"/>
        </w:rPr>
        <w:lastRenderedPageBreak/>
        <w:t xml:space="preserve">da área de computação que serão ofertados pela </w:t>
      </w:r>
      <w:proofErr w:type="spellStart"/>
      <w:r w:rsidRPr="00EA16B0">
        <w:rPr>
          <w:rFonts w:asciiTheme="majorHAnsi" w:eastAsia="Times New Roman" w:hAnsiTheme="majorHAnsi" w:cstheme="majorHAnsi"/>
          <w:color w:val="000000"/>
          <w:sz w:val="24"/>
          <w:lang w:eastAsia="pt-BR"/>
        </w:rPr>
        <w:t>UnDF</w:t>
      </w:r>
      <w:proofErr w:type="spellEnd"/>
      <w:r w:rsidRPr="00EA16B0">
        <w:rPr>
          <w:rFonts w:asciiTheme="majorHAnsi" w:eastAsia="Times New Roman" w:hAnsiTheme="majorHAnsi" w:cstheme="majorHAnsi"/>
          <w:color w:val="000000"/>
          <w:sz w:val="24"/>
          <w:lang w:eastAsia="pt-BR"/>
        </w:rPr>
        <w:t xml:space="preserve"> e os cursos de maior e de menor relação candidato/vaga nas IES públicas (federais, estaduais e municipais), desde que com mais de 1.000 vagas ofertadas. Os resultados estão descritos na tabela 3.3.</w:t>
      </w:r>
    </w:p>
    <w:p w14:paraId="27FA5FD4" w14:textId="77777777" w:rsidR="00DF4936" w:rsidRPr="00EA16B0" w:rsidRDefault="00DF4936" w:rsidP="00D3608B">
      <w:pPr>
        <w:spacing w:after="240"/>
        <w:jc w:val="both"/>
        <w:rPr>
          <w:rFonts w:asciiTheme="majorHAnsi" w:eastAsia="Times New Roman" w:hAnsiTheme="majorHAnsi" w:cstheme="majorHAnsi"/>
          <w:color w:val="000000"/>
          <w:szCs w:val="21"/>
          <w:lang w:eastAsia="pt-BR"/>
        </w:rPr>
      </w:pPr>
    </w:p>
    <w:p w14:paraId="6C7A3B18" w14:textId="77777777" w:rsidR="00D3608B" w:rsidRPr="00EA16B0" w:rsidRDefault="00D3608B" w:rsidP="00D3608B">
      <w:pPr>
        <w:spacing w:after="0"/>
        <w:ind w:right="-1"/>
        <w:jc w:val="center"/>
        <w:rPr>
          <w:rFonts w:asciiTheme="majorHAnsi" w:eastAsia="Times New Roman" w:hAnsiTheme="majorHAnsi" w:cstheme="majorHAnsi"/>
          <w:color w:val="000000"/>
          <w:sz w:val="20"/>
          <w:szCs w:val="21"/>
          <w:lang w:eastAsia="pt-BR"/>
        </w:rPr>
      </w:pPr>
      <w:r w:rsidRPr="00EA16B0">
        <w:rPr>
          <w:rFonts w:asciiTheme="majorHAnsi" w:eastAsia="Times New Roman" w:hAnsiTheme="majorHAnsi" w:cstheme="majorHAnsi"/>
          <w:color w:val="000000"/>
          <w:sz w:val="20"/>
          <w:szCs w:val="21"/>
          <w:lang w:eastAsia="pt-BR"/>
        </w:rPr>
        <w:t xml:space="preserve">Tabela 3.3 Vagas, candidatos, ingressos e ociosidade no total de cursos superiores do Brasil e nos cursos da área de computação que serão ofertados pela </w:t>
      </w:r>
      <w:proofErr w:type="spellStart"/>
      <w:r w:rsidRPr="00EA16B0">
        <w:rPr>
          <w:rFonts w:asciiTheme="majorHAnsi" w:eastAsia="Times New Roman" w:hAnsiTheme="majorHAnsi" w:cstheme="majorHAnsi"/>
          <w:color w:val="000000"/>
          <w:sz w:val="20"/>
          <w:szCs w:val="21"/>
          <w:lang w:eastAsia="pt-BR"/>
        </w:rPr>
        <w:t>UnDF</w:t>
      </w:r>
      <w:proofErr w:type="spellEnd"/>
      <w:r w:rsidRPr="00EA16B0">
        <w:rPr>
          <w:rFonts w:asciiTheme="majorHAnsi" w:eastAsia="Times New Roman" w:hAnsiTheme="majorHAnsi" w:cstheme="majorHAnsi"/>
          <w:color w:val="000000"/>
          <w:sz w:val="20"/>
          <w:szCs w:val="21"/>
          <w:lang w:eastAsia="pt-BR"/>
        </w:rPr>
        <w:t>, de Medicina e Formação de Professores para a Educação Especial.</w:t>
      </w:r>
    </w:p>
    <w:p w14:paraId="283A04ED" w14:textId="77777777" w:rsidR="00D3608B" w:rsidRPr="00EA16B0" w:rsidRDefault="00D3608B" w:rsidP="00D3608B">
      <w:pPr>
        <w:spacing w:after="0"/>
        <w:ind w:right="-1"/>
        <w:jc w:val="center"/>
        <w:rPr>
          <w:rFonts w:asciiTheme="majorHAnsi" w:eastAsia="Times New Roman" w:hAnsiTheme="majorHAnsi" w:cstheme="majorHAnsi"/>
          <w:color w:val="000000"/>
          <w:sz w:val="20"/>
          <w:szCs w:val="21"/>
          <w:lang w:eastAsia="pt-BR"/>
        </w:rPr>
      </w:pPr>
      <w:r w:rsidRPr="00EA16B0">
        <w:rPr>
          <w:rFonts w:asciiTheme="majorHAnsi" w:hAnsiTheme="majorHAnsi" w:cstheme="majorHAnsi"/>
          <w:noProof/>
          <w:lang w:eastAsia="pt-BR"/>
        </w:rPr>
        <w:drawing>
          <wp:inline distT="0" distB="0" distL="0" distR="0" wp14:anchorId="6DFB6BB5" wp14:editId="615FE661">
            <wp:extent cx="6120130" cy="3031177"/>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3031177"/>
                    </a:xfrm>
                    <a:prstGeom prst="rect">
                      <a:avLst/>
                    </a:prstGeom>
                    <a:noFill/>
                    <a:ln>
                      <a:noFill/>
                    </a:ln>
                  </pic:spPr>
                </pic:pic>
              </a:graphicData>
            </a:graphic>
          </wp:inline>
        </w:drawing>
      </w:r>
    </w:p>
    <w:p w14:paraId="54DBBFA7" w14:textId="3AD55623" w:rsidR="00D3608B" w:rsidRPr="00EA16B0" w:rsidRDefault="00D3608B" w:rsidP="00D3608B">
      <w:pPr>
        <w:spacing w:after="240"/>
        <w:jc w:val="both"/>
        <w:rPr>
          <w:rFonts w:asciiTheme="majorHAnsi" w:eastAsia="Times New Roman" w:hAnsiTheme="majorHAnsi" w:cstheme="majorHAnsi"/>
          <w:color w:val="000000"/>
          <w:sz w:val="16"/>
          <w:szCs w:val="21"/>
          <w:lang w:eastAsia="pt-BR"/>
        </w:rPr>
      </w:pPr>
      <w:r w:rsidRPr="00EA16B0">
        <w:rPr>
          <w:rFonts w:asciiTheme="majorHAnsi" w:eastAsia="Times New Roman" w:hAnsiTheme="majorHAnsi" w:cstheme="majorHAnsi"/>
          <w:color w:val="000000"/>
          <w:sz w:val="16"/>
          <w:szCs w:val="16"/>
          <w:lang w:eastAsia="pt-BR"/>
        </w:rPr>
        <w:t>1.</w:t>
      </w:r>
      <w:r w:rsidRPr="00EA16B0">
        <w:rPr>
          <w:rFonts w:asciiTheme="majorHAnsi" w:eastAsia="Times New Roman" w:hAnsiTheme="majorHAnsi" w:cstheme="majorHAnsi"/>
          <w:color w:val="000000"/>
          <w:sz w:val="16"/>
          <w:szCs w:val="21"/>
          <w:lang w:eastAsia="pt-BR"/>
        </w:rPr>
        <w:t>Total geral de toda a graduação do país; 2. Eng. Computação de cursos que seguem as DCN das Engenharias; 3. Eng. Computação de cursos que seguem as DCN da Computação; 4. Formação de Professores para Educação Especial. 5. Engloba IES Federais, Estaduais e Municipais. Fonte: Elaborado pelo autor a partir dos dados do Censo de 2019 (INEP, 2020a).</w:t>
      </w:r>
    </w:p>
    <w:p w14:paraId="2556446C" w14:textId="77777777" w:rsidR="00DF4936" w:rsidRPr="00EA16B0" w:rsidRDefault="00DF4936" w:rsidP="00D3608B">
      <w:pPr>
        <w:spacing w:after="240"/>
        <w:jc w:val="both"/>
        <w:rPr>
          <w:rFonts w:asciiTheme="majorHAnsi" w:eastAsia="Times New Roman" w:hAnsiTheme="majorHAnsi" w:cstheme="majorHAnsi"/>
          <w:color w:val="000000"/>
          <w:sz w:val="16"/>
          <w:szCs w:val="21"/>
          <w:lang w:eastAsia="pt-BR"/>
        </w:rPr>
      </w:pPr>
    </w:p>
    <w:p w14:paraId="0D54556B" w14:textId="77777777" w:rsidR="00D3608B" w:rsidRPr="00EA16B0" w:rsidRDefault="00D3608B" w:rsidP="00DF4936">
      <w:pPr>
        <w:spacing w:line="360" w:lineRule="auto"/>
        <w:ind w:firstLine="709"/>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color w:val="000000"/>
          <w:sz w:val="24"/>
          <w:lang w:eastAsia="pt-BR"/>
        </w:rPr>
        <w:t xml:space="preserve">O detalhamento não se deu com a discriminação das Unidades Federativas nem com o detalhamento entre </w:t>
      </w:r>
      <w:r w:rsidRPr="00EA16B0">
        <w:rPr>
          <w:rFonts w:asciiTheme="majorHAnsi" w:eastAsia="Times New Roman" w:hAnsiTheme="majorHAnsi" w:cstheme="majorHAnsi"/>
          <w:color w:val="000000"/>
          <w:spacing w:val="-2"/>
          <w:sz w:val="24"/>
          <w:lang w:eastAsia="pt-BR"/>
        </w:rPr>
        <w:t>as diferentes IES públicas, pois esses dados não foram encontrados no material consultado. Entretanto, isso foi</w:t>
      </w:r>
      <w:r w:rsidRPr="00EA16B0">
        <w:rPr>
          <w:rFonts w:asciiTheme="majorHAnsi" w:eastAsia="Times New Roman" w:hAnsiTheme="majorHAnsi" w:cstheme="majorHAnsi"/>
          <w:color w:val="000000"/>
          <w:sz w:val="24"/>
          <w:lang w:eastAsia="pt-BR"/>
        </w:rPr>
        <w:t xml:space="preserve"> possível para o país como um todo e para IES públicas e privadas, o que não deixa de retratar o comportamento geral, já que as IES municipais têm pouca participação percentual na oferta de vagas como um todo.</w:t>
      </w:r>
    </w:p>
    <w:p w14:paraId="775DA4FD" w14:textId="77777777" w:rsidR="00D3608B" w:rsidRPr="00EA16B0" w:rsidRDefault="00D3608B" w:rsidP="00DF4936">
      <w:pPr>
        <w:spacing w:line="360" w:lineRule="auto"/>
        <w:ind w:firstLine="709"/>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color w:val="000000"/>
          <w:sz w:val="24"/>
          <w:lang w:eastAsia="pt-BR"/>
        </w:rPr>
        <w:t xml:space="preserve">Pode-se notar que em todos os cursos analisados há vagas não preenchidas. Nas IES privadas, isso se deve possivelmente a dois fatores: uma oferta de vagas superestimada em relação à demanda em muitos locais e à saturação dos ingressantes que podem arcar com os custos da formação; nas públicas, alguns cursos não apresentam demanda e, com isso, já ocorreria ociosidade no preenchimento das vagas. Mas 5% das vagas da Medicina (588 alunos potenciais) não conseguem preenchimento no país, mesmo considerada a demanda superior a 60 candidatos/vaga. A despeito da ociosidade nas municipais ser muito superior, como se viu na tabela 3.2, nas federais e estaduais </w:t>
      </w:r>
      <w:r w:rsidRPr="00EA16B0">
        <w:rPr>
          <w:rFonts w:asciiTheme="majorHAnsi" w:eastAsia="Times New Roman" w:hAnsiTheme="majorHAnsi" w:cstheme="majorHAnsi"/>
          <w:color w:val="000000"/>
          <w:sz w:val="24"/>
          <w:lang w:eastAsia="pt-BR"/>
        </w:rPr>
        <w:lastRenderedPageBreak/>
        <w:t xml:space="preserve">gratuitas, esse valor deveria ser zero. O que pode se supor é que o processo de preenchimento das vagas ofertadas, em sistemas que permitem duas opções, como o </w:t>
      </w:r>
      <w:proofErr w:type="spellStart"/>
      <w:r w:rsidRPr="00EA16B0">
        <w:rPr>
          <w:rFonts w:asciiTheme="majorHAnsi" w:eastAsia="Times New Roman" w:hAnsiTheme="majorHAnsi" w:cstheme="majorHAnsi"/>
          <w:color w:val="000000"/>
          <w:sz w:val="24"/>
          <w:lang w:eastAsia="pt-BR"/>
        </w:rPr>
        <w:t>SiSU</w:t>
      </w:r>
      <w:proofErr w:type="spellEnd"/>
      <w:r w:rsidRPr="00EA16B0">
        <w:rPr>
          <w:rFonts w:asciiTheme="majorHAnsi" w:eastAsia="Times New Roman" w:hAnsiTheme="majorHAnsi" w:cstheme="majorHAnsi"/>
          <w:color w:val="000000"/>
          <w:sz w:val="24"/>
          <w:lang w:eastAsia="pt-BR"/>
        </w:rPr>
        <w:t>, a movimentação dos estudantes para cursos e instituições de primeira opção tem um efeito cascata que vai deixar a ociosidade maior em cursos de baixa demanda e em instituições de segunda opção. Apesar de esse fato poder explicar a ociosidade, não a justifica obviamente.</w:t>
      </w:r>
    </w:p>
    <w:p w14:paraId="5E8F63D0" w14:textId="3AE631DF" w:rsidR="00D3608B" w:rsidRPr="00EA16B0" w:rsidRDefault="00D3608B" w:rsidP="00DF4936">
      <w:pPr>
        <w:spacing w:line="360" w:lineRule="auto"/>
        <w:ind w:firstLine="709"/>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color w:val="000000"/>
          <w:sz w:val="24"/>
          <w:lang w:eastAsia="pt-BR"/>
        </w:rPr>
        <w:t>Pode ainda ser notado que a oferta dos cursos de Engenharia de Computação é tratada separadamente para os cursos que seguem as DCN da área de computação e aqueles que seguem as DCN das engenharias, o que não deixa de ser singular, já que, em tese, a formação deveria ser a mesma e, caso contrário, o nome de pelo menos um dos cursos, ser modificado. Isso também passará a ocorrer com os cursos de Engenharia de Software, regulamentados pelo CREA em 2018 e, por isso, agora na mesma situação da Engenharia da Computação, o que deverá alterar carga horária de integralização e algumas atividades curriculares inerentes à formação para poder ser obtido o registro profissional no CREA. Nesses dois casos, o problema extrapola o conteúdo dos cursos e se manifesta na carga horária mínima, que é, aproximadamente, um semestre menor para os cursos baseados nas DCN da Computação (3.200 horas) em relação àqueles baseados nas DCN das Engenharias (3.600 horas) conforme já abordado no item 1.3 deste Relatório.</w:t>
      </w:r>
    </w:p>
    <w:p w14:paraId="2C141047" w14:textId="77777777" w:rsidR="00DF4936" w:rsidRPr="00EA16B0" w:rsidRDefault="00DF4936" w:rsidP="00DF4936">
      <w:pPr>
        <w:spacing w:line="360" w:lineRule="auto"/>
        <w:ind w:firstLine="709"/>
        <w:jc w:val="both"/>
        <w:rPr>
          <w:rFonts w:asciiTheme="majorHAnsi" w:eastAsia="Times New Roman" w:hAnsiTheme="majorHAnsi" w:cstheme="majorHAnsi"/>
          <w:color w:val="000000"/>
          <w:sz w:val="24"/>
          <w:lang w:eastAsia="pt-BR"/>
        </w:rPr>
      </w:pPr>
    </w:p>
    <w:p w14:paraId="3DF4FD9A" w14:textId="32B8D3F0" w:rsidR="00D3608B" w:rsidRPr="00EA16B0" w:rsidRDefault="00D3608B" w:rsidP="003A7871">
      <w:pPr>
        <w:pStyle w:val="Ttulo2"/>
        <w:numPr>
          <w:ilvl w:val="1"/>
          <w:numId w:val="1"/>
        </w:numPr>
        <w:tabs>
          <w:tab w:val="clear" w:pos="1615"/>
        </w:tabs>
        <w:spacing w:before="0" w:after="0" w:line="360" w:lineRule="auto"/>
        <w:ind w:left="993" w:hanging="576"/>
        <w:jc w:val="left"/>
        <w:rPr>
          <w:rFonts w:asciiTheme="majorHAnsi" w:hAnsiTheme="majorHAnsi" w:cstheme="majorHAnsi"/>
          <w:lang w:eastAsia="pt-BR"/>
        </w:rPr>
      </w:pPr>
      <w:bookmarkStart w:id="55" w:name="_Toc102319384"/>
      <w:r w:rsidRPr="00EA16B0">
        <w:rPr>
          <w:rFonts w:asciiTheme="majorHAnsi" w:hAnsiTheme="majorHAnsi" w:cstheme="majorHAnsi"/>
          <w:spacing w:val="-4"/>
          <w:lang w:eastAsia="pt-BR"/>
        </w:rPr>
        <w:t>POLÍTICAS E AÇÕES RELACIONADAS AO INGRESSO E PREENCHIMENTO</w:t>
      </w:r>
      <w:r w:rsidRPr="00EA16B0">
        <w:rPr>
          <w:rFonts w:asciiTheme="majorHAnsi" w:hAnsiTheme="majorHAnsi" w:cstheme="majorHAnsi"/>
          <w:lang w:eastAsia="pt-BR"/>
        </w:rPr>
        <w:t xml:space="preserve"> DAS VAGAS OFERECIDAS</w:t>
      </w:r>
      <w:bookmarkEnd w:id="55"/>
    </w:p>
    <w:p w14:paraId="7AB1CB04" w14:textId="77777777" w:rsidR="00D3608B" w:rsidRPr="00EA16B0" w:rsidRDefault="00D3608B" w:rsidP="00D3608B">
      <w:pPr>
        <w:spacing w:after="0"/>
        <w:rPr>
          <w:rFonts w:asciiTheme="majorHAnsi" w:hAnsiTheme="majorHAnsi" w:cstheme="majorHAnsi"/>
          <w:lang w:eastAsia="pt-BR"/>
        </w:rPr>
      </w:pPr>
    </w:p>
    <w:p w14:paraId="11C66300" w14:textId="77777777" w:rsidR="00D3608B" w:rsidRPr="00EA16B0" w:rsidRDefault="00D3608B" w:rsidP="00DF4936">
      <w:pPr>
        <w:spacing w:line="360" w:lineRule="auto"/>
        <w:jc w:val="both"/>
        <w:rPr>
          <w:rFonts w:asciiTheme="majorHAnsi" w:hAnsiTheme="majorHAnsi" w:cstheme="majorHAnsi"/>
          <w:sz w:val="24"/>
          <w:szCs w:val="24"/>
          <w:lang w:eastAsia="pt-BR"/>
        </w:rPr>
      </w:pPr>
      <w:r w:rsidRPr="00EA16B0">
        <w:rPr>
          <w:rFonts w:asciiTheme="majorHAnsi" w:hAnsiTheme="majorHAnsi" w:cstheme="majorHAnsi"/>
          <w:sz w:val="24"/>
          <w:szCs w:val="24"/>
          <w:lang w:eastAsia="pt-BR"/>
        </w:rPr>
        <w:t>As proposições que se seguem não têm a pretensão de esgotar o assunto ou mesmo de se mostrarem prioritárias com relação a eventuais ações e políticas diversas. Tratam-se, portanto, de meras sugestões que podem levar a uma melhor reflexão sobre o assunto e, se pertinentes, passarem a integrar os documentos oficiais, em especial o PDI que se encontra em processo de construção.</w:t>
      </w:r>
    </w:p>
    <w:p w14:paraId="02D0A4EF" w14:textId="78018057" w:rsidR="00D3608B" w:rsidRPr="00EA16B0" w:rsidRDefault="00751777" w:rsidP="003A7871">
      <w:pPr>
        <w:pStyle w:val="Ttulo3"/>
        <w:numPr>
          <w:ilvl w:val="2"/>
          <w:numId w:val="1"/>
        </w:numPr>
        <w:ind w:left="709" w:hanging="709"/>
        <w:rPr>
          <w:rFonts w:asciiTheme="majorHAnsi" w:hAnsiTheme="majorHAnsi" w:cstheme="majorHAnsi"/>
        </w:rPr>
      </w:pPr>
      <w:bookmarkStart w:id="56" w:name="_Toc102319385"/>
      <w:r w:rsidRPr="00EA16B0">
        <w:rPr>
          <w:rFonts w:asciiTheme="majorHAnsi" w:hAnsiTheme="majorHAnsi" w:cstheme="majorHAnsi"/>
        </w:rPr>
        <w:t>POLÍTICA: ABERTURA PARA A COMUNIDADE LOCAL E REGIONAL</w:t>
      </w:r>
      <w:bookmarkEnd w:id="56"/>
    </w:p>
    <w:p w14:paraId="19542591" w14:textId="77777777" w:rsidR="00D3608B" w:rsidRPr="00EA16B0" w:rsidRDefault="00D3608B" w:rsidP="00DF4936">
      <w:pPr>
        <w:spacing w:line="360" w:lineRule="auto"/>
        <w:jc w:val="both"/>
        <w:rPr>
          <w:rFonts w:asciiTheme="majorHAnsi" w:hAnsiTheme="majorHAnsi" w:cstheme="majorHAnsi"/>
          <w:sz w:val="24"/>
          <w:szCs w:val="28"/>
        </w:rPr>
      </w:pPr>
      <w:r w:rsidRPr="00EA16B0">
        <w:rPr>
          <w:rFonts w:asciiTheme="majorHAnsi" w:hAnsiTheme="majorHAnsi" w:cstheme="majorHAnsi"/>
          <w:sz w:val="24"/>
          <w:szCs w:val="24"/>
        </w:rPr>
        <w:t>É parte integrante da Lei de Criação da Universidade (Art. 2.</w:t>
      </w:r>
      <w:r w:rsidRPr="00EA16B0">
        <w:rPr>
          <w:rFonts w:asciiTheme="majorHAnsi" w:hAnsiTheme="majorHAnsi" w:cstheme="majorHAnsi"/>
          <w:sz w:val="24"/>
          <w:szCs w:val="24"/>
          <w:vertAlign w:val="superscript"/>
        </w:rPr>
        <w:t>o</w:t>
      </w:r>
      <w:r w:rsidRPr="00EA16B0">
        <w:rPr>
          <w:rFonts w:asciiTheme="majorHAnsi" w:hAnsiTheme="majorHAnsi" w:cstheme="majorHAnsi"/>
          <w:sz w:val="24"/>
          <w:szCs w:val="24"/>
        </w:rPr>
        <w:t>, VII) e dos princípios n. 2 e 3 do decálogo para Universidade Inovadora (CEBRASPE, 2022b</w:t>
      </w:r>
      <w:r w:rsidRPr="00EA16B0">
        <w:rPr>
          <w:rFonts w:asciiTheme="majorHAnsi" w:hAnsiTheme="majorHAnsi" w:cstheme="majorHAnsi"/>
          <w:sz w:val="24"/>
          <w:szCs w:val="28"/>
        </w:rPr>
        <w:t xml:space="preserve">). </w:t>
      </w:r>
    </w:p>
    <w:p w14:paraId="4C31DCC1" w14:textId="77777777" w:rsidR="00D3608B" w:rsidRPr="00EA16B0" w:rsidRDefault="00D3608B" w:rsidP="00DF4936">
      <w:pPr>
        <w:spacing w:line="360" w:lineRule="auto"/>
        <w:jc w:val="both"/>
        <w:rPr>
          <w:rFonts w:asciiTheme="majorHAnsi" w:hAnsiTheme="majorHAnsi" w:cstheme="majorHAnsi"/>
          <w:sz w:val="24"/>
          <w:szCs w:val="24"/>
        </w:rPr>
      </w:pPr>
      <w:r w:rsidRPr="00EA16B0">
        <w:rPr>
          <w:rFonts w:asciiTheme="majorHAnsi" w:hAnsiTheme="majorHAnsi" w:cstheme="majorHAnsi"/>
          <w:sz w:val="24"/>
          <w:szCs w:val="28"/>
        </w:rPr>
        <w:lastRenderedPageBreak/>
        <w:t>Aqui, recebe o recorte ligado ao ingresso de novos estudantes, na perspectiva dessa abertura. Por isso, são elencadas algumas ações visando ao pleno conhecimento da comunidade com relação às ações de ensino de graduação ministrado na Universidade e da oferta de vagas e cursos.</w:t>
      </w:r>
    </w:p>
    <w:p w14:paraId="2FEEC7FC" w14:textId="303BEDC2"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t xml:space="preserve">Ação 1: Comunicação com o ensino médio distrital e da RIDE – DF </w:t>
      </w:r>
    </w:p>
    <w:p w14:paraId="767AC94A" w14:textId="77777777" w:rsidR="00D3608B" w:rsidRPr="00EA16B0" w:rsidRDefault="00D3608B" w:rsidP="00DF4936">
      <w:pPr>
        <w:spacing w:line="360" w:lineRule="auto"/>
        <w:jc w:val="both"/>
        <w:rPr>
          <w:rFonts w:asciiTheme="majorHAnsi" w:hAnsiTheme="majorHAnsi" w:cstheme="majorHAnsi"/>
          <w:sz w:val="24"/>
          <w:szCs w:val="24"/>
        </w:rPr>
      </w:pPr>
      <w:r w:rsidRPr="00EA16B0">
        <w:rPr>
          <w:rFonts w:asciiTheme="majorHAnsi" w:hAnsiTheme="majorHAnsi" w:cstheme="majorHAnsi"/>
          <w:sz w:val="24"/>
          <w:szCs w:val="24"/>
        </w:rPr>
        <w:t>Deverão ser realizadas ações de divulgação da oferta e esclarecimento sobre a organização pedagógica da Instituição e seu diferencial com relação a cursos de mesma denominação.</w:t>
      </w:r>
    </w:p>
    <w:p w14:paraId="5F89054E" w14:textId="01A539BC"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t>Ação 2: Abertura para a comunidade</w:t>
      </w:r>
    </w:p>
    <w:p w14:paraId="269D710E" w14:textId="77777777" w:rsidR="00D3608B" w:rsidRPr="00EA16B0" w:rsidRDefault="00D3608B" w:rsidP="00DF4936">
      <w:pPr>
        <w:spacing w:line="360" w:lineRule="auto"/>
        <w:jc w:val="both"/>
        <w:rPr>
          <w:rFonts w:asciiTheme="majorHAnsi" w:hAnsiTheme="majorHAnsi" w:cstheme="majorHAnsi"/>
          <w:sz w:val="24"/>
          <w:szCs w:val="24"/>
        </w:rPr>
      </w:pPr>
      <w:r w:rsidRPr="00EA16B0">
        <w:rPr>
          <w:rFonts w:asciiTheme="majorHAnsi" w:hAnsiTheme="majorHAnsi" w:cstheme="majorHAnsi"/>
          <w:sz w:val="24"/>
          <w:szCs w:val="24"/>
        </w:rPr>
        <w:t xml:space="preserve">Semestral ou anualmente, sugere-se a abertura dos </w:t>
      </w:r>
      <w:proofErr w:type="gramStart"/>
      <w:r w:rsidRPr="00EA16B0">
        <w:rPr>
          <w:rFonts w:asciiTheme="majorHAnsi" w:hAnsiTheme="majorHAnsi" w:cstheme="majorHAnsi"/>
          <w:sz w:val="24"/>
          <w:szCs w:val="24"/>
        </w:rPr>
        <w:t xml:space="preserve">diferentes </w:t>
      </w:r>
      <w:r w:rsidRPr="00EA16B0">
        <w:rPr>
          <w:rFonts w:asciiTheme="majorHAnsi" w:hAnsiTheme="majorHAnsi" w:cstheme="majorHAnsi"/>
          <w:i/>
          <w:iCs/>
          <w:sz w:val="24"/>
          <w:szCs w:val="24"/>
        </w:rPr>
        <w:t>campus</w:t>
      </w:r>
      <w:proofErr w:type="gramEnd"/>
      <w:r w:rsidRPr="00EA16B0">
        <w:rPr>
          <w:rFonts w:asciiTheme="majorHAnsi" w:hAnsiTheme="majorHAnsi" w:cstheme="majorHAnsi"/>
          <w:sz w:val="24"/>
          <w:szCs w:val="24"/>
        </w:rPr>
        <w:t xml:space="preserve"> para visitação, possibilitando que a comunidade local e da região conheçam as instalações, mas também os trabalhos desenvolvidos e os cursos ofertados. Esse modelo, bastante utilizado por diferentes universidades, costuma contribuir positivamente, além de envolver os estudantes e toda a comunidade interna nas ações de recepção, gerando um clima de afetividade para os visitantes e de pertencimento para os estudantes da Instituição. Na Unicamp, por exemplo, o evento é denominado Universidade Aberta ao Público (UAP), atrai estudantes de vários estados do país e prevê uma inscrição prévia das escolas, priorizando as turmas do 3.</w:t>
      </w:r>
      <w:r w:rsidRPr="00EA16B0">
        <w:rPr>
          <w:rFonts w:asciiTheme="majorHAnsi" w:hAnsiTheme="majorHAnsi" w:cstheme="majorHAnsi"/>
          <w:sz w:val="24"/>
          <w:szCs w:val="24"/>
          <w:vertAlign w:val="superscript"/>
        </w:rPr>
        <w:t>o</w:t>
      </w:r>
      <w:r w:rsidRPr="00EA16B0">
        <w:rPr>
          <w:rFonts w:asciiTheme="majorHAnsi" w:hAnsiTheme="majorHAnsi" w:cstheme="majorHAnsi"/>
          <w:sz w:val="24"/>
          <w:szCs w:val="24"/>
        </w:rPr>
        <w:t xml:space="preserve"> ano do ensino médio.</w:t>
      </w:r>
    </w:p>
    <w:p w14:paraId="0106F943" w14:textId="7B1C3B17"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t>Ação 3: Sítio institucional</w:t>
      </w:r>
    </w:p>
    <w:p w14:paraId="03952449" w14:textId="77777777" w:rsidR="00D3608B" w:rsidRPr="00EA16B0" w:rsidRDefault="00D3608B" w:rsidP="00DF4936">
      <w:pPr>
        <w:spacing w:line="360" w:lineRule="auto"/>
        <w:jc w:val="both"/>
        <w:rPr>
          <w:rFonts w:asciiTheme="majorHAnsi" w:hAnsiTheme="majorHAnsi" w:cstheme="majorHAnsi"/>
          <w:sz w:val="24"/>
          <w:szCs w:val="24"/>
        </w:rPr>
      </w:pPr>
      <w:r w:rsidRPr="00EA16B0">
        <w:rPr>
          <w:rFonts w:asciiTheme="majorHAnsi" w:hAnsiTheme="majorHAnsi" w:cstheme="majorHAnsi"/>
          <w:sz w:val="24"/>
          <w:szCs w:val="24"/>
        </w:rPr>
        <w:t>O desenvolvimento de visitas virtuais, direcionando dúvidas para locais específicos onde são apresentadas perguntas e respostas sobre os temas de maior interesse, como os tipos de formação, cursos, profissões também podem contribuir para que haja mais conhecimento da Instituição.</w:t>
      </w:r>
    </w:p>
    <w:p w14:paraId="0B9DA6B1" w14:textId="2AF4D825" w:rsidR="00D3608B" w:rsidRPr="00EA16B0" w:rsidRDefault="00751777" w:rsidP="003A7871">
      <w:pPr>
        <w:pStyle w:val="Ttulo3"/>
        <w:numPr>
          <w:ilvl w:val="2"/>
          <w:numId w:val="1"/>
        </w:numPr>
        <w:ind w:left="709" w:hanging="709"/>
        <w:rPr>
          <w:rFonts w:asciiTheme="majorHAnsi" w:hAnsiTheme="majorHAnsi" w:cstheme="majorHAnsi"/>
        </w:rPr>
      </w:pPr>
      <w:bookmarkStart w:id="57" w:name="_Toc102319386"/>
      <w:r w:rsidRPr="00EA16B0">
        <w:rPr>
          <w:rFonts w:asciiTheme="majorHAnsi" w:hAnsiTheme="majorHAnsi" w:cstheme="majorHAnsi"/>
        </w:rPr>
        <w:t>POLÍTICA: AÇÕES AFIRMATIVAS</w:t>
      </w:r>
      <w:bookmarkEnd w:id="57"/>
    </w:p>
    <w:p w14:paraId="3A108CAE" w14:textId="77777777" w:rsidR="00D3608B" w:rsidRPr="00EA16B0" w:rsidRDefault="00D3608B" w:rsidP="00DF4936">
      <w:pPr>
        <w:spacing w:line="360" w:lineRule="auto"/>
        <w:jc w:val="both"/>
        <w:rPr>
          <w:rFonts w:asciiTheme="majorHAnsi" w:hAnsiTheme="majorHAnsi" w:cstheme="majorHAnsi"/>
          <w:sz w:val="24"/>
          <w:szCs w:val="24"/>
        </w:rPr>
      </w:pPr>
      <w:r w:rsidRPr="00EA16B0">
        <w:rPr>
          <w:rFonts w:asciiTheme="majorHAnsi" w:hAnsiTheme="majorHAnsi" w:cstheme="majorHAnsi"/>
          <w:sz w:val="24"/>
          <w:szCs w:val="24"/>
        </w:rPr>
        <w:t xml:space="preserve">Faz parte integrante da Lei de Criação da </w:t>
      </w:r>
      <w:proofErr w:type="spellStart"/>
      <w:r w:rsidRPr="00EA16B0">
        <w:rPr>
          <w:rFonts w:asciiTheme="majorHAnsi" w:hAnsiTheme="majorHAnsi" w:cstheme="majorHAnsi"/>
          <w:sz w:val="24"/>
          <w:szCs w:val="24"/>
        </w:rPr>
        <w:t>UnDF</w:t>
      </w:r>
      <w:proofErr w:type="spellEnd"/>
      <w:r w:rsidRPr="00EA16B0">
        <w:rPr>
          <w:rFonts w:asciiTheme="majorHAnsi" w:hAnsiTheme="majorHAnsi" w:cstheme="majorHAnsi"/>
          <w:sz w:val="24"/>
          <w:szCs w:val="24"/>
        </w:rPr>
        <w:t xml:space="preserve"> </w:t>
      </w:r>
      <w:proofErr w:type="gramStart"/>
      <w:r w:rsidRPr="00EA16B0">
        <w:rPr>
          <w:rFonts w:asciiTheme="majorHAnsi" w:hAnsiTheme="majorHAnsi" w:cstheme="majorHAnsi"/>
          <w:sz w:val="24"/>
          <w:szCs w:val="24"/>
        </w:rPr>
        <w:t>a determinação de políticas afirmativas que possam garantir acesso a parcelas da população mais vulneráveis, sejam</w:t>
      </w:r>
      <w:proofErr w:type="gramEnd"/>
      <w:r w:rsidRPr="00EA16B0">
        <w:rPr>
          <w:rFonts w:asciiTheme="majorHAnsi" w:hAnsiTheme="majorHAnsi" w:cstheme="majorHAnsi"/>
          <w:sz w:val="24"/>
          <w:szCs w:val="24"/>
        </w:rPr>
        <w:t xml:space="preserve"> por razões socioeconômicas, sejam por razões étnico-raciais. O inciso XII do Art. 3.</w:t>
      </w:r>
      <w:r w:rsidRPr="00EA16B0">
        <w:rPr>
          <w:rFonts w:asciiTheme="majorHAnsi" w:hAnsiTheme="majorHAnsi" w:cstheme="majorHAnsi"/>
          <w:sz w:val="24"/>
          <w:szCs w:val="24"/>
          <w:vertAlign w:val="superscript"/>
        </w:rPr>
        <w:t>o</w:t>
      </w:r>
      <w:r w:rsidRPr="00EA16B0">
        <w:rPr>
          <w:rFonts w:asciiTheme="majorHAnsi" w:hAnsiTheme="majorHAnsi" w:cstheme="majorHAnsi"/>
          <w:sz w:val="24"/>
          <w:szCs w:val="24"/>
        </w:rPr>
        <w:t xml:space="preserve"> estabelece, inclusive, a implementação de cotas raciais e sociais para ingresso nos cursos de graduação, também salientado no item 7 do Decálogo que rege os princípios para a elaboração dos estatutos da Instituição.</w:t>
      </w:r>
    </w:p>
    <w:p w14:paraId="27F1C882" w14:textId="77777777" w:rsidR="00D3608B" w:rsidRPr="00EA16B0" w:rsidRDefault="00D3608B" w:rsidP="00DF4936">
      <w:pPr>
        <w:spacing w:line="360" w:lineRule="auto"/>
        <w:jc w:val="both"/>
        <w:rPr>
          <w:rFonts w:asciiTheme="majorHAnsi" w:hAnsiTheme="majorHAnsi" w:cstheme="majorHAnsi"/>
          <w:sz w:val="24"/>
          <w:szCs w:val="24"/>
        </w:rPr>
      </w:pPr>
      <w:r w:rsidRPr="00EA16B0">
        <w:rPr>
          <w:rFonts w:asciiTheme="majorHAnsi" w:hAnsiTheme="majorHAnsi" w:cstheme="majorHAnsi"/>
          <w:sz w:val="24"/>
          <w:szCs w:val="24"/>
        </w:rPr>
        <w:t>Desse modo, e em função do discutido no capítulo anterior deste relatório, são propostas as seguintes políticas e ações:</w:t>
      </w:r>
    </w:p>
    <w:p w14:paraId="01A5F25B" w14:textId="68303269"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lastRenderedPageBreak/>
        <w:t>Ação 1: Ensino médio em escola pública</w:t>
      </w:r>
    </w:p>
    <w:p w14:paraId="564F3957" w14:textId="77777777" w:rsidR="00D3608B" w:rsidRPr="00EA16B0" w:rsidRDefault="00D3608B" w:rsidP="00DF4936">
      <w:pPr>
        <w:spacing w:line="360" w:lineRule="auto"/>
        <w:jc w:val="both"/>
        <w:rPr>
          <w:rFonts w:asciiTheme="majorHAnsi" w:hAnsiTheme="majorHAnsi" w:cstheme="majorHAnsi"/>
          <w:sz w:val="24"/>
          <w:szCs w:val="24"/>
        </w:rPr>
      </w:pPr>
      <w:r w:rsidRPr="00EA16B0">
        <w:rPr>
          <w:rFonts w:asciiTheme="majorHAnsi" w:hAnsiTheme="majorHAnsi" w:cstheme="majorHAnsi"/>
          <w:sz w:val="24"/>
          <w:szCs w:val="24"/>
        </w:rPr>
        <w:t>Deve ser previsto percentual de vagas para egressos de IES públicas. Esse percentual, atualmente de 40% para os cursos de Enfermagem e Medicina, poderia ser aumentado para 50% ou mais já que 76% dos matriculados no terceiro ano do Ensino Médio do DF são de escolas públicas, segundo dados do Censo da Educação Básica de 2021 (INEP, 2022).</w:t>
      </w:r>
    </w:p>
    <w:p w14:paraId="3857A5DC" w14:textId="45F3A054"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t>Ação 2: Vulnerabilidade Econômica</w:t>
      </w:r>
    </w:p>
    <w:p w14:paraId="1582B367" w14:textId="77777777" w:rsidR="00D3608B" w:rsidRPr="00EA16B0" w:rsidRDefault="00D3608B" w:rsidP="00DF4936">
      <w:pPr>
        <w:spacing w:line="360" w:lineRule="auto"/>
        <w:rPr>
          <w:rFonts w:asciiTheme="majorHAnsi" w:hAnsiTheme="majorHAnsi" w:cstheme="majorHAnsi"/>
          <w:sz w:val="24"/>
          <w:szCs w:val="24"/>
        </w:rPr>
      </w:pPr>
      <w:r w:rsidRPr="00EA16B0">
        <w:rPr>
          <w:rFonts w:asciiTheme="majorHAnsi" w:hAnsiTheme="majorHAnsi" w:cstheme="majorHAnsi"/>
          <w:sz w:val="24"/>
          <w:szCs w:val="24"/>
        </w:rPr>
        <w:t xml:space="preserve">Parte das vagas poderia ser destinada a estudantes cuja renda bruta familiar </w:t>
      </w:r>
      <w:r w:rsidRPr="00EA16B0">
        <w:rPr>
          <w:rFonts w:asciiTheme="majorHAnsi" w:hAnsiTheme="majorHAnsi" w:cstheme="majorHAnsi"/>
          <w:i/>
          <w:iCs/>
          <w:sz w:val="24"/>
          <w:szCs w:val="24"/>
        </w:rPr>
        <w:t>per capita</w:t>
      </w:r>
      <w:r w:rsidRPr="00EA16B0">
        <w:rPr>
          <w:rFonts w:asciiTheme="majorHAnsi" w:hAnsiTheme="majorHAnsi" w:cstheme="majorHAnsi"/>
          <w:sz w:val="24"/>
          <w:szCs w:val="24"/>
        </w:rPr>
        <w:t xml:space="preserve"> fosse inferior a 1,5 </w:t>
      </w:r>
      <w:proofErr w:type="gramStart"/>
      <w:r w:rsidRPr="00EA16B0">
        <w:rPr>
          <w:rFonts w:asciiTheme="majorHAnsi" w:hAnsiTheme="majorHAnsi" w:cstheme="majorHAnsi"/>
          <w:sz w:val="24"/>
          <w:szCs w:val="24"/>
        </w:rPr>
        <w:t>salários mínimos</w:t>
      </w:r>
      <w:proofErr w:type="gramEnd"/>
      <w:r w:rsidRPr="00EA16B0">
        <w:rPr>
          <w:rFonts w:asciiTheme="majorHAnsi" w:hAnsiTheme="majorHAnsi" w:cstheme="majorHAnsi"/>
          <w:sz w:val="24"/>
          <w:szCs w:val="24"/>
        </w:rPr>
        <w:t>, a exemplo do que é praticado em muitas IEF.</w:t>
      </w:r>
    </w:p>
    <w:p w14:paraId="52293F06" w14:textId="758C1B1C"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t>Ação 3: Etnia</w:t>
      </w:r>
    </w:p>
    <w:p w14:paraId="1363A365" w14:textId="77777777" w:rsidR="00D3608B" w:rsidRPr="00EA16B0" w:rsidRDefault="00D3608B" w:rsidP="00DF4936">
      <w:pPr>
        <w:spacing w:line="360" w:lineRule="auto"/>
        <w:rPr>
          <w:rFonts w:asciiTheme="majorHAnsi" w:hAnsiTheme="majorHAnsi" w:cstheme="majorHAnsi"/>
          <w:sz w:val="24"/>
          <w:szCs w:val="24"/>
        </w:rPr>
      </w:pPr>
      <w:r w:rsidRPr="00EA16B0">
        <w:rPr>
          <w:rFonts w:asciiTheme="majorHAnsi" w:hAnsiTheme="majorHAnsi" w:cstheme="majorHAnsi"/>
          <w:sz w:val="24"/>
          <w:szCs w:val="24"/>
        </w:rPr>
        <w:t>Parte das vagas poderia ser destinada a estudantes autodeclarados pretos, pardos ou indígenas, na mesma proporção em que estão presentes na região, a partir de dados do Censo demográfico realizado pelo IBGE.</w:t>
      </w:r>
    </w:p>
    <w:p w14:paraId="708027D7" w14:textId="6721D419"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t>Ação 4: Política de cotas para pessoas com deficiência</w:t>
      </w:r>
    </w:p>
    <w:p w14:paraId="7F854E40" w14:textId="77777777" w:rsidR="00D3608B" w:rsidRPr="00EA16B0" w:rsidRDefault="00D3608B" w:rsidP="00DF4936">
      <w:pPr>
        <w:spacing w:line="360" w:lineRule="auto"/>
        <w:rPr>
          <w:rFonts w:asciiTheme="majorHAnsi" w:hAnsiTheme="majorHAnsi" w:cstheme="majorHAnsi"/>
          <w:sz w:val="24"/>
          <w:szCs w:val="24"/>
        </w:rPr>
      </w:pPr>
      <w:r w:rsidRPr="00EA16B0">
        <w:rPr>
          <w:rFonts w:asciiTheme="majorHAnsi" w:hAnsiTheme="majorHAnsi" w:cstheme="majorHAnsi"/>
          <w:sz w:val="24"/>
          <w:szCs w:val="24"/>
        </w:rPr>
        <w:t>Nos estudos sobre acesso e ações afirmativas são propostas políticas de cotas para facilitar o acesso à Universidade de pessoas com deficiência física e com dificuldades de locomoção.</w:t>
      </w:r>
    </w:p>
    <w:p w14:paraId="3817E3DD" w14:textId="11BF0DFA" w:rsidR="00D3608B" w:rsidRPr="00EA16B0" w:rsidRDefault="00751777" w:rsidP="003A7871">
      <w:pPr>
        <w:pStyle w:val="Ttulo3"/>
        <w:numPr>
          <w:ilvl w:val="2"/>
          <w:numId w:val="1"/>
        </w:numPr>
        <w:ind w:left="709" w:hanging="709"/>
        <w:rPr>
          <w:rFonts w:asciiTheme="majorHAnsi" w:hAnsiTheme="majorHAnsi" w:cstheme="majorHAnsi"/>
        </w:rPr>
      </w:pPr>
      <w:bookmarkStart w:id="58" w:name="_Toc102319387"/>
      <w:r w:rsidRPr="00EA16B0">
        <w:rPr>
          <w:rFonts w:asciiTheme="majorHAnsi" w:hAnsiTheme="majorHAnsi" w:cstheme="majorHAnsi"/>
        </w:rPr>
        <w:t>POLÍTICA: PREENCHIMENTO TOTAL DAS VAGAS</w:t>
      </w:r>
      <w:bookmarkEnd w:id="58"/>
    </w:p>
    <w:p w14:paraId="078D5D72" w14:textId="77777777" w:rsidR="00D3608B" w:rsidRPr="00EA16B0" w:rsidRDefault="00D3608B" w:rsidP="00DF4936">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Conforme salientado, a existência de vagas não preenchidas pode ser justificada, mas não admitida, especialmente em uma IES pública. Entretanto, o próprio mecanismo de chamada de interessados é complexo, já que um estudante pode desistir da vaga e sequer comunicar isso, e a chamada de um outro implica no seguimento da lista de aptos, com a vaga disponibilizada apenas após a desistência formal do chamado anterior, para não se ter o risco de exceder o número de vagas previsto para o concurso. </w:t>
      </w:r>
    </w:p>
    <w:p w14:paraId="55468ED1" w14:textId="77777777" w:rsidR="00D3608B" w:rsidRPr="00EA16B0" w:rsidRDefault="00D3608B" w:rsidP="00DF4936">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Supondo a continuidade de utilização do </w:t>
      </w:r>
      <w:proofErr w:type="spellStart"/>
      <w:r w:rsidRPr="00EA16B0">
        <w:rPr>
          <w:rFonts w:asciiTheme="majorHAnsi" w:hAnsiTheme="majorHAnsi" w:cstheme="majorHAnsi"/>
          <w:sz w:val="24"/>
          <w:szCs w:val="24"/>
        </w:rPr>
        <w:t>SiSU</w:t>
      </w:r>
      <w:proofErr w:type="spellEnd"/>
      <w:r w:rsidRPr="00EA16B0">
        <w:rPr>
          <w:rFonts w:asciiTheme="majorHAnsi" w:hAnsiTheme="majorHAnsi" w:cstheme="majorHAnsi"/>
          <w:sz w:val="24"/>
          <w:szCs w:val="24"/>
        </w:rPr>
        <w:t>, conforme ocorre com Medicina e Enfermagem, algumas ações podem contribuir para que não haja ociosidade inicial, destacando-se:</w:t>
      </w:r>
    </w:p>
    <w:p w14:paraId="0EE1CECE" w14:textId="5C803673"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t>Ação 1: Estabelecimento de pesos para as provas</w:t>
      </w:r>
    </w:p>
    <w:p w14:paraId="07C77760" w14:textId="77777777" w:rsidR="00D3608B" w:rsidRPr="00EA16B0" w:rsidRDefault="00D3608B" w:rsidP="00DF4936">
      <w:pPr>
        <w:spacing w:line="360" w:lineRule="auto"/>
        <w:jc w:val="both"/>
        <w:rPr>
          <w:rFonts w:asciiTheme="majorHAnsi" w:hAnsiTheme="majorHAnsi" w:cstheme="majorHAnsi"/>
          <w:sz w:val="24"/>
          <w:szCs w:val="24"/>
        </w:rPr>
      </w:pPr>
      <w:r w:rsidRPr="00EA16B0">
        <w:rPr>
          <w:rFonts w:asciiTheme="majorHAnsi" w:hAnsiTheme="majorHAnsi" w:cstheme="majorHAnsi"/>
          <w:sz w:val="24"/>
          <w:szCs w:val="24"/>
        </w:rPr>
        <w:t xml:space="preserve">Os cursos de Enfermagem e de Medicina utilizam pesos diferenciados para as provas de Ciências e Linguagem (peso 4), Matemática (peso 3), Redação e Ciências Humanas (peso 2). Para a área da </w:t>
      </w:r>
      <w:r w:rsidRPr="00EA16B0">
        <w:rPr>
          <w:rFonts w:asciiTheme="majorHAnsi" w:hAnsiTheme="majorHAnsi" w:cstheme="majorHAnsi"/>
          <w:sz w:val="24"/>
          <w:szCs w:val="24"/>
        </w:rPr>
        <w:lastRenderedPageBreak/>
        <w:t>Computação, poderia haver a inversão de Matemática e Ciências, que passariam a ter peso 4 e 4 respectivamente, incentivando a entrada de pessoas com melhor desempenho em Matemática, o que é esperado para candidatos dessa área, o que pode aumentar a quantidade de aptos para as vagas oferecidas.</w:t>
      </w:r>
    </w:p>
    <w:p w14:paraId="0A3B5CBE" w14:textId="69B8EE9A"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t>Ação 2: Notas de corte</w:t>
      </w:r>
    </w:p>
    <w:p w14:paraId="2261A7B6" w14:textId="77777777" w:rsidR="00D3608B" w:rsidRPr="00EA16B0" w:rsidRDefault="00D3608B" w:rsidP="00DF4936">
      <w:pPr>
        <w:spacing w:line="360" w:lineRule="auto"/>
        <w:jc w:val="both"/>
        <w:rPr>
          <w:rFonts w:asciiTheme="majorHAnsi" w:hAnsiTheme="majorHAnsi" w:cstheme="majorHAnsi"/>
          <w:spacing w:val="-2"/>
          <w:sz w:val="24"/>
          <w:szCs w:val="24"/>
        </w:rPr>
      </w:pPr>
      <w:r w:rsidRPr="00EA16B0">
        <w:rPr>
          <w:rFonts w:asciiTheme="majorHAnsi" w:hAnsiTheme="majorHAnsi" w:cstheme="majorHAnsi"/>
          <w:spacing w:val="-4"/>
          <w:sz w:val="24"/>
          <w:szCs w:val="24"/>
        </w:rPr>
        <w:t>Para os cursos atualmente oferecidos, foi estabelecida média mínima de 500 pontos e pelo menos 300 pontos</w:t>
      </w:r>
      <w:r w:rsidRPr="00EA16B0">
        <w:rPr>
          <w:rFonts w:asciiTheme="majorHAnsi" w:hAnsiTheme="majorHAnsi" w:cstheme="majorHAnsi"/>
          <w:sz w:val="24"/>
          <w:szCs w:val="24"/>
        </w:rPr>
        <w:t xml:space="preserve"> </w:t>
      </w:r>
      <w:r w:rsidRPr="00EA16B0">
        <w:rPr>
          <w:rFonts w:asciiTheme="majorHAnsi" w:hAnsiTheme="majorHAnsi" w:cstheme="majorHAnsi"/>
          <w:spacing w:val="-2"/>
          <w:sz w:val="24"/>
          <w:szCs w:val="24"/>
        </w:rPr>
        <w:t>em cada uma das provas do ENEM, exceto redação onde são exigidos 350 pontos, além dos pesos estabelecidos.</w:t>
      </w:r>
      <w:r w:rsidRPr="00EA16B0">
        <w:rPr>
          <w:rFonts w:asciiTheme="majorHAnsi" w:hAnsiTheme="majorHAnsi" w:cstheme="majorHAnsi"/>
          <w:sz w:val="24"/>
          <w:szCs w:val="24"/>
        </w:rPr>
        <w:t xml:space="preserve"> Esses valores podem ser mantidos caso haja a possibilidade de serem descartados caso não sejam </w:t>
      </w:r>
      <w:r w:rsidRPr="00EA16B0">
        <w:rPr>
          <w:rFonts w:asciiTheme="majorHAnsi" w:hAnsiTheme="majorHAnsi" w:cstheme="majorHAnsi"/>
          <w:spacing w:val="-4"/>
          <w:sz w:val="24"/>
          <w:szCs w:val="24"/>
        </w:rPr>
        <w:t xml:space="preserve">preenchidas todas as vagas. Aliás, como já salientado por </w:t>
      </w:r>
      <w:proofErr w:type="spellStart"/>
      <w:r w:rsidRPr="00EA16B0">
        <w:rPr>
          <w:rFonts w:asciiTheme="majorHAnsi" w:hAnsiTheme="majorHAnsi" w:cstheme="majorHAnsi"/>
          <w:spacing w:val="-4"/>
          <w:sz w:val="24"/>
          <w:szCs w:val="24"/>
        </w:rPr>
        <w:t>Cortelazzo</w:t>
      </w:r>
      <w:proofErr w:type="spellEnd"/>
      <w:r w:rsidRPr="00EA16B0">
        <w:rPr>
          <w:rFonts w:asciiTheme="majorHAnsi" w:hAnsiTheme="majorHAnsi" w:cstheme="majorHAnsi"/>
          <w:spacing w:val="-4"/>
          <w:sz w:val="24"/>
          <w:szCs w:val="24"/>
        </w:rPr>
        <w:t xml:space="preserve"> (2022), se considerarmos que o processo</w:t>
      </w:r>
      <w:r w:rsidRPr="00EA16B0">
        <w:rPr>
          <w:rFonts w:asciiTheme="majorHAnsi" w:hAnsiTheme="majorHAnsi" w:cstheme="majorHAnsi"/>
          <w:sz w:val="24"/>
          <w:szCs w:val="24"/>
        </w:rPr>
        <w:t xml:space="preserve"> é classificatório, talvez apenas a exigência de não zerar em nenhuma das componentes da prova (inclusive Redação), já fosse o suficiente, já que a ideia de pesos para direcionar os candidatos para suas áreas já está contemplada na Ação 1. Atualmente, corre-se o risco de perder um candidato que tenha 800 pontos em </w:t>
      </w:r>
      <w:r w:rsidRPr="00EA16B0">
        <w:rPr>
          <w:rFonts w:asciiTheme="majorHAnsi" w:hAnsiTheme="majorHAnsi" w:cstheme="majorHAnsi"/>
          <w:spacing w:val="-2"/>
          <w:sz w:val="24"/>
          <w:szCs w:val="24"/>
        </w:rPr>
        <w:t>Ciências e 280 em Humanidades para a realização do curso de Medicina, mesmo que houvesse sobra de vagas.</w:t>
      </w:r>
    </w:p>
    <w:p w14:paraId="176BBDEC" w14:textId="425137FE"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t>Ação 3: Abertura de uma lista de espera para o caso de vagas não preenchidas</w:t>
      </w:r>
    </w:p>
    <w:p w14:paraId="1B61C12E" w14:textId="77777777" w:rsidR="00D3608B" w:rsidRPr="00EA16B0" w:rsidRDefault="00D3608B" w:rsidP="00DF4936">
      <w:pPr>
        <w:spacing w:line="360" w:lineRule="auto"/>
        <w:jc w:val="both"/>
        <w:rPr>
          <w:rFonts w:asciiTheme="majorHAnsi" w:hAnsiTheme="majorHAnsi" w:cstheme="majorHAnsi"/>
          <w:sz w:val="24"/>
          <w:szCs w:val="24"/>
        </w:rPr>
      </w:pPr>
      <w:r w:rsidRPr="00EA16B0">
        <w:rPr>
          <w:rFonts w:asciiTheme="majorHAnsi" w:hAnsiTheme="majorHAnsi" w:cstheme="majorHAnsi"/>
          <w:sz w:val="24"/>
          <w:szCs w:val="24"/>
        </w:rPr>
        <w:t xml:space="preserve">Poderia ser construída uma listagem alternativa, associada ou não à nota do ENEM, por exemplo, para egressos de escolas públicas do DF e da RIDE, inscritos ou não no </w:t>
      </w:r>
      <w:proofErr w:type="spellStart"/>
      <w:r w:rsidRPr="00EA16B0">
        <w:rPr>
          <w:rFonts w:asciiTheme="majorHAnsi" w:hAnsiTheme="majorHAnsi" w:cstheme="majorHAnsi"/>
          <w:sz w:val="24"/>
          <w:szCs w:val="24"/>
        </w:rPr>
        <w:t>SiSU</w:t>
      </w:r>
      <w:proofErr w:type="spellEnd"/>
      <w:r w:rsidRPr="00EA16B0">
        <w:rPr>
          <w:rFonts w:asciiTheme="majorHAnsi" w:hAnsiTheme="majorHAnsi" w:cstheme="majorHAnsi"/>
          <w:sz w:val="24"/>
          <w:szCs w:val="24"/>
        </w:rPr>
        <w:t>, que seria acionada no caso de haver ociosidade no preenchimento. Essa listagem poderia ser feita por meio eletrônico e divulgada na página da Instituição, tornando transparente a chamada em função de desempenho e mostrando aqueles que declinaram da oferta. Além disso, ela não tiraria o direito de participação e ingresso de outros estudantes, já que isso ocorreria apenas no caso da sobra de vagas.</w:t>
      </w:r>
    </w:p>
    <w:p w14:paraId="103CCF44" w14:textId="4BE1DEBD"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t>Ação 4: Desligamento por falta de frequência no início das aulas</w:t>
      </w:r>
    </w:p>
    <w:p w14:paraId="07E8171C" w14:textId="77777777" w:rsidR="00D3608B" w:rsidRPr="00EA16B0" w:rsidRDefault="00D3608B" w:rsidP="00DF4936">
      <w:pPr>
        <w:spacing w:after="360" w:line="360" w:lineRule="auto"/>
        <w:jc w:val="both"/>
        <w:rPr>
          <w:rFonts w:asciiTheme="majorHAnsi" w:hAnsiTheme="majorHAnsi" w:cstheme="majorHAnsi"/>
          <w:sz w:val="24"/>
          <w:szCs w:val="24"/>
        </w:rPr>
      </w:pPr>
      <w:r w:rsidRPr="00EA16B0">
        <w:rPr>
          <w:rFonts w:asciiTheme="majorHAnsi" w:hAnsiTheme="majorHAnsi" w:cstheme="majorHAnsi"/>
          <w:sz w:val="24"/>
          <w:szCs w:val="24"/>
        </w:rPr>
        <w:t xml:space="preserve">No próprio edital de seleção pode estar determinado que um matriculado que não compareça a nenhuma atividade prevista na primeira quinzena de aulas terá sua matrícula cancelada para a chamada de outro candidato apto. Esse procedimento, já realizado por outras IES públicas, requer rigor no sistema de frequência nos primeiros 15 dias de atividades, já que, muitas vezes, o aprovado se arrepende após a matrícula — por ter obtido outra vaga em outra IES ou outro motivo qualquer — e sequer comparece para o início das aulas e, </w:t>
      </w:r>
      <w:proofErr w:type="gramStart"/>
      <w:r w:rsidRPr="00EA16B0">
        <w:rPr>
          <w:rFonts w:asciiTheme="majorHAnsi" w:hAnsiTheme="majorHAnsi" w:cstheme="majorHAnsi"/>
          <w:sz w:val="24"/>
          <w:szCs w:val="24"/>
        </w:rPr>
        <w:t>via de regra</w:t>
      </w:r>
      <w:proofErr w:type="gramEnd"/>
      <w:r w:rsidRPr="00EA16B0">
        <w:rPr>
          <w:rFonts w:asciiTheme="majorHAnsi" w:hAnsiTheme="majorHAnsi" w:cstheme="majorHAnsi"/>
          <w:sz w:val="24"/>
          <w:szCs w:val="24"/>
        </w:rPr>
        <w:t>, também não comunica sua decisão de abandono.</w:t>
      </w:r>
    </w:p>
    <w:p w14:paraId="6DCB3182" w14:textId="2C53CD99"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lastRenderedPageBreak/>
        <w:t>Ação 5: Equivalências e proficiências</w:t>
      </w:r>
    </w:p>
    <w:p w14:paraId="27374C1A" w14:textId="77777777" w:rsidR="00D3608B" w:rsidRPr="00EA16B0" w:rsidRDefault="00D3608B" w:rsidP="00DF4936">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A Instituição deve divulgar a possibilidade de estudantes que já frequentaram algum curso superior em ter essas atividades aproveitadas, por equivalência, com aquelas do curso escolhido. Também deve haver uma análise de competências e de conhecimentos trazidos de outra forma que não outro curso superior, a partir de exames de proficiência — em língua estrangeira, por exemplo, mas também em diferentes conteúdos abordados em sua formação —, de modo a permitir que o ingressante avance na integralização do curso, sem a necessidade de rever assuntos que já dominam, desestimulando sua continuidade no curso. </w:t>
      </w:r>
    </w:p>
    <w:p w14:paraId="0F6F4F4D" w14:textId="46980F22" w:rsidR="00D3608B" w:rsidRPr="00EA16B0" w:rsidRDefault="00D3608B" w:rsidP="00DF4936">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Se isso for feito rapidamente, pode possibilitar a chamada de outros candidatos para início do curso até o limite das vagas de ingressantes na Instituição.</w:t>
      </w:r>
    </w:p>
    <w:p w14:paraId="528952D5" w14:textId="77777777" w:rsidR="00DF4936" w:rsidRPr="00EA16B0" w:rsidRDefault="00DF4936" w:rsidP="00DF4936">
      <w:pPr>
        <w:spacing w:line="360" w:lineRule="auto"/>
        <w:ind w:firstLine="709"/>
        <w:jc w:val="both"/>
        <w:rPr>
          <w:rFonts w:asciiTheme="majorHAnsi" w:hAnsiTheme="majorHAnsi" w:cstheme="majorHAnsi"/>
          <w:sz w:val="24"/>
          <w:szCs w:val="24"/>
        </w:rPr>
      </w:pPr>
    </w:p>
    <w:p w14:paraId="3C41E5E2" w14:textId="6866AD3C" w:rsidR="00D3608B" w:rsidRPr="00EA16B0" w:rsidRDefault="00D3608B" w:rsidP="003A7871">
      <w:pPr>
        <w:pStyle w:val="Ttulo2"/>
        <w:numPr>
          <w:ilvl w:val="1"/>
          <w:numId w:val="1"/>
        </w:numPr>
        <w:rPr>
          <w:rFonts w:asciiTheme="majorHAnsi" w:hAnsiTheme="majorHAnsi" w:cstheme="majorHAnsi"/>
        </w:rPr>
      </w:pPr>
      <w:bookmarkStart w:id="59" w:name="_Toc102319388"/>
      <w:r w:rsidRPr="00EA16B0">
        <w:rPr>
          <w:rFonts w:asciiTheme="majorHAnsi" w:hAnsiTheme="majorHAnsi" w:cstheme="majorHAnsi"/>
        </w:rPr>
        <w:t>PERMANÊNCIA E SUCESSO</w:t>
      </w:r>
      <w:bookmarkEnd w:id="59"/>
    </w:p>
    <w:p w14:paraId="471CEFAF" w14:textId="77777777" w:rsidR="00D3608B" w:rsidRPr="00EA16B0" w:rsidRDefault="00D3608B" w:rsidP="00DF4936">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A determinação de cotas ou de outros mecanismos que aumentem a diversidade socioeconômica dos ingressantes, em consonância com a responsabilidade social da Instituição, não garante, por si só, que haverá a formação acadêmica que é feita ao longo de alguns anos. Assim, uma política voltada apenas para o ingresso pode resultar em um período curto de permanência, já que a IES, ainda que não cobre mensalidades ou taxas, como é o caso de IES públicas, ocasiona outros custos de manutenção, agravados nos cursos presenciais pelo tempo em sala de aula, que impede a realização de atividades remuneradas pelo estudante. Assim, uma série de políticas voltadas para a permanência estão em processo de elaboração, para permitir que esses estudantes, de classes sociais menos favorecidas economicamente, possam permanecer e dar continuidade aos seus estudos.</w:t>
      </w:r>
    </w:p>
    <w:p w14:paraId="3C23EB95" w14:textId="77777777" w:rsidR="00D3608B" w:rsidRPr="00EA16B0" w:rsidRDefault="00D3608B" w:rsidP="00DF4936">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Além disso, a formação escolar ao longo da educação básica realizada por estudantes de menor poder econômico tende a apresentar mais lacunas, seja pela falta de condições de acesso às tecnologias de informação e comunicação mais sofisticadas, seja pela falta de estímulo e abordagem de muitos temas que são discutidos, seja pela diferença de qualidade entre escolas públicas mais centrais e localizadas na periferia das grandes cidades ou em zonas rurais. Com isso, apenas a partir da efetiva oferta de atividades que levem a um necessário nivelamento e preenchimento dessas lacunas formativas é que será garantido o sucesso acadêmico desses estudantes. Tais processos </w:t>
      </w:r>
      <w:r w:rsidRPr="00EA16B0">
        <w:rPr>
          <w:rFonts w:asciiTheme="majorHAnsi" w:hAnsiTheme="majorHAnsi" w:cstheme="majorHAnsi"/>
          <w:sz w:val="24"/>
          <w:szCs w:val="24"/>
        </w:rPr>
        <w:lastRenderedPageBreak/>
        <w:t>também estão sendo discutidos e farão parte integrante da acolhida de todos os ingressantes na universidade, seja a partir de atividades de integração, seja a partir de cursos e estudos de nivelamento.</w:t>
      </w:r>
    </w:p>
    <w:p w14:paraId="49119942" w14:textId="77777777" w:rsidR="00D3608B" w:rsidRPr="00EA16B0" w:rsidRDefault="00D3608B" w:rsidP="00DF4936">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Essas ações institucionais, quando devidamente instaladas, garantirão maior permanência (menor evasão) e maior sucesso nas atividades curriculares propostas, com consequente aprovação e progresso na </w:t>
      </w:r>
      <w:proofErr w:type="spellStart"/>
      <w:r w:rsidRPr="00EA16B0">
        <w:rPr>
          <w:rFonts w:asciiTheme="majorHAnsi" w:hAnsiTheme="majorHAnsi" w:cstheme="majorHAnsi"/>
          <w:sz w:val="24"/>
          <w:szCs w:val="24"/>
        </w:rPr>
        <w:t>formaçãoo</w:t>
      </w:r>
      <w:proofErr w:type="spellEnd"/>
      <w:r w:rsidRPr="00EA16B0">
        <w:rPr>
          <w:rFonts w:asciiTheme="majorHAnsi" w:hAnsiTheme="majorHAnsi" w:cstheme="majorHAnsi"/>
          <w:sz w:val="24"/>
          <w:szCs w:val="24"/>
        </w:rPr>
        <w:t xml:space="preserve">, o que culminará com a colação do grau acadêmico ao seu final e com o cumprimento integral do princípio 7 do Decálogo já citado (CEBRASPE, 2022b). E não poderia ser feito de forma diferente, já que essa é uma das finalidades explicitadas para a </w:t>
      </w:r>
      <w:proofErr w:type="spellStart"/>
      <w:r w:rsidRPr="00EA16B0">
        <w:rPr>
          <w:rFonts w:asciiTheme="majorHAnsi" w:hAnsiTheme="majorHAnsi" w:cstheme="majorHAnsi"/>
          <w:sz w:val="24"/>
          <w:szCs w:val="24"/>
        </w:rPr>
        <w:t>UnDF</w:t>
      </w:r>
      <w:proofErr w:type="spellEnd"/>
      <w:r w:rsidRPr="00EA16B0">
        <w:rPr>
          <w:rFonts w:asciiTheme="majorHAnsi" w:hAnsiTheme="majorHAnsi" w:cstheme="majorHAnsi"/>
          <w:sz w:val="24"/>
          <w:szCs w:val="24"/>
        </w:rPr>
        <w:t xml:space="preserve"> em sua Lei de Criação, que coloca no Art. 2.</w:t>
      </w:r>
      <w:r w:rsidRPr="00EA16B0">
        <w:rPr>
          <w:rFonts w:asciiTheme="majorHAnsi" w:hAnsiTheme="majorHAnsi" w:cstheme="majorHAnsi"/>
          <w:sz w:val="24"/>
          <w:szCs w:val="24"/>
          <w:vertAlign w:val="superscript"/>
        </w:rPr>
        <w:t>o</w:t>
      </w:r>
      <w:r w:rsidRPr="00EA16B0">
        <w:rPr>
          <w:rFonts w:asciiTheme="majorHAnsi" w:hAnsiTheme="majorHAnsi" w:cstheme="majorHAnsi"/>
          <w:sz w:val="24"/>
          <w:szCs w:val="24"/>
        </w:rPr>
        <w:t>, IX: “Elaborar e implementar programa de assistência estudantil, para coibir a evasão de estudantes em contexto de vulnerabilidade social, observado o disposto na legislação específica.”. Essa finalidade é reforçada pelo Art. 3.</w:t>
      </w:r>
      <w:r w:rsidRPr="00EA16B0">
        <w:rPr>
          <w:rFonts w:asciiTheme="majorHAnsi" w:hAnsiTheme="majorHAnsi" w:cstheme="majorHAnsi"/>
          <w:sz w:val="24"/>
          <w:szCs w:val="24"/>
          <w:vertAlign w:val="superscript"/>
        </w:rPr>
        <w:t>o</w:t>
      </w:r>
      <w:r w:rsidRPr="00EA16B0">
        <w:rPr>
          <w:rFonts w:asciiTheme="majorHAnsi" w:hAnsiTheme="majorHAnsi" w:cstheme="majorHAnsi"/>
          <w:sz w:val="24"/>
          <w:szCs w:val="24"/>
        </w:rPr>
        <w:t>, VIII, conforme explicitado no quadro 2.2 e na figura 2.1.</w:t>
      </w:r>
    </w:p>
    <w:p w14:paraId="4331428E" w14:textId="77777777" w:rsidR="00D3608B" w:rsidRPr="00EA16B0" w:rsidRDefault="00D3608B" w:rsidP="00DF4936">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A garantia de gratuidade já aumenta em muito a parcela da população que pode ser contemplada e, assim, realizar a formação oferecida pela Instituição. Além disso, os programas de assistência estudantil, atualmente em elaboração, deverão possibilitar que outras necessidades referentes à alimentação, moradia, material de apoio etc. possam também ser disponibilizados a essa população mais vulnerável, contribuindo para a sua permanência.</w:t>
      </w:r>
    </w:p>
    <w:p w14:paraId="53D329A9" w14:textId="77777777" w:rsidR="00D3608B" w:rsidRPr="00EA16B0" w:rsidRDefault="00D3608B" w:rsidP="00DF4936">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Além disso, há vários estudos que mostram que a evasão pode ser categorizada em diferentes procedimentos do aluno destacando-se, segundo Lima &amp; </w:t>
      </w:r>
      <w:proofErr w:type="spellStart"/>
      <w:r w:rsidRPr="00EA16B0">
        <w:rPr>
          <w:rFonts w:asciiTheme="majorHAnsi" w:hAnsiTheme="majorHAnsi" w:cstheme="majorHAnsi"/>
          <w:sz w:val="24"/>
          <w:szCs w:val="24"/>
        </w:rPr>
        <w:t>Zago</w:t>
      </w:r>
      <w:proofErr w:type="spellEnd"/>
      <w:r w:rsidRPr="00EA16B0">
        <w:rPr>
          <w:rFonts w:asciiTheme="majorHAnsi" w:hAnsiTheme="majorHAnsi" w:cstheme="majorHAnsi"/>
          <w:sz w:val="24"/>
          <w:szCs w:val="24"/>
        </w:rPr>
        <w:t xml:space="preserve"> (2017):</w:t>
      </w:r>
    </w:p>
    <w:p w14:paraId="66F21DB2" w14:textId="77777777" w:rsidR="00D3608B" w:rsidRPr="00EA16B0" w:rsidRDefault="00D3608B" w:rsidP="003A7871">
      <w:pPr>
        <w:pStyle w:val="PargrafodaLista"/>
        <w:numPr>
          <w:ilvl w:val="1"/>
          <w:numId w:val="4"/>
        </w:numPr>
        <w:spacing w:after="120" w:line="360" w:lineRule="auto"/>
        <w:ind w:left="284" w:hanging="284"/>
        <w:contextualSpacing w:val="0"/>
        <w:jc w:val="both"/>
        <w:rPr>
          <w:rFonts w:asciiTheme="majorHAnsi" w:hAnsiTheme="majorHAnsi" w:cstheme="majorHAnsi"/>
          <w:sz w:val="24"/>
          <w:szCs w:val="24"/>
        </w:rPr>
      </w:pPr>
      <w:proofErr w:type="spellStart"/>
      <w:r w:rsidRPr="00EA16B0">
        <w:rPr>
          <w:rFonts w:asciiTheme="majorHAnsi" w:hAnsiTheme="majorHAnsi" w:cstheme="majorHAnsi"/>
          <w:sz w:val="24"/>
          <w:szCs w:val="24"/>
        </w:rPr>
        <w:t>Nanoevasão</w:t>
      </w:r>
      <w:proofErr w:type="spellEnd"/>
      <w:r w:rsidRPr="00EA16B0">
        <w:rPr>
          <w:rFonts w:asciiTheme="majorHAnsi" w:hAnsiTheme="majorHAnsi" w:cstheme="majorHAnsi"/>
          <w:sz w:val="24"/>
          <w:szCs w:val="24"/>
        </w:rPr>
        <w:t xml:space="preserve"> — evasão do curso ofertado em um período para a realização do mesmo curso, na mesma Instituição, mas em outro período: muitas vezes decorrente da necessidade de adequar o horário de estudos a outras atividades, especialmente aquelas com remuneração;</w:t>
      </w:r>
    </w:p>
    <w:p w14:paraId="716A25AE" w14:textId="77777777" w:rsidR="00D3608B" w:rsidRPr="00EA16B0" w:rsidRDefault="00D3608B" w:rsidP="003A7871">
      <w:pPr>
        <w:pStyle w:val="PargrafodaLista"/>
        <w:numPr>
          <w:ilvl w:val="1"/>
          <w:numId w:val="4"/>
        </w:numPr>
        <w:spacing w:after="120" w:line="360" w:lineRule="auto"/>
        <w:ind w:left="284" w:hanging="284"/>
        <w:contextualSpacing w:val="0"/>
        <w:jc w:val="both"/>
        <w:rPr>
          <w:rFonts w:asciiTheme="majorHAnsi" w:hAnsiTheme="majorHAnsi" w:cstheme="majorHAnsi"/>
          <w:sz w:val="24"/>
          <w:szCs w:val="24"/>
        </w:rPr>
      </w:pPr>
      <w:proofErr w:type="spellStart"/>
      <w:r w:rsidRPr="00EA16B0">
        <w:rPr>
          <w:rFonts w:asciiTheme="majorHAnsi" w:hAnsiTheme="majorHAnsi" w:cstheme="majorHAnsi"/>
          <w:sz w:val="24"/>
          <w:szCs w:val="24"/>
        </w:rPr>
        <w:t>Microevasão</w:t>
      </w:r>
      <w:proofErr w:type="spellEnd"/>
      <w:r w:rsidRPr="00EA16B0">
        <w:rPr>
          <w:rFonts w:asciiTheme="majorHAnsi" w:hAnsiTheme="majorHAnsi" w:cstheme="majorHAnsi"/>
          <w:sz w:val="24"/>
          <w:szCs w:val="24"/>
        </w:rPr>
        <w:t xml:space="preserve"> — evasão do curso ofertado para outro curso da mesma Instituição: em boa parte dos casos, o ingresso sem o necessário conhecimento do curso pode levar a uma decepção que leva o estudante a procurar outra formação que, na maioria dos casos, é na mesma área do curso evadido.</w:t>
      </w:r>
    </w:p>
    <w:p w14:paraId="10347342" w14:textId="77777777" w:rsidR="00D3608B" w:rsidRPr="00EA16B0" w:rsidRDefault="00D3608B" w:rsidP="003A7871">
      <w:pPr>
        <w:pStyle w:val="PargrafodaLista"/>
        <w:numPr>
          <w:ilvl w:val="1"/>
          <w:numId w:val="4"/>
        </w:numPr>
        <w:spacing w:after="120" w:line="360" w:lineRule="auto"/>
        <w:ind w:left="284" w:hanging="284"/>
        <w:contextualSpacing w:val="0"/>
        <w:jc w:val="both"/>
        <w:rPr>
          <w:rFonts w:asciiTheme="majorHAnsi" w:hAnsiTheme="majorHAnsi" w:cstheme="majorHAnsi"/>
          <w:sz w:val="24"/>
          <w:szCs w:val="24"/>
        </w:rPr>
      </w:pPr>
      <w:proofErr w:type="spellStart"/>
      <w:r w:rsidRPr="00EA16B0">
        <w:rPr>
          <w:rFonts w:asciiTheme="majorHAnsi" w:hAnsiTheme="majorHAnsi" w:cstheme="majorHAnsi"/>
          <w:sz w:val="24"/>
          <w:szCs w:val="24"/>
        </w:rPr>
        <w:t>Mesoevasão</w:t>
      </w:r>
      <w:proofErr w:type="spellEnd"/>
      <w:r w:rsidRPr="00EA16B0">
        <w:rPr>
          <w:rFonts w:asciiTheme="majorHAnsi" w:hAnsiTheme="majorHAnsi" w:cstheme="majorHAnsi"/>
          <w:sz w:val="24"/>
          <w:szCs w:val="24"/>
        </w:rPr>
        <w:t xml:space="preserve"> — evasão do curso ofertado em uma Instituição para outra Instituição, no mesmo ou em outro curso: nesse caso, outros problemas podem contribuir para a decisão que pode envolver aspectos relacionados à proximidade da IES ao local de trabalho e/ou residência, custo </w:t>
      </w:r>
      <w:r w:rsidRPr="00EA16B0">
        <w:rPr>
          <w:rFonts w:asciiTheme="majorHAnsi" w:hAnsiTheme="majorHAnsi" w:cstheme="majorHAnsi"/>
          <w:sz w:val="24"/>
          <w:szCs w:val="24"/>
        </w:rPr>
        <w:lastRenderedPageBreak/>
        <w:t>menor para desenvolvimento do curso, insucesso em alguns conteúdos disciplinares, falta de estímulo na Instituição de origem para atividades que podem existir em outros locais etc.</w:t>
      </w:r>
    </w:p>
    <w:p w14:paraId="473665F2" w14:textId="77777777" w:rsidR="00D3608B" w:rsidRPr="00EA16B0" w:rsidRDefault="00D3608B" w:rsidP="003A7871">
      <w:pPr>
        <w:pStyle w:val="PargrafodaLista"/>
        <w:numPr>
          <w:ilvl w:val="1"/>
          <w:numId w:val="4"/>
        </w:numPr>
        <w:spacing w:after="120" w:line="360" w:lineRule="auto"/>
        <w:ind w:left="284" w:hanging="284"/>
        <w:contextualSpacing w:val="0"/>
        <w:jc w:val="both"/>
        <w:rPr>
          <w:rFonts w:asciiTheme="majorHAnsi" w:hAnsiTheme="majorHAnsi" w:cstheme="majorHAnsi"/>
          <w:sz w:val="24"/>
          <w:szCs w:val="24"/>
        </w:rPr>
      </w:pPr>
      <w:proofErr w:type="spellStart"/>
      <w:r w:rsidRPr="00EA16B0">
        <w:rPr>
          <w:rFonts w:asciiTheme="majorHAnsi" w:hAnsiTheme="majorHAnsi" w:cstheme="majorHAnsi"/>
          <w:sz w:val="24"/>
          <w:szCs w:val="24"/>
        </w:rPr>
        <w:t>Macroevasão</w:t>
      </w:r>
      <w:proofErr w:type="spellEnd"/>
      <w:r w:rsidRPr="00EA16B0">
        <w:rPr>
          <w:rFonts w:asciiTheme="majorHAnsi" w:hAnsiTheme="majorHAnsi" w:cstheme="majorHAnsi"/>
          <w:sz w:val="24"/>
          <w:szCs w:val="24"/>
        </w:rPr>
        <w:t xml:space="preserve"> — evasão do curso e interrupção da formação superior, seja pela falta de recursos, estímulo, vocação, tempo etc.</w:t>
      </w:r>
    </w:p>
    <w:p w14:paraId="0CF1CCE2" w14:textId="77777777" w:rsidR="00D3608B" w:rsidRPr="00EA16B0" w:rsidRDefault="00D3608B" w:rsidP="00DF4936">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Percebe-se que todo o abandono afeta o curso no período em que ocorre, pois passará a ter uma vaga ociosa — ou remanescente, como tecnicamente é chamada. Entretanto, o abandono explicitado no item “a” não afeta a relação total de alunos e de vagas totais daquele curso na Instituição. Os itens “a” e “b” não afetam a taxa total de evasão da Instituição, já que o aluno migra de um curso para outro, mas se mantém ativo nela. O item “c” leva a um aumento da taxa de evasão da Instituição de origem, e diminuição na Instituição de destino, o que não afeta a taxa de escolarização superior do sistema (e do país). Finalmente, o item “d” é o que traz as piores consequências: afeta a instituição de origem, afeta o sistema de educação superior e, com isso, a taxa de escolarização do país.</w:t>
      </w:r>
    </w:p>
    <w:p w14:paraId="334DB705" w14:textId="77777777" w:rsidR="00D3608B" w:rsidRPr="00EA16B0" w:rsidRDefault="00D3608B" w:rsidP="00DF4936">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Como as razões da evasão são múltiplas, não há como eliminar a sua existência, já que sempre haverá algum motivo, até imprevisto, que poderá levar a uma das evasões citadas. Por isso, e especialmente nas IES públicas, e pode ser destacado que as atividades sociais e as ações que levam à sensação de pertencimento ao curso têm se mostrado muito eficientes para minimizar o problema. Outro fator importante e que tem sido apontado como positivo para a diminuição das taxas de evasão é a maior inclusão pedagógica dos estudantes, seja pelo uso de metodologias ativas de aprendizagem, seja pelo sucesso no cumprimento das atividades curriculares que levam à integralização do curso (CORTELAZZO, 2022).</w:t>
      </w:r>
    </w:p>
    <w:p w14:paraId="47730824" w14:textId="77777777" w:rsidR="00D3608B" w:rsidRPr="00EA16B0" w:rsidRDefault="00D3608B" w:rsidP="00DF4936">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Esgotadas todas as possibilidades de ações para diminuir a evasão, é importante que a Instituição apresente mecanismos para o preenchimento das vagas remanescentes e isso, em geral, tem sido pouco explorado ou feito de forma ineficiente. Estudo apresentado por </w:t>
      </w:r>
      <w:proofErr w:type="spellStart"/>
      <w:r w:rsidRPr="00EA16B0">
        <w:rPr>
          <w:rFonts w:asciiTheme="majorHAnsi" w:hAnsiTheme="majorHAnsi" w:cstheme="majorHAnsi"/>
          <w:sz w:val="24"/>
          <w:szCs w:val="24"/>
        </w:rPr>
        <w:t>Cortelazzo</w:t>
      </w:r>
      <w:proofErr w:type="spellEnd"/>
      <w:r w:rsidRPr="00EA16B0">
        <w:rPr>
          <w:rFonts w:asciiTheme="majorHAnsi" w:hAnsiTheme="majorHAnsi" w:cstheme="majorHAnsi"/>
          <w:sz w:val="24"/>
          <w:szCs w:val="24"/>
        </w:rPr>
        <w:t xml:space="preserve"> (2018) mostra que o cálculo das vagas remanescentes existentes normalmente é subestimado e apenas um percentual pequeno dessas vagas é preenchido, mesmo em IES públicas.</w:t>
      </w:r>
    </w:p>
    <w:p w14:paraId="230C384D" w14:textId="77777777" w:rsidR="00D3608B" w:rsidRPr="00EA16B0" w:rsidRDefault="00D3608B" w:rsidP="00DF4936">
      <w:pPr>
        <w:spacing w:after="240"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Neste trabalho foi feito um exercício rápido e passível de críticas, mas que dá um panorama de vagas hipoteticamente remanescentes em 2019 e o quanto foi ofertado para o seu preenchimento. Partiu-se da hipótese de que os ingressantes em 2014, cinco anos depois, estariam formados e apareceriam no censo como concluintes. Claro que muitos deles atrasaram sua </w:t>
      </w:r>
      <w:r w:rsidRPr="00EA16B0">
        <w:rPr>
          <w:rFonts w:asciiTheme="majorHAnsi" w:hAnsiTheme="majorHAnsi" w:cstheme="majorHAnsi"/>
          <w:sz w:val="24"/>
          <w:szCs w:val="24"/>
        </w:rPr>
        <w:lastRenderedPageBreak/>
        <w:t>formação, mas também foram computados concluintes com ingresso em anos anteriores, compensando esse movimento. Com isso, se obtém o número hipotético de vagas remanescentes, dado pelo total de vagas ofertadas em 2014 e o total de formados em 2019, já que a oferta de vagas remanescentes abrange as ociosidades do início dos cursos. Os resultados mostram que as IES privadas ofertam cerca de 70% de sua ociosidade hipotética e as públicas, menos de 40% desse total (última coluna da tabela 3.4). Ainda que se suponha que o mais correto é o número de ingressantes, e não de vagas (o que não é verdadeiro como mostra o percentual obtido para as IES privadas), a oferta de vagas remanescentes seria correspondente a apenas cerca de 70% das vagas ociosas efetivamente disponibilizadas em concurso para ingresso (tabela 3.4).</w:t>
      </w:r>
    </w:p>
    <w:p w14:paraId="43456FB4" w14:textId="77777777" w:rsidR="00DF4936" w:rsidRPr="00EA16B0" w:rsidRDefault="00DF4936" w:rsidP="00DF4936">
      <w:pPr>
        <w:spacing w:after="0"/>
        <w:ind w:right="-1"/>
        <w:rPr>
          <w:rFonts w:asciiTheme="majorHAnsi" w:eastAsia="Times New Roman" w:hAnsiTheme="majorHAnsi" w:cstheme="majorHAnsi"/>
          <w:color w:val="000000"/>
          <w:sz w:val="20"/>
          <w:szCs w:val="21"/>
          <w:lang w:eastAsia="pt-BR"/>
        </w:rPr>
      </w:pPr>
    </w:p>
    <w:p w14:paraId="26D8B90B" w14:textId="43C6F8D9" w:rsidR="00D3608B" w:rsidRPr="00EA16B0" w:rsidRDefault="00D3608B" w:rsidP="00DF4936">
      <w:pPr>
        <w:spacing w:after="0"/>
        <w:ind w:right="-1"/>
        <w:rPr>
          <w:rFonts w:asciiTheme="majorHAnsi" w:eastAsia="Times New Roman" w:hAnsiTheme="majorHAnsi" w:cstheme="majorHAnsi"/>
          <w:color w:val="000000"/>
          <w:sz w:val="20"/>
          <w:szCs w:val="21"/>
          <w:lang w:eastAsia="pt-BR"/>
        </w:rPr>
      </w:pPr>
      <w:r w:rsidRPr="00EA16B0">
        <w:rPr>
          <w:rFonts w:asciiTheme="majorHAnsi" w:eastAsia="Times New Roman" w:hAnsiTheme="majorHAnsi" w:cstheme="majorHAnsi"/>
          <w:color w:val="000000"/>
          <w:sz w:val="20"/>
          <w:szCs w:val="21"/>
          <w:lang w:eastAsia="pt-BR"/>
        </w:rPr>
        <w:t>Tabela 3.4 Porcentagem da oferta de vagas remanescentes no ano de 2019 sobre o valor que deveria ser efetivamente ofertado pelas IES do Brasil.</w:t>
      </w:r>
    </w:p>
    <w:p w14:paraId="633F9104" w14:textId="77777777" w:rsidR="00D3608B" w:rsidRPr="00EA16B0" w:rsidRDefault="00D3608B" w:rsidP="00D3608B">
      <w:pPr>
        <w:spacing w:after="0"/>
        <w:jc w:val="both"/>
        <w:rPr>
          <w:rFonts w:asciiTheme="majorHAnsi" w:hAnsiTheme="majorHAnsi" w:cstheme="majorHAnsi"/>
        </w:rPr>
      </w:pPr>
      <w:r w:rsidRPr="00EA16B0">
        <w:rPr>
          <w:rFonts w:asciiTheme="majorHAnsi" w:hAnsiTheme="majorHAnsi" w:cstheme="majorHAnsi"/>
          <w:noProof/>
          <w:lang w:eastAsia="pt-BR"/>
        </w:rPr>
        <w:drawing>
          <wp:inline distT="0" distB="0" distL="0" distR="0" wp14:anchorId="3715F92C" wp14:editId="6104CFF8">
            <wp:extent cx="6120130" cy="1461326"/>
            <wp:effectExtent l="0" t="0" r="0" b="571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1461326"/>
                    </a:xfrm>
                    <a:prstGeom prst="rect">
                      <a:avLst/>
                    </a:prstGeom>
                    <a:noFill/>
                    <a:ln>
                      <a:noFill/>
                    </a:ln>
                  </pic:spPr>
                </pic:pic>
              </a:graphicData>
            </a:graphic>
          </wp:inline>
        </w:drawing>
      </w:r>
    </w:p>
    <w:p w14:paraId="18AB453C" w14:textId="59DB222F" w:rsidR="00D3608B" w:rsidRPr="00EA16B0" w:rsidRDefault="00D3608B" w:rsidP="00DF4936">
      <w:pPr>
        <w:spacing w:after="240"/>
        <w:rPr>
          <w:rFonts w:asciiTheme="majorHAnsi" w:eastAsia="Times New Roman" w:hAnsiTheme="majorHAnsi" w:cstheme="majorHAnsi"/>
          <w:color w:val="000000"/>
          <w:sz w:val="16"/>
          <w:szCs w:val="21"/>
          <w:lang w:eastAsia="pt-BR"/>
        </w:rPr>
      </w:pPr>
      <w:r w:rsidRPr="00EA16B0">
        <w:rPr>
          <w:rFonts w:asciiTheme="majorHAnsi" w:eastAsia="Times New Roman" w:hAnsiTheme="majorHAnsi" w:cstheme="majorHAnsi"/>
          <w:color w:val="000000"/>
          <w:sz w:val="16"/>
          <w:szCs w:val="21"/>
          <w:lang w:eastAsia="pt-BR"/>
        </w:rPr>
        <w:t>Fonte: Elaborado pelo autor a partir do Censo da Educação Superior de 2014 e de 2019 (INEP, 2015; 2020).</w:t>
      </w:r>
    </w:p>
    <w:p w14:paraId="61DB27CD" w14:textId="77777777" w:rsidR="00DF4936" w:rsidRPr="00EA16B0" w:rsidRDefault="00DF4936" w:rsidP="00D3608B">
      <w:pPr>
        <w:spacing w:after="240"/>
        <w:jc w:val="both"/>
        <w:rPr>
          <w:rFonts w:asciiTheme="majorHAnsi" w:hAnsiTheme="majorHAnsi" w:cstheme="majorHAnsi"/>
        </w:rPr>
      </w:pPr>
    </w:p>
    <w:p w14:paraId="7D8BCF28" w14:textId="5C5A77BD" w:rsidR="00D3608B" w:rsidRPr="00EA16B0" w:rsidRDefault="00D3608B" w:rsidP="00DF4936">
      <w:pPr>
        <w:spacing w:after="240"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Se agora pegarmos os mesmos cursos utilizados para a verificação da oferta para ingresso na tabela 3.3 e fizermos apenas a oferta de vagas remanescentes no país, teremos os valores compilados na tabela 3.5. Nela, percebemos que mesmo com oferta subestimada como comentado acima, nenhum dos cursos logra o preenchimento das vagas remanescentes disponibilizadas. Mesmo naqueles em que a demanda é superior a 1 candidato/vaga, como Engenharias de Computação para cursos que seguem as DCN da Computação e Engenharia de Software, o preenchimento das vagas é inferior a 45% e a 27%, respectivamente. Mais grave do que isso, no curso mais concorrido do país nas IES públicas, que é Medicina, as vagas decorrentes das poucas desistências não conseguem preenchimento total, restando 105 vagas ociosas em relação à oferta, o que corresponde a 13,5% (tabela 3.5).</w:t>
      </w:r>
    </w:p>
    <w:p w14:paraId="15B083E6" w14:textId="77777777" w:rsidR="00DF4936" w:rsidRPr="00EA16B0" w:rsidRDefault="00DF4936" w:rsidP="00DF4936">
      <w:pPr>
        <w:spacing w:after="240" w:line="360" w:lineRule="auto"/>
        <w:ind w:firstLine="709"/>
        <w:jc w:val="both"/>
        <w:rPr>
          <w:rFonts w:asciiTheme="majorHAnsi" w:hAnsiTheme="majorHAnsi" w:cstheme="majorHAnsi"/>
          <w:sz w:val="24"/>
          <w:szCs w:val="24"/>
        </w:rPr>
      </w:pPr>
    </w:p>
    <w:p w14:paraId="779732DB" w14:textId="77777777" w:rsidR="00D3608B" w:rsidRPr="00EA16B0" w:rsidRDefault="00D3608B" w:rsidP="00D3608B">
      <w:pPr>
        <w:spacing w:after="120"/>
        <w:jc w:val="both"/>
        <w:rPr>
          <w:rFonts w:asciiTheme="majorHAnsi" w:eastAsia="Times New Roman" w:hAnsiTheme="majorHAnsi" w:cstheme="majorHAnsi"/>
          <w:color w:val="000000"/>
          <w:sz w:val="20"/>
          <w:szCs w:val="21"/>
          <w:lang w:eastAsia="pt-BR"/>
        </w:rPr>
      </w:pPr>
      <w:r w:rsidRPr="00EA16B0">
        <w:rPr>
          <w:rFonts w:asciiTheme="majorHAnsi" w:eastAsia="Times New Roman" w:hAnsiTheme="majorHAnsi" w:cstheme="majorHAnsi"/>
          <w:color w:val="000000"/>
          <w:sz w:val="20"/>
          <w:szCs w:val="21"/>
          <w:lang w:eastAsia="pt-BR"/>
        </w:rPr>
        <w:lastRenderedPageBreak/>
        <w:t xml:space="preserve">Tabela 3.5. Vagas remanescentes oferecidas, candidatos, ingressos e vagas remanescentes não preenchidas no total de cursos superiores do Brasil e nos cursos da área de computação que serão ofertados pela </w:t>
      </w:r>
      <w:proofErr w:type="spellStart"/>
      <w:r w:rsidRPr="00EA16B0">
        <w:rPr>
          <w:rFonts w:asciiTheme="majorHAnsi" w:eastAsia="Times New Roman" w:hAnsiTheme="majorHAnsi" w:cstheme="majorHAnsi"/>
          <w:color w:val="000000"/>
          <w:sz w:val="20"/>
          <w:szCs w:val="21"/>
          <w:lang w:eastAsia="pt-BR"/>
        </w:rPr>
        <w:t>UnDF</w:t>
      </w:r>
      <w:proofErr w:type="spellEnd"/>
      <w:r w:rsidRPr="00EA16B0">
        <w:rPr>
          <w:rFonts w:asciiTheme="majorHAnsi" w:eastAsia="Times New Roman" w:hAnsiTheme="majorHAnsi" w:cstheme="majorHAnsi"/>
          <w:color w:val="000000"/>
          <w:sz w:val="20"/>
          <w:szCs w:val="21"/>
          <w:lang w:eastAsia="pt-BR"/>
        </w:rPr>
        <w:t>, de Medicina e Formação de Professores para a Educação Especial, em 2019.</w:t>
      </w:r>
    </w:p>
    <w:p w14:paraId="7E86E92D" w14:textId="77777777" w:rsidR="00D3608B" w:rsidRPr="00EA16B0" w:rsidRDefault="00D3608B" w:rsidP="00D3608B">
      <w:pPr>
        <w:spacing w:after="0"/>
        <w:jc w:val="both"/>
        <w:rPr>
          <w:rFonts w:asciiTheme="majorHAnsi" w:hAnsiTheme="majorHAnsi" w:cstheme="majorHAnsi"/>
        </w:rPr>
      </w:pPr>
      <w:r w:rsidRPr="00EA16B0">
        <w:rPr>
          <w:rFonts w:asciiTheme="majorHAnsi" w:hAnsiTheme="majorHAnsi" w:cstheme="majorHAnsi"/>
          <w:noProof/>
          <w:lang w:eastAsia="pt-BR"/>
        </w:rPr>
        <w:drawing>
          <wp:inline distT="0" distB="0" distL="0" distR="0" wp14:anchorId="10AB45C6" wp14:editId="15A066E4">
            <wp:extent cx="6119394" cy="2790825"/>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1732" cy="2791891"/>
                    </a:xfrm>
                    <a:prstGeom prst="rect">
                      <a:avLst/>
                    </a:prstGeom>
                    <a:noFill/>
                    <a:ln>
                      <a:noFill/>
                    </a:ln>
                  </pic:spPr>
                </pic:pic>
              </a:graphicData>
            </a:graphic>
          </wp:inline>
        </w:drawing>
      </w:r>
    </w:p>
    <w:p w14:paraId="18AC59AA" w14:textId="2FC0DA29" w:rsidR="00D3608B" w:rsidRPr="00EA16B0" w:rsidRDefault="00D3608B" w:rsidP="00D3608B">
      <w:pPr>
        <w:jc w:val="both"/>
        <w:rPr>
          <w:rFonts w:asciiTheme="majorHAnsi" w:eastAsia="Times New Roman" w:hAnsiTheme="majorHAnsi" w:cstheme="majorHAnsi"/>
          <w:color w:val="000000"/>
          <w:sz w:val="16"/>
          <w:szCs w:val="21"/>
          <w:lang w:eastAsia="pt-BR"/>
        </w:rPr>
      </w:pPr>
      <w:r w:rsidRPr="00EA16B0">
        <w:rPr>
          <w:rFonts w:asciiTheme="majorHAnsi" w:eastAsia="Times New Roman" w:hAnsiTheme="majorHAnsi" w:cstheme="majorHAnsi"/>
          <w:color w:val="000000"/>
          <w:sz w:val="16"/>
          <w:szCs w:val="16"/>
          <w:lang w:eastAsia="pt-BR"/>
        </w:rPr>
        <w:t>1.</w:t>
      </w:r>
      <w:r w:rsidRPr="00EA16B0">
        <w:rPr>
          <w:rFonts w:asciiTheme="majorHAnsi" w:eastAsia="Times New Roman" w:hAnsiTheme="majorHAnsi" w:cstheme="majorHAnsi"/>
          <w:color w:val="000000"/>
          <w:sz w:val="16"/>
          <w:szCs w:val="21"/>
          <w:lang w:eastAsia="pt-BR"/>
        </w:rPr>
        <w:t>Total geral de toda a educação superior no país; 2. Eng. Computação de cursos que seguem as DCN das Engenharias; 3. Eng. Computação de cursos que seguem as DCN da Computação; 4. Formação de Professores para Educação Especial. 5. Engloba IES Federais, Estaduais e Municipais. Fonte: Elaborado pelo autor a partir dos dados do Censo de 2019 (INEP, 2020a).</w:t>
      </w:r>
    </w:p>
    <w:p w14:paraId="147E14F0" w14:textId="77777777" w:rsidR="00DF4936" w:rsidRPr="00EA16B0" w:rsidRDefault="00DF4936" w:rsidP="00D3608B">
      <w:pPr>
        <w:jc w:val="both"/>
        <w:rPr>
          <w:rFonts w:asciiTheme="majorHAnsi" w:eastAsia="Times New Roman" w:hAnsiTheme="majorHAnsi" w:cstheme="majorHAnsi"/>
          <w:color w:val="000000"/>
          <w:sz w:val="16"/>
          <w:szCs w:val="21"/>
          <w:lang w:eastAsia="pt-BR"/>
        </w:rPr>
      </w:pPr>
    </w:p>
    <w:p w14:paraId="26F87B0B" w14:textId="77777777" w:rsidR="00D3608B" w:rsidRPr="00EA16B0" w:rsidRDefault="00D3608B" w:rsidP="00DF4936">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Os dados acima só confirmam a necessidade do estabelecimento de ações que efetivamente vençam a realidade que se instalou na educação superior do país, que tem uma oferta pública cada vez mais tímida em relação à oferta privada e, paradoxalmente, não consegue estabelecer políticas públicas que pelo menos deem conta do preenchimento total das vagas ofertadas.</w:t>
      </w:r>
    </w:p>
    <w:p w14:paraId="259515E3" w14:textId="77777777" w:rsidR="00D3608B" w:rsidRPr="00EA16B0" w:rsidRDefault="00D3608B" w:rsidP="00DF4936">
      <w:pPr>
        <w:spacing w:line="360" w:lineRule="auto"/>
        <w:ind w:firstLine="709"/>
        <w:jc w:val="both"/>
        <w:rPr>
          <w:rFonts w:asciiTheme="majorHAnsi" w:hAnsiTheme="majorHAnsi" w:cstheme="majorHAnsi"/>
          <w:sz w:val="24"/>
          <w:szCs w:val="24"/>
        </w:rPr>
      </w:pPr>
      <w:r w:rsidRPr="00EA16B0">
        <w:rPr>
          <w:rFonts w:asciiTheme="majorHAnsi" w:hAnsiTheme="majorHAnsi" w:cstheme="majorHAnsi"/>
          <w:spacing w:val="-4"/>
          <w:sz w:val="24"/>
          <w:szCs w:val="24"/>
        </w:rPr>
        <w:t>Enquanto o curso está em implantação, não há egressos por formatura e o número de matriculados hipotético</w:t>
      </w:r>
      <w:r w:rsidRPr="00EA16B0">
        <w:rPr>
          <w:rFonts w:asciiTheme="majorHAnsi" w:hAnsiTheme="majorHAnsi" w:cstheme="majorHAnsi"/>
          <w:sz w:val="24"/>
          <w:szCs w:val="24"/>
        </w:rPr>
        <w:t xml:space="preserve"> será a quantidade de ingressos ocorrido no período. O número de matriculados reais mostrará quantas vagas estão disponíveis para preenchimento e fica fácil imaginar que, se temos um sistema seriado, teremos uma operação simples em cada período. Por exemplo, se imaginamos um ingresso por ano, com 100 vagas, deveremos ter 100 alunos matriculados no 1.</w:t>
      </w:r>
      <w:r w:rsidRPr="00EA16B0">
        <w:rPr>
          <w:rFonts w:asciiTheme="majorHAnsi" w:hAnsiTheme="majorHAnsi" w:cstheme="majorHAnsi"/>
          <w:sz w:val="24"/>
          <w:szCs w:val="24"/>
          <w:vertAlign w:val="superscript"/>
        </w:rPr>
        <w:t>o</w:t>
      </w:r>
      <w:r w:rsidRPr="00EA16B0">
        <w:rPr>
          <w:rFonts w:asciiTheme="majorHAnsi" w:hAnsiTheme="majorHAnsi" w:cstheme="majorHAnsi"/>
          <w:sz w:val="24"/>
          <w:szCs w:val="24"/>
        </w:rPr>
        <w:t xml:space="preserve"> e depois no 2.</w:t>
      </w:r>
      <w:r w:rsidRPr="00EA16B0">
        <w:rPr>
          <w:rFonts w:asciiTheme="majorHAnsi" w:hAnsiTheme="majorHAnsi" w:cstheme="majorHAnsi"/>
          <w:sz w:val="24"/>
          <w:szCs w:val="24"/>
          <w:vertAlign w:val="superscript"/>
        </w:rPr>
        <w:t>o</w:t>
      </w:r>
      <w:r w:rsidRPr="00EA16B0" w:rsidDel="00655006">
        <w:rPr>
          <w:rFonts w:asciiTheme="majorHAnsi" w:hAnsiTheme="majorHAnsi" w:cstheme="majorHAnsi"/>
          <w:sz w:val="24"/>
          <w:szCs w:val="24"/>
        </w:rPr>
        <w:t xml:space="preserve"> </w:t>
      </w:r>
      <w:r w:rsidRPr="00EA16B0">
        <w:rPr>
          <w:rFonts w:asciiTheme="majorHAnsi" w:hAnsiTheme="majorHAnsi" w:cstheme="majorHAnsi"/>
          <w:sz w:val="24"/>
          <w:szCs w:val="24"/>
        </w:rPr>
        <w:t>semestre. Se ao final do 1.</w:t>
      </w:r>
      <w:r w:rsidRPr="00EA16B0">
        <w:rPr>
          <w:rFonts w:asciiTheme="majorHAnsi" w:hAnsiTheme="majorHAnsi" w:cstheme="majorHAnsi"/>
          <w:sz w:val="24"/>
          <w:szCs w:val="24"/>
          <w:vertAlign w:val="superscript"/>
        </w:rPr>
        <w:t xml:space="preserve">o </w:t>
      </w:r>
      <w:r w:rsidRPr="00EA16B0">
        <w:rPr>
          <w:rFonts w:asciiTheme="majorHAnsi" w:hAnsiTheme="majorHAnsi" w:cstheme="majorHAnsi"/>
          <w:sz w:val="24"/>
          <w:szCs w:val="24"/>
        </w:rPr>
        <w:t>semestre tivermos 90, isso significará que houve 10% de abandono ou evasão. Idem para o 2.</w:t>
      </w:r>
      <w:r w:rsidRPr="00EA16B0">
        <w:rPr>
          <w:rFonts w:asciiTheme="majorHAnsi" w:hAnsiTheme="majorHAnsi" w:cstheme="majorHAnsi"/>
          <w:sz w:val="24"/>
          <w:szCs w:val="24"/>
          <w:vertAlign w:val="superscript"/>
        </w:rPr>
        <w:t>o</w:t>
      </w:r>
      <w:r w:rsidRPr="00EA16B0">
        <w:rPr>
          <w:rFonts w:asciiTheme="majorHAnsi" w:hAnsiTheme="majorHAnsi" w:cstheme="majorHAnsi"/>
          <w:sz w:val="24"/>
          <w:szCs w:val="24"/>
        </w:rPr>
        <w:t xml:space="preserve"> semestre. Se tivermos uma matrícula de 85 alunos para iniciar o 3.</w:t>
      </w:r>
      <w:r w:rsidRPr="00EA16B0">
        <w:rPr>
          <w:rFonts w:asciiTheme="majorHAnsi" w:hAnsiTheme="majorHAnsi" w:cstheme="majorHAnsi"/>
          <w:sz w:val="24"/>
          <w:szCs w:val="24"/>
          <w:vertAlign w:val="superscript"/>
        </w:rPr>
        <w:t xml:space="preserve">o </w:t>
      </w:r>
      <w:r w:rsidRPr="00EA16B0">
        <w:rPr>
          <w:rFonts w:asciiTheme="majorHAnsi" w:hAnsiTheme="majorHAnsi" w:cstheme="majorHAnsi"/>
          <w:sz w:val="24"/>
          <w:szCs w:val="24"/>
        </w:rPr>
        <w:t>semestre, teremos 15% de evasão desde o 1.</w:t>
      </w:r>
      <w:r w:rsidRPr="00EA16B0">
        <w:rPr>
          <w:rFonts w:asciiTheme="majorHAnsi" w:hAnsiTheme="majorHAnsi" w:cstheme="majorHAnsi"/>
          <w:sz w:val="24"/>
          <w:szCs w:val="24"/>
          <w:vertAlign w:val="superscript"/>
        </w:rPr>
        <w:t>o</w:t>
      </w:r>
      <w:r w:rsidRPr="00EA16B0" w:rsidDel="00655006">
        <w:rPr>
          <w:rFonts w:asciiTheme="majorHAnsi" w:hAnsiTheme="majorHAnsi" w:cstheme="majorHAnsi"/>
          <w:sz w:val="24"/>
          <w:szCs w:val="24"/>
        </w:rPr>
        <w:t xml:space="preserve"> </w:t>
      </w:r>
      <w:r w:rsidRPr="00EA16B0">
        <w:rPr>
          <w:rFonts w:asciiTheme="majorHAnsi" w:hAnsiTheme="majorHAnsi" w:cstheme="majorHAnsi"/>
          <w:sz w:val="24"/>
          <w:szCs w:val="24"/>
        </w:rPr>
        <w:t>ano e, em tese, 185 matriculados já que nesse semestre teremos o pessoal que já cursava e o pessoal ingressante. Pode-se refinar o cálculo para separar ociosidade de abandono, já que pode ser que não sejam preenchidas todas as vagas disponibilizadas para início do curso.</w:t>
      </w:r>
    </w:p>
    <w:p w14:paraId="6375647A" w14:textId="77777777" w:rsidR="00D3608B" w:rsidRPr="00EA16B0" w:rsidRDefault="00D3608B" w:rsidP="00DF4936">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Desse modo, os cálculos possíveis, segundo </w:t>
      </w:r>
      <w:proofErr w:type="spellStart"/>
      <w:r w:rsidRPr="00EA16B0">
        <w:rPr>
          <w:rFonts w:asciiTheme="majorHAnsi" w:hAnsiTheme="majorHAnsi" w:cstheme="majorHAnsi"/>
          <w:sz w:val="24"/>
          <w:szCs w:val="24"/>
        </w:rPr>
        <w:t>Cortelazzo</w:t>
      </w:r>
      <w:proofErr w:type="spellEnd"/>
      <w:r w:rsidRPr="00EA16B0">
        <w:rPr>
          <w:rFonts w:asciiTheme="majorHAnsi" w:hAnsiTheme="majorHAnsi" w:cstheme="majorHAnsi"/>
          <w:sz w:val="24"/>
          <w:szCs w:val="24"/>
        </w:rPr>
        <w:t xml:space="preserve"> (2018), para retratar o movimento dos alunos no início do curso, ou em um dado semestre, será:</w:t>
      </w:r>
    </w:p>
    <w:p w14:paraId="299C934F" w14:textId="77777777" w:rsidR="00D3608B" w:rsidRPr="00EA16B0" w:rsidRDefault="00D3608B" w:rsidP="00D3608B">
      <w:pPr>
        <w:tabs>
          <w:tab w:val="left" w:pos="9638"/>
        </w:tabs>
        <w:ind w:left="1418"/>
        <w:rPr>
          <w:rFonts w:asciiTheme="majorHAnsi" w:hAnsiTheme="majorHAnsi" w:cstheme="majorHAnsi"/>
          <w:sz w:val="24"/>
          <w:szCs w:val="28"/>
        </w:rPr>
      </w:pPr>
      <w:r w:rsidRPr="00EA16B0">
        <w:rPr>
          <w:rFonts w:asciiTheme="majorHAnsi" w:hAnsiTheme="majorHAnsi" w:cstheme="majorHAnsi"/>
          <w:b/>
          <w:sz w:val="24"/>
          <w:szCs w:val="28"/>
        </w:rPr>
        <w:lastRenderedPageBreak/>
        <w:t>% Ociosidade</w:t>
      </w:r>
      <w:r w:rsidRPr="00EA16B0">
        <w:rPr>
          <w:rFonts w:asciiTheme="majorHAnsi" w:hAnsiTheme="majorHAnsi" w:cstheme="majorHAnsi"/>
          <w:sz w:val="24"/>
          <w:szCs w:val="28"/>
        </w:rPr>
        <w:t xml:space="preserve"> = [(NV - NM1S) / NV] x 100</w:t>
      </w:r>
    </w:p>
    <w:p w14:paraId="76CC0241" w14:textId="77777777" w:rsidR="00D3608B" w:rsidRPr="00EA16B0" w:rsidRDefault="00D3608B" w:rsidP="00D3608B">
      <w:pPr>
        <w:tabs>
          <w:tab w:val="left" w:pos="9638"/>
        </w:tabs>
        <w:ind w:left="1418"/>
        <w:rPr>
          <w:rFonts w:asciiTheme="majorHAnsi" w:hAnsiTheme="majorHAnsi" w:cstheme="majorHAnsi"/>
          <w:sz w:val="24"/>
          <w:szCs w:val="28"/>
        </w:rPr>
      </w:pPr>
      <w:r w:rsidRPr="00EA16B0">
        <w:rPr>
          <w:rFonts w:asciiTheme="majorHAnsi" w:hAnsiTheme="majorHAnsi" w:cstheme="majorHAnsi"/>
          <w:b/>
          <w:sz w:val="24"/>
          <w:szCs w:val="28"/>
        </w:rPr>
        <w:t>% Evasão</w:t>
      </w:r>
      <w:r w:rsidRPr="00EA16B0">
        <w:rPr>
          <w:rFonts w:asciiTheme="majorHAnsi" w:hAnsiTheme="majorHAnsi" w:cstheme="majorHAnsi"/>
          <w:sz w:val="24"/>
          <w:szCs w:val="28"/>
        </w:rPr>
        <w:t xml:space="preserve"> = [(NM1S - NM2S) / NM1S] x 100</w:t>
      </w:r>
    </w:p>
    <w:p w14:paraId="0B7F7F89" w14:textId="77777777" w:rsidR="00D3608B" w:rsidRPr="00EA16B0" w:rsidRDefault="00D3608B" w:rsidP="00D3608B">
      <w:pPr>
        <w:tabs>
          <w:tab w:val="left" w:pos="9638"/>
        </w:tabs>
        <w:ind w:left="1418"/>
        <w:rPr>
          <w:rFonts w:asciiTheme="majorHAnsi" w:hAnsiTheme="majorHAnsi" w:cstheme="majorHAnsi"/>
          <w:sz w:val="24"/>
          <w:szCs w:val="28"/>
        </w:rPr>
      </w:pPr>
      <w:r w:rsidRPr="00EA16B0">
        <w:rPr>
          <w:rFonts w:asciiTheme="majorHAnsi" w:hAnsiTheme="majorHAnsi" w:cstheme="majorHAnsi"/>
          <w:b/>
          <w:sz w:val="24"/>
          <w:szCs w:val="28"/>
        </w:rPr>
        <w:t>% Total de perda no 1.</w:t>
      </w:r>
      <w:r w:rsidRPr="00EA16B0">
        <w:rPr>
          <w:rFonts w:asciiTheme="majorHAnsi" w:hAnsiTheme="majorHAnsi" w:cstheme="majorHAnsi"/>
          <w:b/>
          <w:sz w:val="24"/>
          <w:szCs w:val="28"/>
          <w:vertAlign w:val="superscript"/>
        </w:rPr>
        <w:t>o</w:t>
      </w:r>
      <w:r w:rsidRPr="00EA16B0">
        <w:rPr>
          <w:rFonts w:asciiTheme="majorHAnsi" w:hAnsiTheme="majorHAnsi" w:cstheme="majorHAnsi"/>
          <w:b/>
          <w:sz w:val="24"/>
          <w:szCs w:val="28"/>
        </w:rPr>
        <w:t xml:space="preserve"> semestre</w:t>
      </w:r>
      <w:r w:rsidRPr="00EA16B0">
        <w:rPr>
          <w:rFonts w:asciiTheme="majorHAnsi" w:hAnsiTheme="majorHAnsi" w:cstheme="majorHAnsi"/>
          <w:sz w:val="24"/>
          <w:szCs w:val="28"/>
        </w:rPr>
        <w:t xml:space="preserve"> = [(NV - NM2S) / NV] x 100</w:t>
      </w:r>
    </w:p>
    <w:p w14:paraId="354C716E" w14:textId="77777777" w:rsidR="00D3608B" w:rsidRPr="00EA16B0" w:rsidRDefault="00D3608B" w:rsidP="00D3608B">
      <w:pPr>
        <w:tabs>
          <w:tab w:val="left" w:pos="9638"/>
        </w:tabs>
        <w:ind w:left="1418"/>
        <w:rPr>
          <w:rFonts w:asciiTheme="majorHAnsi" w:hAnsiTheme="majorHAnsi" w:cstheme="majorHAnsi"/>
          <w:b/>
          <w:sz w:val="24"/>
          <w:szCs w:val="28"/>
        </w:rPr>
      </w:pPr>
      <w:r w:rsidRPr="00EA16B0">
        <w:rPr>
          <w:rFonts w:asciiTheme="majorHAnsi" w:hAnsiTheme="majorHAnsi" w:cstheme="majorHAnsi"/>
          <w:b/>
          <w:sz w:val="24"/>
          <w:szCs w:val="28"/>
        </w:rPr>
        <w:t>Total de perda no 1.</w:t>
      </w:r>
      <w:r w:rsidRPr="00EA16B0">
        <w:rPr>
          <w:rFonts w:asciiTheme="majorHAnsi" w:hAnsiTheme="majorHAnsi" w:cstheme="majorHAnsi"/>
          <w:b/>
          <w:sz w:val="24"/>
          <w:szCs w:val="28"/>
          <w:vertAlign w:val="superscript"/>
        </w:rPr>
        <w:t>o</w:t>
      </w:r>
      <w:r w:rsidRPr="00EA16B0" w:rsidDel="00727DCD">
        <w:rPr>
          <w:rFonts w:asciiTheme="majorHAnsi" w:hAnsiTheme="majorHAnsi" w:cstheme="majorHAnsi"/>
          <w:b/>
          <w:sz w:val="24"/>
          <w:szCs w:val="28"/>
        </w:rPr>
        <w:t xml:space="preserve"> </w:t>
      </w:r>
      <w:r w:rsidRPr="00EA16B0">
        <w:rPr>
          <w:rFonts w:asciiTheme="majorHAnsi" w:hAnsiTheme="majorHAnsi" w:cstheme="majorHAnsi"/>
          <w:b/>
          <w:sz w:val="24"/>
          <w:szCs w:val="28"/>
        </w:rPr>
        <w:t>semestre: NV - NM2S</w:t>
      </w:r>
    </w:p>
    <w:p w14:paraId="50A84773" w14:textId="77777777" w:rsidR="00D3608B" w:rsidRPr="00EA16B0" w:rsidRDefault="00D3608B" w:rsidP="00D3608B">
      <w:pPr>
        <w:tabs>
          <w:tab w:val="left" w:pos="9638"/>
        </w:tabs>
        <w:ind w:left="1418"/>
        <w:rPr>
          <w:rFonts w:asciiTheme="majorHAnsi" w:hAnsiTheme="majorHAnsi" w:cstheme="majorHAnsi"/>
          <w:sz w:val="24"/>
          <w:szCs w:val="28"/>
        </w:rPr>
      </w:pPr>
      <w:r w:rsidRPr="00EA16B0">
        <w:rPr>
          <w:rFonts w:asciiTheme="majorHAnsi" w:hAnsiTheme="majorHAnsi" w:cstheme="majorHAnsi"/>
          <w:b/>
          <w:sz w:val="24"/>
          <w:szCs w:val="28"/>
        </w:rPr>
        <w:t>Total de perda nos demais semestres: NMS</w:t>
      </w:r>
      <w:r w:rsidRPr="00EA16B0">
        <w:rPr>
          <w:rFonts w:asciiTheme="majorHAnsi" w:hAnsiTheme="majorHAnsi" w:cstheme="majorHAnsi"/>
          <w:b/>
          <w:sz w:val="24"/>
          <w:szCs w:val="28"/>
          <w:vertAlign w:val="subscript"/>
        </w:rPr>
        <w:t>(x)</w:t>
      </w:r>
      <w:r w:rsidRPr="00EA16B0">
        <w:rPr>
          <w:rFonts w:asciiTheme="majorHAnsi" w:hAnsiTheme="majorHAnsi" w:cstheme="majorHAnsi"/>
          <w:b/>
          <w:sz w:val="24"/>
          <w:szCs w:val="28"/>
        </w:rPr>
        <w:t xml:space="preserve"> - NMS</w:t>
      </w:r>
      <w:r w:rsidRPr="00EA16B0">
        <w:rPr>
          <w:rFonts w:asciiTheme="majorHAnsi" w:hAnsiTheme="majorHAnsi" w:cstheme="majorHAnsi"/>
          <w:b/>
          <w:sz w:val="24"/>
          <w:szCs w:val="28"/>
          <w:vertAlign w:val="subscript"/>
        </w:rPr>
        <w:t>(x+1)</w:t>
      </w:r>
    </w:p>
    <w:p w14:paraId="62C9F359" w14:textId="77777777" w:rsidR="00D3608B" w:rsidRPr="00EA16B0" w:rsidRDefault="00D3608B" w:rsidP="00D3608B">
      <w:pPr>
        <w:tabs>
          <w:tab w:val="left" w:pos="7938"/>
        </w:tabs>
        <w:ind w:left="1418" w:right="1416"/>
        <w:jc w:val="both"/>
        <w:rPr>
          <w:rFonts w:asciiTheme="majorHAnsi" w:hAnsiTheme="majorHAnsi" w:cstheme="majorHAnsi"/>
          <w:sz w:val="24"/>
          <w:szCs w:val="28"/>
        </w:rPr>
      </w:pPr>
      <w:r w:rsidRPr="00EA16B0">
        <w:rPr>
          <w:rFonts w:asciiTheme="majorHAnsi" w:hAnsiTheme="majorHAnsi" w:cstheme="majorHAnsi"/>
          <w:sz w:val="24"/>
          <w:szCs w:val="28"/>
        </w:rPr>
        <w:t>Onde: NV = número de vagas oferecido; NM1S = Número de matriculados no 1.</w:t>
      </w:r>
      <w:r w:rsidRPr="00EA16B0">
        <w:rPr>
          <w:rFonts w:asciiTheme="majorHAnsi" w:hAnsiTheme="majorHAnsi" w:cstheme="majorHAnsi"/>
          <w:sz w:val="24"/>
          <w:szCs w:val="28"/>
          <w:vertAlign w:val="superscript"/>
        </w:rPr>
        <w:t>o</w:t>
      </w:r>
      <w:r w:rsidRPr="00EA16B0">
        <w:rPr>
          <w:rFonts w:asciiTheme="majorHAnsi" w:hAnsiTheme="majorHAnsi" w:cstheme="majorHAnsi"/>
          <w:sz w:val="24"/>
          <w:szCs w:val="28"/>
        </w:rPr>
        <w:t xml:space="preserve"> semestre do curso (ingressantes efetivos); NM2S = Número de matriculados no 2.</w:t>
      </w:r>
      <w:r w:rsidRPr="00EA16B0">
        <w:rPr>
          <w:rFonts w:asciiTheme="majorHAnsi" w:hAnsiTheme="majorHAnsi" w:cstheme="majorHAnsi"/>
          <w:sz w:val="24"/>
          <w:szCs w:val="28"/>
          <w:vertAlign w:val="superscript"/>
        </w:rPr>
        <w:t>o</w:t>
      </w:r>
      <w:r w:rsidRPr="00EA16B0" w:rsidDel="00727DCD">
        <w:rPr>
          <w:rFonts w:asciiTheme="majorHAnsi" w:hAnsiTheme="majorHAnsi" w:cstheme="majorHAnsi"/>
          <w:sz w:val="24"/>
          <w:szCs w:val="28"/>
        </w:rPr>
        <w:t xml:space="preserve"> </w:t>
      </w:r>
      <w:r w:rsidRPr="00EA16B0">
        <w:rPr>
          <w:rFonts w:asciiTheme="majorHAnsi" w:hAnsiTheme="majorHAnsi" w:cstheme="majorHAnsi"/>
          <w:sz w:val="24"/>
          <w:szCs w:val="28"/>
        </w:rPr>
        <w:t>semestre do curso; NMS(x) = Número de matriculados no semestre x. NMS(x+1) = Número de matriculados no semestre x+1.</w:t>
      </w:r>
    </w:p>
    <w:p w14:paraId="78897EBC" w14:textId="77777777" w:rsidR="00D3608B" w:rsidRPr="00EA16B0" w:rsidRDefault="00D3608B" w:rsidP="00DF4936">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Esse acompanhamento indicará a quantidade de vagas remanescentes que o curso tem no final do 1</w:t>
      </w:r>
      <w:r w:rsidRPr="00EA16B0">
        <w:rPr>
          <w:rFonts w:asciiTheme="majorHAnsi" w:hAnsiTheme="majorHAnsi" w:cstheme="majorHAnsi"/>
          <w:bCs/>
          <w:sz w:val="24"/>
          <w:szCs w:val="28"/>
        </w:rPr>
        <w:t>.</w:t>
      </w:r>
      <w:r w:rsidRPr="00EA16B0">
        <w:rPr>
          <w:rFonts w:asciiTheme="majorHAnsi" w:hAnsiTheme="majorHAnsi" w:cstheme="majorHAnsi"/>
          <w:bCs/>
          <w:sz w:val="24"/>
          <w:szCs w:val="28"/>
          <w:vertAlign w:val="superscript"/>
        </w:rPr>
        <w:t>o</w:t>
      </w:r>
      <w:r w:rsidRPr="00EA16B0" w:rsidDel="00727DCD">
        <w:rPr>
          <w:rFonts w:asciiTheme="majorHAnsi" w:hAnsiTheme="majorHAnsi" w:cstheme="majorHAnsi"/>
          <w:sz w:val="24"/>
          <w:szCs w:val="24"/>
        </w:rPr>
        <w:t xml:space="preserve"> </w:t>
      </w:r>
      <w:r w:rsidRPr="00EA16B0">
        <w:rPr>
          <w:rFonts w:asciiTheme="majorHAnsi" w:hAnsiTheme="majorHAnsi" w:cstheme="majorHAnsi"/>
          <w:sz w:val="24"/>
          <w:szCs w:val="24"/>
        </w:rPr>
        <w:t>semestre, ou ainda melhor, no início do 2</w:t>
      </w:r>
      <w:r w:rsidRPr="00EA16B0">
        <w:rPr>
          <w:rFonts w:asciiTheme="majorHAnsi" w:hAnsiTheme="majorHAnsi" w:cstheme="majorHAnsi"/>
          <w:b/>
          <w:sz w:val="24"/>
          <w:szCs w:val="28"/>
        </w:rPr>
        <w:t>.</w:t>
      </w:r>
      <w:r w:rsidRPr="00EA16B0">
        <w:rPr>
          <w:rFonts w:asciiTheme="majorHAnsi" w:hAnsiTheme="majorHAnsi" w:cstheme="majorHAnsi"/>
          <w:b/>
          <w:sz w:val="24"/>
          <w:szCs w:val="28"/>
          <w:vertAlign w:val="superscript"/>
        </w:rPr>
        <w:t>o</w:t>
      </w:r>
      <w:r w:rsidRPr="00EA16B0" w:rsidDel="00727DCD">
        <w:rPr>
          <w:rFonts w:asciiTheme="majorHAnsi" w:hAnsiTheme="majorHAnsi" w:cstheme="majorHAnsi"/>
          <w:sz w:val="24"/>
          <w:szCs w:val="24"/>
        </w:rPr>
        <w:t xml:space="preserve"> </w:t>
      </w:r>
      <w:r w:rsidRPr="00EA16B0">
        <w:rPr>
          <w:rFonts w:asciiTheme="majorHAnsi" w:hAnsiTheme="majorHAnsi" w:cstheme="majorHAnsi"/>
          <w:sz w:val="24"/>
          <w:szCs w:val="24"/>
        </w:rPr>
        <w:t>semestre, já que alguns alunos podem evadir durante o período de férias. A última fórmula calcula a perda nos demais semestres até que comecem as formaturas dos alunos e, posteriormente, o curso entre em “regime”. No número de matriculados já constam os ingressantes por meio do processo de preenchimento de vagas remanescentes.</w:t>
      </w:r>
    </w:p>
    <w:p w14:paraId="4DCFF798" w14:textId="77777777" w:rsidR="00D3608B" w:rsidRPr="00EA16B0" w:rsidRDefault="00D3608B" w:rsidP="00DF4936">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Para os semestres seguintes, basta manter raciocínio semelhante e, é claro, um sistema de créditos é muito mais complexo que um sistema seriado, mas há sistemas acadêmicos que calculam esses valores, contribuindo para que a Instituição saiba a quantidade de vagas remanescentes que possui em cada período letivo, com base nos matriculados.</w:t>
      </w:r>
    </w:p>
    <w:p w14:paraId="3E5A6174" w14:textId="0EA68885" w:rsidR="00D3608B" w:rsidRPr="00EA16B0" w:rsidRDefault="00D3608B" w:rsidP="00DF4936">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Enfim, é importante notar que um acompanhamento preciso da movimentação dos estudantes permitirá que o curso, como um todo, consiga repor suas perdas não apenas com relação a ingressantes, mas também ao longo de todo o período de integralização, otimizando, assim, o investimento público realizado.</w:t>
      </w:r>
    </w:p>
    <w:p w14:paraId="25D00D04" w14:textId="77777777" w:rsidR="00DF4936" w:rsidRPr="00EA16B0" w:rsidRDefault="00DF4936" w:rsidP="00DF4936">
      <w:pPr>
        <w:spacing w:line="360" w:lineRule="auto"/>
        <w:ind w:firstLine="709"/>
        <w:jc w:val="both"/>
        <w:rPr>
          <w:rFonts w:asciiTheme="majorHAnsi" w:hAnsiTheme="majorHAnsi" w:cstheme="majorHAnsi"/>
          <w:sz w:val="24"/>
          <w:szCs w:val="24"/>
        </w:rPr>
      </w:pPr>
    </w:p>
    <w:p w14:paraId="2C5973D0" w14:textId="4FE2C71D" w:rsidR="00D3608B" w:rsidRPr="00EA16B0" w:rsidRDefault="00D3608B" w:rsidP="003A7871">
      <w:pPr>
        <w:pStyle w:val="Ttulo2"/>
        <w:numPr>
          <w:ilvl w:val="1"/>
          <w:numId w:val="1"/>
        </w:numPr>
        <w:tabs>
          <w:tab w:val="clear" w:pos="1615"/>
        </w:tabs>
        <w:spacing w:before="0" w:after="0" w:line="360" w:lineRule="auto"/>
        <w:ind w:left="993" w:hanging="576"/>
        <w:rPr>
          <w:rFonts w:asciiTheme="majorHAnsi" w:hAnsiTheme="majorHAnsi" w:cstheme="majorHAnsi"/>
        </w:rPr>
      </w:pPr>
      <w:bookmarkStart w:id="60" w:name="_Toc102319389"/>
      <w:r w:rsidRPr="00EA16B0">
        <w:rPr>
          <w:rFonts w:asciiTheme="majorHAnsi" w:hAnsiTheme="majorHAnsi" w:cstheme="majorHAnsi"/>
        </w:rPr>
        <w:t>POLÍTICAS E AÇÕES RELACIONADAS À PERMANÊNCIA E SUCESSO</w:t>
      </w:r>
      <w:bookmarkEnd w:id="60"/>
    </w:p>
    <w:p w14:paraId="7EBCAFC7" w14:textId="6FC0D6B3" w:rsidR="00D3608B" w:rsidRPr="00EA16B0" w:rsidRDefault="00751777" w:rsidP="003A7871">
      <w:pPr>
        <w:pStyle w:val="Ttulo3"/>
        <w:numPr>
          <w:ilvl w:val="2"/>
          <w:numId w:val="1"/>
        </w:numPr>
        <w:ind w:left="709" w:hanging="709"/>
        <w:rPr>
          <w:rFonts w:asciiTheme="majorHAnsi" w:hAnsiTheme="majorHAnsi" w:cstheme="majorHAnsi"/>
        </w:rPr>
      </w:pPr>
      <w:bookmarkStart w:id="61" w:name="_Toc102319390"/>
      <w:r w:rsidRPr="00EA16B0">
        <w:rPr>
          <w:rFonts w:asciiTheme="majorHAnsi" w:hAnsiTheme="majorHAnsi" w:cstheme="majorHAnsi"/>
        </w:rPr>
        <w:t>POLÍTICA: AÇÕES AFIRMATIVAS PARA A PERMANÊNCIA</w:t>
      </w:r>
      <w:bookmarkEnd w:id="61"/>
    </w:p>
    <w:p w14:paraId="27B04E7E"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Especialmente em uma IES que pretende ser inclusiva, haverá o ingresso de pessoas com uma vulnerabilidade social muito grande e exigirá uma série de ações institucionais para a </w:t>
      </w:r>
      <w:r w:rsidRPr="00EA16B0">
        <w:rPr>
          <w:rFonts w:asciiTheme="majorHAnsi" w:hAnsiTheme="majorHAnsi" w:cstheme="majorHAnsi"/>
          <w:sz w:val="24"/>
          <w:szCs w:val="24"/>
        </w:rPr>
        <w:lastRenderedPageBreak/>
        <w:t>permanência. Por isso, estão sendo elaborados estudos específicos sobre o assunto, e a seguir elencamos algumas sugestões.</w:t>
      </w:r>
    </w:p>
    <w:p w14:paraId="31C01283" w14:textId="73F9C009"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t>Ação 1: Políticas de auxílio Alimentação e Transporte</w:t>
      </w:r>
    </w:p>
    <w:p w14:paraId="30930428"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Poderão ser estabelecidos critérios que garantam que os estudantes que não conseguem arcar com os custos de sua própria alimentação e/ou transporte possam se beneficiar de programas institucionais que lhes traga essa garantia, viabilizando a realização do curso escolhido.</w:t>
      </w:r>
    </w:p>
    <w:p w14:paraId="131340D6" w14:textId="73434A16"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t>Ação 2: Auxílio moradia ou moradia estudantil</w:t>
      </w:r>
    </w:p>
    <w:p w14:paraId="64AAFE19"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Para estudantes com domicílios familiares distantes, poderão existir programas que visem ao auxílio financeiro para garantir a moradia e, com isso, viabilizar a realização do curso escolhido.</w:t>
      </w:r>
    </w:p>
    <w:p w14:paraId="0EE2F34E" w14:textId="1C1F2DF7"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t>Ação 3: Oferta de estágios não obrigatórios</w:t>
      </w:r>
    </w:p>
    <w:p w14:paraId="339CB23B"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O setor de apoio ao estudante pode realizar um banco de dados e convênios com diferentes organizações públicas e privadas visando a garantir a realização de estágios não obrigatórios (e, portanto, remunerados), de modo a garantir não apenas um diferencial positivo na formação, dado que o estágio deve guardar relação com a área do curso, mas também a obtenção de recursos que possam viabilizar a permanência do estudante na instituição.</w:t>
      </w:r>
    </w:p>
    <w:p w14:paraId="1D6E526F" w14:textId="79F158C5"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t>Ação 4: Sistema de “adoção” entre os estudantes</w:t>
      </w:r>
    </w:p>
    <w:p w14:paraId="2C5D2D5D"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pacing w:val="-4"/>
          <w:sz w:val="24"/>
          <w:szCs w:val="24"/>
        </w:rPr>
        <w:t>A “adoção” de calouros por veteranos, visando não apenas a sua orientação para uma integração mais rápida</w:t>
      </w:r>
      <w:r w:rsidRPr="00EA16B0">
        <w:rPr>
          <w:rFonts w:asciiTheme="majorHAnsi" w:hAnsiTheme="majorHAnsi" w:cstheme="majorHAnsi"/>
          <w:sz w:val="24"/>
          <w:szCs w:val="24"/>
        </w:rPr>
        <w:t>, mas também para permitir que a integração se dê de maneira mais eficiente, traz efeitos positivos onde é implantada. Assuntos acadêmicos e pessoais podem ser tratados entre o veterano que adota, por sua livre escolha, um calouro, de modo a permitir uma maior eficiência na relação, o que nem sempre ocorre quando isso é feito a partir de programas de tutoria, com professores fazendo essa adoção. Obviamente, essa segunda forma de ação também pode ser utilizada, de modo a garantir um segundo ponto de apoio, que pode contribuir inclusive com as ações do veterano em situações que exijam uma atuação mais institucional.</w:t>
      </w:r>
    </w:p>
    <w:p w14:paraId="0DA215BD" w14:textId="3AA7C5DC"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t>Ação 5: Eventos culturais e esportivos</w:t>
      </w:r>
    </w:p>
    <w:p w14:paraId="1E28BC0B"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Promoção e incentivo à implantação de um calendário de eventos culturais nos </w:t>
      </w:r>
      <w:proofErr w:type="gramStart"/>
      <w:r w:rsidRPr="00EA16B0">
        <w:rPr>
          <w:rFonts w:asciiTheme="majorHAnsi" w:hAnsiTheme="majorHAnsi" w:cstheme="majorHAnsi"/>
          <w:sz w:val="24"/>
          <w:szCs w:val="24"/>
        </w:rPr>
        <w:t xml:space="preserve">diferentes </w:t>
      </w:r>
      <w:r w:rsidRPr="00EA16B0">
        <w:rPr>
          <w:rFonts w:asciiTheme="majorHAnsi" w:hAnsiTheme="majorHAnsi" w:cstheme="majorHAnsi"/>
          <w:i/>
          <w:iCs/>
          <w:sz w:val="24"/>
          <w:szCs w:val="24"/>
        </w:rPr>
        <w:t>campus</w:t>
      </w:r>
      <w:proofErr w:type="gramEnd"/>
      <w:r w:rsidRPr="00EA16B0">
        <w:rPr>
          <w:rFonts w:asciiTheme="majorHAnsi" w:hAnsiTheme="majorHAnsi" w:cstheme="majorHAnsi"/>
          <w:sz w:val="24"/>
          <w:szCs w:val="24"/>
        </w:rPr>
        <w:t xml:space="preserve"> da Instituição de modo a permitir a convivência entre os estudantes dos diferentes cursos </w:t>
      </w:r>
      <w:r w:rsidRPr="00EA16B0">
        <w:rPr>
          <w:rFonts w:asciiTheme="majorHAnsi" w:hAnsiTheme="majorHAnsi" w:cstheme="majorHAnsi"/>
          <w:sz w:val="24"/>
          <w:szCs w:val="24"/>
        </w:rPr>
        <w:lastRenderedPageBreak/>
        <w:t>e áreas, com eventos diversificados e que envolvam a participação deles, como saraus, gincanas, desafios, torneios etc.</w:t>
      </w:r>
    </w:p>
    <w:p w14:paraId="1BC2B74F" w14:textId="26A48ACA" w:rsidR="00D3608B" w:rsidRPr="00EA16B0" w:rsidRDefault="00751777" w:rsidP="003A7871">
      <w:pPr>
        <w:pStyle w:val="Ttulo3"/>
        <w:numPr>
          <w:ilvl w:val="2"/>
          <w:numId w:val="1"/>
        </w:numPr>
        <w:ind w:left="709" w:hanging="709"/>
        <w:rPr>
          <w:rFonts w:asciiTheme="majorHAnsi" w:hAnsiTheme="majorHAnsi" w:cstheme="majorHAnsi"/>
        </w:rPr>
      </w:pPr>
      <w:bookmarkStart w:id="62" w:name="_Toc102319391"/>
      <w:r w:rsidRPr="00EA16B0">
        <w:rPr>
          <w:rFonts w:asciiTheme="majorHAnsi" w:hAnsiTheme="majorHAnsi" w:cstheme="majorHAnsi"/>
        </w:rPr>
        <w:t>POLÍTICA: AÇÕES ACADÊMICAS NO INGRESSO</w:t>
      </w:r>
      <w:bookmarkEnd w:id="62"/>
    </w:p>
    <w:p w14:paraId="17FF05DA" w14:textId="3B02ECBE"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t>Ação 1: Atividades de nivelamento e preenchimento de lacunas formativas</w:t>
      </w:r>
    </w:p>
    <w:p w14:paraId="2D903FDB"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Seja a partir de ações comuns a todos os estudantes em proposta de início dos estudos universitários também com essa finalidade, seja a partir de ações extracurriculares, mas sempre a partir do diagnóstico dos exames de ingresso ou de avaliação da própria </w:t>
      </w:r>
      <w:proofErr w:type="spellStart"/>
      <w:r w:rsidRPr="00EA16B0">
        <w:rPr>
          <w:rFonts w:asciiTheme="majorHAnsi" w:hAnsiTheme="majorHAnsi" w:cstheme="majorHAnsi"/>
          <w:sz w:val="24"/>
          <w:szCs w:val="24"/>
        </w:rPr>
        <w:t>UnDF</w:t>
      </w:r>
      <w:proofErr w:type="spellEnd"/>
      <w:r w:rsidRPr="00EA16B0">
        <w:rPr>
          <w:rFonts w:asciiTheme="majorHAnsi" w:hAnsiTheme="majorHAnsi" w:cstheme="majorHAnsi"/>
          <w:sz w:val="24"/>
          <w:szCs w:val="24"/>
        </w:rPr>
        <w:t>, deverão ser trabalhadas as lacunas formativas especialmente na comunicação em Língua Portuguesa e em Matemática.</w:t>
      </w:r>
    </w:p>
    <w:p w14:paraId="11EE8F3A" w14:textId="4A2BA6A0"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t>Ação 2: Orientações sobre a organização pedagógica</w:t>
      </w:r>
    </w:p>
    <w:p w14:paraId="07F94F4F"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O início do semestre deve contemplar um treinamento para os estudantes visando a sua apropriação total do Ambiente Virtual de Aprendizagem (AVA) e da estrutura e organização pedagógica do curso, com vistas ao seu desenvolvimento consciente e organizado. São também esperadas ações para a organização dos grupos para o desenvolvimento dos projetos e outras que integrem o ingressante às atividades universitárias.</w:t>
      </w:r>
    </w:p>
    <w:p w14:paraId="026435C3" w14:textId="27B93688"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t>Ação 3: Capacitação básica sobre metodologias ativas</w:t>
      </w:r>
    </w:p>
    <w:p w14:paraId="596F25D2"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Para que os estudantes possam aproveitar ao máximo as metodologias utilizadas no desenvolvimento dos conteúdos e das atividades curriculares, uma apropriação do ferramental e dos principais conceitos e objetivos dessas metodologias poderá ser trabalhado para facilitar a realização das atividades acadêmicas.</w:t>
      </w:r>
    </w:p>
    <w:p w14:paraId="180ADB09" w14:textId="649DE53E"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t>Ação 4: Encontro com veteranos</w:t>
      </w:r>
    </w:p>
    <w:p w14:paraId="7381A868" w14:textId="77777777" w:rsidR="00D3608B" w:rsidRPr="00EA16B0" w:rsidRDefault="00D3608B" w:rsidP="009C4E6E">
      <w:pPr>
        <w:spacing w:after="240"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Reunião entre veteranos e calouros visando ao esclarecimento de expectativas e à troca de informações a respeito do desenvolvimento curricular e da formação recebida.</w:t>
      </w:r>
    </w:p>
    <w:p w14:paraId="50268A34" w14:textId="73DD5B14" w:rsidR="00D3608B" w:rsidRPr="00EA16B0" w:rsidRDefault="00D3608B" w:rsidP="00D3608B">
      <w:pPr>
        <w:spacing w:after="240"/>
        <w:jc w:val="both"/>
        <w:rPr>
          <w:rFonts w:asciiTheme="majorHAnsi" w:hAnsiTheme="majorHAnsi" w:cstheme="majorHAnsi"/>
        </w:rPr>
      </w:pPr>
    </w:p>
    <w:p w14:paraId="0DFBFF1D" w14:textId="1776A952" w:rsidR="009C4E6E" w:rsidRPr="00EA16B0" w:rsidRDefault="009C4E6E" w:rsidP="00D3608B">
      <w:pPr>
        <w:spacing w:after="240"/>
        <w:jc w:val="both"/>
        <w:rPr>
          <w:rFonts w:asciiTheme="majorHAnsi" w:hAnsiTheme="majorHAnsi" w:cstheme="majorHAnsi"/>
        </w:rPr>
      </w:pPr>
    </w:p>
    <w:p w14:paraId="3E4A6197" w14:textId="77777777" w:rsidR="009C4E6E" w:rsidRPr="00EA16B0" w:rsidRDefault="009C4E6E" w:rsidP="00D3608B">
      <w:pPr>
        <w:spacing w:after="240"/>
        <w:jc w:val="both"/>
        <w:rPr>
          <w:rFonts w:asciiTheme="majorHAnsi" w:hAnsiTheme="majorHAnsi" w:cstheme="majorHAnsi"/>
        </w:rPr>
      </w:pPr>
    </w:p>
    <w:p w14:paraId="7190C06F" w14:textId="2128ED4D" w:rsidR="00D3608B" w:rsidRPr="00EA16B0" w:rsidRDefault="00751777" w:rsidP="003A7871">
      <w:pPr>
        <w:pStyle w:val="Ttulo3"/>
        <w:numPr>
          <w:ilvl w:val="2"/>
          <w:numId w:val="1"/>
        </w:numPr>
        <w:ind w:left="709" w:hanging="709"/>
        <w:rPr>
          <w:rFonts w:asciiTheme="majorHAnsi" w:hAnsiTheme="majorHAnsi" w:cstheme="majorHAnsi"/>
        </w:rPr>
      </w:pPr>
      <w:bookmarkStart w:id="63" w:name="_Toc102319392"/>
      <w:r w:rsidRPr="00EA16B0">
        <w:rPr>
          <w:rFonts w:asciiTheme="majorHAnsi" w:hAnsiTheme="majorHAnsi" w:cstheme="majorHAnsi"/>
        </w:rPr>
        <w:lastRenderedPageBreak/>
        <w:t>POLÍTICA: AÇÕES ACADÊMICAS PARA MELHORIA DA QUALIDADE</w:t>
      </w:r>
      <w:bookmarkEnd w:id="63"/>
    </w:p>
    <w:p w14:paraId="59335078" w14:textId="06E7F1B0"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t>Ação 1: Liberdade de escolha dos projetos</w:t>
      </w:r>
    </w:p>
    <w:p w14:paraId="20A2E609"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Permitir que os grupos de estudantes realizem a escolha dos temas de seus projetos, cuja aderência deva ser garantida com relação ao tema escolhido para aquele período, pode trazer um envolvimento muito maior, com maior responsabilização por parte do próprio interessado no desenvolvimento do projeto proposto.</w:t>
      </w:r>
    </w:p>
    <w:p w14:paraId="245FA3F7" w14:textId="496D4392"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t>Ação 2: Programa institucional de Iniciação Científica, Tecnológica e Extensionista</w:t>
      </w:r>
    </w:p>
    <w:p w14:paraId="0421F328" w14:textId="77777777" w:rsidR="00D3608B" w:rsidRPr="00EA16B0" w:rsidRDefault="00D3608B" w:rsidP="009C4E6E">
      <w:pPr>
        <w:spacing w:line="360" w:lineRule="auto"/>
        <w:ind w:firstLine="709"/>
        <w:jc w:val="both"/>
        <w:rPr>
          <w:rFonts w:asciiTheme="majorHAnsi" w:hAnsiTheme="majorHAnsi" w:cstheme="majorHAnsi"/>
          <w:sz w:val="24"/>
          <w:szCs w:val="24"/>
          <w:u w:val="single"/>
        </w:rPr>
      </w:pPr>
      <w:r w:rsidRPr="00EA16B0">
        <w:rPr>
          <w:rFonts w:asciiTheme="majorHAnsi" w:hAnsiTheme="majorHAnsi" w:cstheme="majorHAnsi"/>
          <w:sz w:val="24"/>
          <w:szCs w:val="24"/>
        </w:rPr>
        <w:t xml:space="preserve">O incentivo para a deposição de projetos que contemplem a realização de trabalho de iniciação científica, a partir da obtenção de bolsas do Programa Institucional de Bolsas de Iniciação Científica (PIBIC) do Conselho Nacional de Desenvolvimento Científico e tecnológico (CNPq), mas também da própria Instituição, e de projetos de apoio à iniciação tecnológica para bolsas do Programa Institucional de Bolsas </w:t>
      </w:r>
      <w:r w:rsidRPr="00EA16B0">
        <w:rPr>
          <w:rFonts w:asciiTheme="majorHAnsi" w:hAnsiTheme="majorHAnsi" w:cstheme="majorHAnsi"/>
          <w:color w:val="202124"/>
          <w:sz w:val="24"/>
          <w:szCs w:val="24"/>
          <w:shd w:val="clear" w:color="auto" w:fill="FFFFFF"/>
        </w:rPr>
        <w:t>de Iniciação em Desenvolvimento Tecnológico e Inovação (</w:t>
      </w:r>
      <w:r w:rsidRPr="00EA16B0">
        <w:rPr>
          <w:rFonts w:asciiTheme="majorHAnsi" w:hAnsiTheme="majorHAnsi" w:cstheme="majorHAnsi"/>
          <w:sz w:val="24"/>
          <w:szCs w:val="24"/>
        </w:rPr>
        <w:t>PIBITI), mas também da Instituição e de projetos voltados para a extensão de serviços e resolução de problemas da sociedade local/regional, criando um ambiente de produção diversificada de conhecimento novo, reforçando a indissociabilidade das ações de ensino, pesquisa e extensão, ao mesmo tempo em que permite maior aderência do aluno ou do grupo de alunos com a diversidade de propostas de desenvolvimento de projetos.</w:t>
      </w:r>
    </w:p>
    <w:p w14:paraId="2579F064" w14:textId="278D6646"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t>Ação 3: Semana de Tecnologia</w:t>
      </w:r>
    </w:p>
    <w:p w14:paraId="52080245"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Organizada pelos estudantes e docentes, tem sido uma ação comum às instituições e, quando bem-organizada, de grande valia para manter a motivação e para abrir horizontes, a partir da participação de profissionais da área e, num futuro próximo, de ex-alunos que possam abordar ações exitosas realizadas no campo do ensino, da pesquisa e da extensão na área da formação.</w:t>
      </w:r>
    </w:p>
    <w:p w14:paraId="184BF805" w14:textId="1879DEDD" w:rsidR="00D3608B" w:rsidRPr="00EA16B0" w:rsidRDefault="00D3608B" w:rsidP="009C4E6E">
      <w:pPr>
        <w:pStyle w:val="Textodecomentrio"/>
        <w:spacing w:line="360" w:lineRule="auto"/>
        <w:ind w:firstLine="709"/>
        <w:rPr>
          <w:rFonts w:asciiTheme="majorHAnsi" w:hAnsiTheme="majorHAnsi" w:cstheme="majorHAnsi"/>
          <w:sz w:val="24"/>
          <w:szCs w:val="24"/>
        </w:rPr>
      </w:pPr>
      <w:r w:rsidRPr="00EA16B0">
        <w:rPr>
          <w:rFonts w:asciiTheme="majorHAnsi" w:hAnsiTheme="majorHAnsi" w:cstheme="majorHAnsi"/>
          <w:sz w:val="24"/>
          <w:szCs w:val="24"/>
        </w:rPr>
        <w:t>Política de acessibilidade física, pedagógica e atitudinal: promoção de ações de inclusão, recursos de tecnologias assistivas, materiais pedagógicos acessíveis e diferentes linguagens para pessoas com deficiência.</w:t>
      </w:r>
    </w:p>
    <w:p w14:paraId="16677EE2" w14:textId="1B7B593A" w:rsidR="009C4E6E" w:rsidRPr="00EA16B0" w:rsidRDefault="009C4E6E" w:rsidP="009C4E6E">
      <w:pPr>
        <w:pStyle w:val="Textodecomentrio"/>
        <w:spacing w:line="360" w:lineRule="auto"/>
        <w:ind w:firstLine="709"/>
        <w:rPr>
          <w:rFonts w:asciiTheme="majorHAnsi" w:hAnsiTheme="majorHAnsi" w:cstheme="majorHAnsi"/>
          <w:sz w:val="24"/>
          <w:szCs w:val="24"/>
        </w:rPr>
      </w:pPr>
    </w:p>
    <w:p w14:paraId="661AD797" w14:textId="77777777" w:rsidR="009C4E6E" w:rsidRPr="00EA16B0" w:rsidRDefault="009C4E6E" w:rsidP="009C4E6E">
      <w:pPr>
        <w:pStyle w:val="Textodecomentrio"/>
        <w:spacing w:line="360" w:lineRule="auto"/>
        <w:ind w:firstLine="709"/>
        <w:rPr>
          <w:rFonts w:asciiTheme="majorHAnsi" w:hAnsiTheme="majorHAnsi" w:cstheme="majorHAnsi"/>
          <w:sz w:val="24"/>
          <w:szCs w:val="24"/>
        </w:rPr>
      </w:pPr>
    </w:p>
    <w:p w14:paraId="3576A152" w14:textId="6140D27A" w:rsidR="00D3608B" w:rsidRPr="00EA16B0" w:rsidRDefault="00751777" w:rsidP="003A7871">
      <w:pPr>
        <w:pStyle w:val="Ttulo3"/>
        <w:numPr>
          <w:ilvl w:val="2"/>
          <w:numId w:val="1"/>
        </w:numPr>
        <w:ind w:left="709" w:hanging="709"/>
        <w:rPr>
          <w:rFonts w:asciiTheme="majorHAnsi" w:hAnsiTheme="majorHAnsi" w:cstheme="majorHAnsi"/>
        </w:rPr>
      </w:pPr>
      <w:bookmarkStart w:id="64" w:name="_Toc102319393"/>
      <w:r w:rsidRPr="00EA16B0">
        <w:rPr>
          <w:rFonts w:asciiTheme="majorHAnsi" w:hAnsiTheme="majorHAnsi" w:cstheme="majorHAnsi"/>
        </w:rPr>
        <w:lastRenderedPageBreak/>
        <w:t>POLÍTICA: ACESSIBILIDADE FÍSICA, PEDAGÓGICA E ATITUDINAL</w:t>
      </w:r>
      <w:bookmarkEnd w:id="64"/>
    </w:p>
    <w:p w14:paraId="2317A7E6"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Conjunto de ações visando à efetiva acessibilidade, não apenas ligada à infraestrutura física, mas também a recursos de tecnologias assistivas e a materiais pedagógicos acessíveis em diferentes linguagens para pessoas com deficiência.</w:t>
      </w:r>
    </w:p>
    <w:p w14:paraId="5D90E59D" w14:textId="18691885"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t>Ação 1: Nenhum espaço sem acessibilidade</w:t>
      </w:r>
    </w:p>
    <w:p w14:paraId="1AC5A7AE" w14:textId="77777777" w:rsidR="00D3608B" w:rsidRPr="00EA16B0" w:rsidRDefault="00D3608B" w:rsidP="009C4E6E">
      <w:pPr>
        <w:spacing w:line="360" w:lineRule="auto"/>
        <w:ind w:firstLine="709"/>
        <w:rPr>
          <w:rFonts w:asciiTheme="majorHAnsi" w:hAnsiTheme="majorHAnsi" w:cstheme="majorHAnsi"/>
          <w:sz w:val="24"/>
          <w:szCs w:val="24"/>
        </w:rPr>
      </w:pPr>
      <w:r w:rsidRPr="00EA16B0">
        <w:rPr>
          <w:rFonts w:asciiTheme="majorHAnsi" w:hAnsiTheme="majorHAnsi" w:cstheme="majorHAnsi"/>
          <w:sz w:val="24"/>
          <w:szCs w:val="24"/>
        </w:rPr>
        <w:t>Garantia de que todos os espaços da Universidade sejam acessíveis a pessoas com deficiência física ou com necessidades especiais de locomoção.</w:t>
      </w:r>
    </w:p>
    <w:p w14:paraId="2BBE8A6A" w14:textId="09CF37AE"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t>Ação 2: Tecnologias assistivas</w:t>
      </w:r>
    </w:p>
    <w:p w14:paraId="47D0D3EF" w14:textId="77777777" w:rsidR="00D3608B" w:rsidRPr="00EA16B0" w:rsidRDefault="00D3608B" w:rsidP="009C4E6E">
      <w:pPr>
        <w:spacing w:line="360" w:lineRule="auto"/>
        <w:ind w:firstLine="709"/>
        <w:rPr>
          <w:rFonts w:asciiTheme="majorHAnsi" w:hAnsiTheme="majorHAnsi" w:cstheme="majorHAnsi"/>
          <w:sz w:val="24"/>
          <w:szCs w:val="24"/>
        </w:rPr>
      </w:pPr>
      <w:r w:rsidRPr="00EA16B0">
        <w:rPr>
          <w:rFonts w:asciiTheme="majorHAnsi" w:hAnsiTheme="majorHAnsi" w:cstheme="majorHAnsi"/>
          <w:sz w:val="24"/>
          <w:szCs w:val="24"/>
        </w:rPr>
        <w:t>Compra de materiais específicos para atendimento de pessoas com deficiência física, com dificuldades, por exemplo, para digitação ou com deficiência auditiva e visual, para garantir acesso total às tecnologias digitais que serão utilizadas.</w:t>
      </w:r>
    </w:p>
    <w:p w14:paraId="315F3FFB" w14:textId="5EBB0067"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t>Ação 3: Inclusão pedagógica</w:t>
      </w:r>
    </w:p>
    <w:p w14:paraId="2E2656F4" w14:textId="77777777" w:rsidR="00D3608B" w:rsidRPr="00EA16B0" w:rsidRDefault="00D3608B" w:rsidP="009C4E6E">
      <w:pPr>
        <w:spacing w:line="360" w:lineRule="auto"/>
        <w:ind w:firstLine="709"/>
        <w:rPr>
          <w:rFonts w:asciiTheme="majorHAnsi" w:hAnsiTheme="majorHAnsi" w:cstheme="majorHAnsi"/>
          <w:sz w:val="24"/>
          <w:szCs w:val="24"/>
        </w:rPr>
      </w:pPr>
      <w:r w:rsidRPr="00EA16B0">
        <w:rPr>
          <w:rFonts w:asciiTheme="majorHAnsi" w:hAnsiTheme="majorHAnsi" w:cstheme="majorHAnsi"/>
          <w:sz w:val="24"/>
          <w:szCs w:val="24"/>
        </w:rPr>
        <w:t>Garantia de ações para nivelamento e processos de recuperação que visem a garantir o pleno acompanhamento pedagógico aos conteúdos abordados pelo total de alunos.</w:t>
      </w:r>
    </w:p>
    <w:p w14:paraId="0FE28F28" w14:textId="3D955C1A"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t>Ação 4: Acessibilidade atitudinal</w:t>
      </w:r>
    </w:p>
    <w:p w14:paraId="019AB412" w14:textId="77777777" w:rsidR="00D3608B" w:rsidRPr="00EA16B0" w:rsidRDefault="00D3608B" w:rsidP="009C4E6E">
      <w:pPr>
        <w:spacing w:line="360" w:lineRule="auto"/>
        <w:ind w:firstLine="709"/>
        <w:rPr>
          <w:rFonts w:asciiTheme="majorHAnsi" w:hAnsiTheme="majorHAnsi" w:cstheme="majorHAnsi"/>
          <w:sz w:val="24"/>
          <w:szCs w:val="24"/>
        </w:rPr>
      </w:pPr>
      <w:r w:rsidRPr="00EA16B0">
        <w:rPr>
          <w:rFonts w:asciiTheme="majorHAnsi" w:hAnsiTheme="majorHAnsi" w:cstheme="majorHAnsi"/>
          <w:sz w:val="24"/>
          <w:szCs w:val="24"/>
        </w:rPr>
        <w:t>Promover campanhas visando a um correto tratamento das relações interpessoais baseadas no respeito às diferenças e à diversidade.</w:t>
      </w:r>
    </w:p>
    <w:p w14:paraId="26FAD568" w14:textId="049106A4" w:rsidR="00D3608B" w:rsidRPr="00EA16B0" w:rsidRDefault="00751777" w:rsidP="003A7871">
      <w:pPr>
        <w:pStyle w:val="Ttulo3"/>
        <w:numPr>
          <w:ilvl w:val="2"/>
          <w:numId w:val="1"/>
        </w:numPr>
        <w:ind w:left="709" w:hanging="709"/>
        <w:rPr>
          <w:rFonts w:asciiTheme="majorHAnsi" w:hAnsiTheme="majorHAnsi" w:cstheme="majorHAnsi"/>
        </w:rPr>
      </w:pPr>
      <w:bookmarkStart w:id="65" w:name="_Toc102319394"/>
      <w:r w:rsidRPr="00EA16B0">
        <w:rPr>
          <w:rFonts w:asciiTheme="majorHAnsi" w:hAnsiTheme="majorHAnsi" w:cstheme="majorHAnsi"/>
        </w:rPr>
        <w:t>POLÍTICA: OFERTAS INTERNA E EXTERNA DE VAGAS REMANESCENTES</w:t>
      </w:r>
      <w:bookmarkEnd w:id="65"/>
    </w:p>
    <w:p w14:paraId="7FD9B977"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No cenário apresentado, é importante detectar e permitir o preenchimento de vagas remanescentes. Conforme citado no texto, o primeiro movimento pode ser o de preenchimento interno dessas vagas, a partir da mudança de turno ou de curso pelos alunos matriculados na própria Instituição. </w:t>
      </w:r>
    </w:p>
    <w:p w14:paraId="5EAD08E5"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Em um segundo momento, as ações devem se voltar para a abertura das vagas remanescentes para matriculados em outros cursos superiores da região ou do país.</w:t>
      </w:r>
    </w:p>
    <w:p w14:paraId="2F3B28C3" w14:textId="5C44E14C"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lastRenderedPageBreak/>
        <w:t>Ação 1: Desligamento por reprovação total nas atividades curriculares do 1.</w:t>
      </w:r>
      <w:r w:rsidRPr="00EA16B0">
        <w:rPr>
          <w:rFonts w:asciiTheme="majorHAnsi" w:hAnsiTheme="majorHAnsi" w:cstheme="majorHAnsi"/>
          <w:vertAlign w:val="superscript"/>
        </w:rPr>
        <w:t>o</w:t>
      </w:r>
      <w:r w:rsidRPr="00EA16B0">
        <w:rPr>
          <w:rFonts w:asciiTheme="majorHAnsi" w:hAnsiTheme="majorHAnsi" w:cstheme="majorHAnsi"/>
        </w:rPr>
        <w:t xml:space="preserve"> período letivo</w:t>
      </w:r>
    </w:p>
    <w:p w14:paraId="0B978614"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Em muitos casos, a ocupação da vaga se deve a outro fator que não aquele da formação em curso de graduação. Nesse caso, há instituições que jubilam o ingressante que não tiver sucesso em nenhuma atividade curricular do primeiro semestre do curso. Caso a ação seja julgada dura demais, poderia ser reduzida para reprovações em todas as atividades, com pelo menos metade delas também ser decorrente da falta de frequência mínima às atividades programadas. Com isso, essas vagas efetivas, mas não formalmente existentes, poderiam ser localizadas.</w:t>
      </w:r>
    </w:p>
    <w:p w14:paraId="4EFF5A72" w14:textId="7FE6407E"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t>Ação 2: Sistema interno de transferência</w:t>
      </w:r>
    </w:p>
    <w:p w14:paraId="353DB58F"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Como uma das causas importantes do abandono é a transferência para outro curso e/ou período de atividade, a Instituição deve ter mecanismos internos de transferência que possibilitem uma realocação do estudante no curso em que tem maior interesse. Essa ação pode ocorrer entre diferentes áreas, desde o início da formação e entre cursos da mesma área após a conclusão do 1</w:t>
      </w:r>
      <w:r w:rsidRPr="00EA16B0">
        <w:rPr>
          <w:rFonts w:asciiTheme="majorHAnsi" w:hAnsiTheme="majorHAnsi" w:cstheme="majorHAnsi"/>
          <w:b/>
          <w:sz w:val="24"/>
          <w:szCs w:val="24"/>
        </w:rPr>
        <w:t>.</w:t>
      </w:r>
      <w:r w:rsidRPr="00EA16B0">
        <w:rPr>
          <w:rFonts w:asciiTheme="majorHAnsi" w:hAnsiTheme="majorHAnsi" w:cstheme="majorHAnsi"/>
          <w:b/>
          <w:sz w:val="24"/>
          <w:szCs w:val="24"/>
          <w:vertAlign w:val="superscript"/>
        </w:rPr>
        <w:t>o</w:t>
      </w:r>
      <w:r w:rsidRPr="00EA16B0" w:rsidDel="00EC68AC">
        <w:rPr>
          <w:rFonts w:asciiTheme="majorHAnsi" w:hAnsiTheme="majorHAnsi" w:cstheme="majorHAnsi"/>
          <w:sz w:val="24"/>
          <w:szCs w:val="24"/>
        </w:rPr>
        <w:t xml:space="preserve"> </w:t>
      </w:r>
      <w:r w:rsidRPr="00EA16B0">
        <w:rPr>
          <w:rFonts w:asciiTheme="majorHAnsi" w:hAnsiTheme="majorHAnsi" w:cstheme="majorHAnsi"/>
          <w:sz w:val="24"/>
          <w:szCs w:val="24"/>
        </w:rPr>
        <w:t>ciclo. Um aluno pode estar pensando em realizar Ciência da Computação e perceber, após essa opção, que seria mais realizado se fizesse a opção por Sistema de Internet, por exemplo.</w:t>
      </w:r>
    </w:p>
    <w:p w14:paraId="1B6B093E" w14:textId="7D3646CC"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t>Ação 3: Oferta de vagas remanescentes</w:t>
      </w:r>
    </w:p>
    <w:p w14:paraId="744E3E47"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Após o processo de transferência interna, as vagas remanescentes de cada curso seriam oferecidas para estudantes de outras Instituições que realizassem uma formação igual ou da mesma área, a fim de permitir transferências que levassem a um aproveitamento de estudos e o preenchimento das vagas abertas ao longo do período. Esse processo, contrariamente ao que ocorre em geral, deveria ser bastante divulgado e ter uma complexidade baixa no sentido do processo (e não de eventual cobrança de conhecimentos), a fim de permitir que as vagas fossem efetivamente ocupadas. Há hoje instituições em que o processo de vagas remanescentes passa por três etapas: na primeira, são exigidos os mesmos conhecimentos cobrados no </w:t>
      </w:r>
      <w:r w:rsidRPr="00EA16B0">
        <w:rPr>
          <w:rFonts w:asciiTheme="majorHAnsi" w:hAnsiTheme="majorHAnsi" w:cstheme="majorHAnsi"/>
          <w:spacing w:val="-4"/>
          <w:sz w:val="24"/>
          <w:szCs w:val="24"/>
        </w:rPr>
        <w:t>vestibular; na segunda, são feitos exames de várias disciplinas consideradas “chaves” para o acompanhamento</w:t>
      </w:r>
      <w:r w:rsidRPr="00EA16B0">
        <w:rPr>
          <w:rFonts w:asciiTheme="majorHAnsi" w:hAnsiTheme="majorHAnsi" w:cstheme="majorHAnsi"/>
          <w:sz w:val="24"/>
          <w:szCs w:val="24"/>
        </w:rPr>
        <w:t xml:space="preserve"> do curso, em provas que não obrigatoriamente um aluno que já realizou a disciplina logre sucesso. Finalmente, a terceira etapa consta de uma entrevista, em que a banca irá avaliar a pertinência de aceitar ou não o candidato. Não há necessidade de apresentar o percentual de ocupação que esse processo permite realizar.</w:t>
      </w:r>
    </w:p>
    <w:p w14:paraId="78B810D1" w14:textId="3BBB7EFF"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lastRenderedPageBreak/>
        <w:t>Ação 4: Oferta das vagas no processo seletivo para ingresso no ano seguinte</w:t>
      </w:r>
    </w:p>
    <w:p w14:paraId="486A18D6" w14:textId="5763D736"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Essa forma traz a vantagem de permitir que todas as vagas sejam preenchidas, já que são acrescidas às vagas do processo seletivo de ingresso. Entretanto, podem sobrecarregar as atividades curriculares do primeiro ano de curso e acabar gerando evasão, o que diminui — ou até elimina — a vantagem apontada. Talvez um percentual pequeno (5 a 10%) do total de vagas não seja significativo o bastante para dificultar o desenvolvimento inicial dos cursos e possa ser absorvido.</w:t>
      </w:r>
    </w:p>
    <w:p w14:paraId="2C4420C3" w14:textId="77777777" w:rsidR="009C4E6E" w:rsidRPr="00EA16B0" w:rsidRDefault="009C4E6E" w:rsidP="009C4E6E">
      <w:pPr>
        <w:spacing w:line="360" w:lineRule="auto"/>
        <w:ind w:firstLine="709"/>
        <w:jc w:val="both"/>
        <w:rPr>
          <w:rFonts w:asciiTheme="majorHAnsi" w:hAnsiTheme="majorHAnsi" w:cstheme="majorHAnsi"/>
          <w:sz w:val="24"/>
          <w:szCs w:val="24"/>
        </w:rPr>
      </w:pPr>
    </w:p>
    <w:p w14:paraId="2947ADC6" w14:textId="19841377" w:rsidR="00D3608B" w:rsidRPr="00EA16B0" w:rsidRDefault="00D3608B" w:rsidP="003A7871">
      <w:pPr>
        <w:pStyle w:val="Ttulo2"/>
        <w:numPr>
          <w:ilvl w:val="1"/>
          <w:numId w:val="1"/>
        </w:numPr>
        <w:tabs>
          <w:tab w:val="clear" w:pos="1615"/>
        </w:tabs>
        <w:spacing w:before="0" w:after="0" w:line="360" w:lineRule="auto"/>
        <w:ind w:left="993" w:hanging="576"/>
        <w:rPr>
          <w:rFonts w:asciiTheme="majorHAnsi" w:hAnsiTheme="majorHAnsi" w:cstheme="majorHAnsi"/>
        </w:rPr>
      </w:pPr>
      <w:bookmarkStart w:id="66" w:name="_Toc102319395"/>
      <w:r w:rsidRPr="00EA16B0">
        <w:rPr>
          <w:rFonts w:asciiTheme="majorHAnsi" w:hAnsiTheme="majorHAnsi" w:cstheme="majorHAnsi"/>
        </w:rPr>
        <w:t>INTEGRALIZAÇÃO</w:t>
      </w:r>
      <w:bookmarkEnd w:id="66"/>
    </w:p>
    <w:p w14:paraId="3DE24B36"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O projeto pedagógico institucional deve privilegiar a estruturação dos cursos a partir da utilização da Aprendizagem Baseada em Projetos, metodologia ativa que deve permear toda a formação desenvolvida nos </w:t>
      </w:r>
      <w:r w:rsidRPr="00EA16B0">
        <w:rPr>
          <w:rFonts w:asciiTheme="majorHAnsi" w:hAnsiTheme="majorHAnsi" w:cstheme="majorHAnsi"/>
          <w:spacing w:val="-2"/>
          <w:sz w:val="24"/>
          <w:szCs w:val="24"/>
        </w:rPr>
        <w:t xml:space="preserve">cursos de graduação e que, de certa forma, já está presente na pós-graduação </w:t>
      </w:r>
      <w:r w:rsidRPr="00EA16B0">
        <w:rPr>
          <w:rFonts w:asciiTheme="majorHAnsi" w:hAnsiTheme="majorHAnsi" w:cstheme="majorHAnsi"/>
          <w:i/>
          <w:spacing w:val="-2"/>
          <w:sz w:val="24"/>
          <w:szCs w:val="24"/>
        </w:rPr>
        <w:t>stricto sensu</w:t>
      </w:r>
      <w:r w:rsidRPr="00EA16B0">
        <w:rPr>
          <w:rFonts w:asciiTheme="majorHAnsi" w:hAnsiTheme="majorHAnsi" w:cstheme="majorHAnsi"/>
          <w:spacing w:val="-2"/>
          <w:sz w:val="24"/>
          <w:szCs w:val="24"/>
        </w:rPr>
        <w:t xml:space="preserve"> na medida em que</w:t>
      </w:r>
      <w:r w:rsidRPr="00EA16B0">
        <w:rPr>
          <w:rFonts w:asciiTheme="majorHAnsi" w:hAnsiTheme="majorHAnsi" w:cstheme="majorHAnsi"/>
          <w:sz w:val="24"/>
          <w:szCs w:val="24"/>
        </w:rPr>
        <w:t xml:space="preserve"> os mestrados e doutorados levam ao desenvolvimento de uma dissertação e de uma tese, respectivamente. </w:t>
      </w:r>
      <w:r w:rsidRPr="00EA16B0">
        <w:rPr>
          <w:rFonts w:asciiTheme="majorHAnsi" w:hAnsiTheme="majorHAnsi" w:cstheme="majorHAnsi"/>
          <w:spacing w:val="-2"/>
          <w:sz w:val="24"/>
          <w:szCs w:val="24"/>
        </w:rPr>
        <w:t>Essa sistemática também deve ser estendida para as ações ligadas ao ensino dos demais cursos superiores que</w:t>
      </w:r>
      <w:r w:rsidRPr="00EA16B0">
        <w:rPr>
          <w:rFonts w:asciiTheme="majorHAnsi" w:hAnsiTheme="majorHAnsi" w:cstheme="majorHAnsi"/>
          <w:sz w:val="24"/>
          <w:szCs w:val="24"/>
        </w:rPr>
        <w:t xml:space="preserve"> serão ministrados (sequenciais e de extensão), bem como da pós-graduação </w:t>
      </w:r>
      <w:r w:rsidRPr="00EA16B0">
        <w:rPr>
          <w:rFonts w:asciiTheme="majorHAnsi" w:hAnsiTheme="majorHAnsi" w:cstheme="majorHAnsi"/>
          <w:i/>
          <w:iCs/>
          <w:sz w:val="24"/>
          <w:szCs w:val="24"/>
        </w:rPr>
        <w:t>lato sensu</w:t>
      </w:r>
      <w:r w:rsidRPr="00EA16B0">
        <w:rPr>
          <w:rFonts w:asciiTheme="majorHAnsi" w:hAnsiTheme="majorHAnsi" w:cstheme="majorHAnsi"/>
          <w:sz w:val="24"/>
          <w:szCs w:val="24"/>
        </w:rPr>
        <w:t xml:space="preserve">, seja nos cursos de </w:t>
      </w:r>
      <w:r w:rsidRPr="00EA16B0">
        <w:rPr>
          <w:rFonts w:asciiTheme="majorHAnsi" w:hAnsiTheme="majorHAnsi" w:cstheme="majorHAnsi"/>
          <w:spacing w:val="-2"/>
          <w:sz w:val="24"/>
          <w:szCs w:val="24"/>
        </w:rPr>
        <w:t>aperfeiçoamento, seja nas especializações, estas facilitadas pela necessidade da apresentação de um trabalho</w:t>
      </w:r>
      <w:r w:rsidRPr="00EA16B0">
        <w:rPr>
          <w:rFonts w:asciiTheme="majorHAnsi" w:hAnsiTheme="majorHAnsi" w:cstheme="majorHAnsi"/>
          <w:sz w:val="24"/>
          <w:szCs w:val="24"/>
        </w:rPr>
        <w:t xml:space="preserve"> </w:t>
      </w:r>
      <w:r w:rsidRPr="00EA16B0">
        <w:rPr>
          <w:rFonts w:asciiTheme="majorHAnsi" w:hAnsiTheme="majorHAnsi" w:cstheme="majorHAnsi"/>
          <w:spacing w:val="-2"/>
          <w:sz w:val="24"/>
          <w:szCs w:val="24"/>
        </w:rPr>
        <w:t>final ou monografia, que pode expressar o desenvolvimento de um projeto integrador à área de especialização.</w:t>
      </w:r>
    </w:p>
    <w:p w14:paraId="2D6C3EFE"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Os cursos de graduação têm, em sua maioria, uma duração determinada pelas DCN (diretamente ou via </w:t>
      </w:r>
      <w:r w:rsidRPr="00EA16B0">
        <w:rPr>
          <w:rFonts w:asciiTheme="majorHAnsi" w:hAnsiTheme="majorHAnsi" w:cstheme="majorHAnsi"/>
          <w:spacing w:val="-4"/>
          <w:sz w:val="24"/>
          <w:szCs w:val="24"/>
        </w:rPr>
        <w:t>Parecer CNE 2/2007 para bacharelados que não da área Biológica) e, no caso da área da Computação, conforme</w:t>
      </w:r>
      <w:r w:rsidRPr="00EA16B0">
        <w:rPr>
          <w:rFonts w:asciiTheme="majorHAnsi" w:hAnsiTheme="majorHAnsi" w:cstheme="majorHAnsi"/>
          <w:sz w:val="24"/>
          <w:szCs w:val="24"/>
        </w:rPr>
        <w:t xml:space="preserve"> já salientado, para Ciência da Computação a duração é de 3.200 horas e para Sistema de Internet é de 3.000 horas. Para </w:t>
      </w:r>
      <w:r w:rsidRPr="00EA16B0">
        <w:rPr>
          <w:rFonts w:asciiTheme="majorHAnsi" w:hAnsiTheme="majorHAnsi" w:cstheme="majorHAnsi"/>
          <w:spacing w:val="-4"/>
          <w:sz w:val="24"/>
          <w:szCs w:val="24"/>
        </w:rPr>
        <w:t>as Engenharias, também é de 3.200 horas se considerada a DCN da Computação e de 3.600 horas, se considerada</w:t>
      </w:r>
      <w:r w:rsidRPr="00EA16B0">
        <w:rPr>
          <w:rFonts w:asciiTheme="majorHAnsi" w:hAnsiTheme="majorHAnsi" w:cstheme="majorHAnsi"/>
          <w:sz w:val="24"/>
          <w:szCs w:val="24"/>
        </w:rPr>
        <w:t xml:space="preserve"> aquela das Engenharias. Por prudência, seria interessante garantir a carga horária de 3.600 horas para as Engenharias, já que se trata de carga mínima e, com isso, os cursos ofertados teriam uma exigência a menos a ser cumprida, obviamente lembrando que a carga horária é apenas uma das características do curso e os outros aspectos das DCN também deveriam ser cumpridos para permitir um eventual registro no CREA.</w:t>
      </w:r>
    </w:p>
    <w:p w14:paraId="2CB97117"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Discrepâncias à parte, um curso com 3.000 a 3200 horas, a ser considerada uma integralização de 400 horas/semestre, deve durar oito semestres. Com 3.600 poderia durar, em </w:t>
      </w:r>
      <w:r w:rsidRPr="00EA16B0">
        <w:rPr>
          <w:rFonts w:asciiTheme="majorHAnsi" w:hAnsiTheme="majorHAnsi" w:cstheme="majorHAnsi"/>
          <w:sz w:val="24"/>
          <w:szCs w:val="24"/>
        </w:rPr>
        <w:lastRenderedPageBreak/>
        <w:t>tese, nove semestres, mas o recomendado é que sejam usados dez semestres ou cinco anos (apesar do CEDF poder estabelecer esses prazos com maior precisão).</w:t>
      </w:r>
    </w:p>
    <w:p w14:paraId="61343886"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Desse modo, e em consonância com o que está disposto na proposta de estatutos, seria interessante permitir a existência de um bacharelado interdisciplinar em computação com seis semestres (três anos) e 2.400 horas, formando o 1.</w:t>
      </w:r>
      <w:r w:rsidRPr="00EA16B0">
        <w:rPr>
          <w:rFonts w:asciiTheme="majorHAnsi" w:hAnsiTheme="majorHAnsi" w:cstheme="majorHAnsi"/>
          <w:sz w:val="24"/>
          <w:szCs w:val="24"/>
          <w:vertAlign w:val="superscript"/>
        </w:rPr>
        <w:t>o</w:t>
      </w:r>
      <w:r w:rsidRPr="00EA16B0">
        <w:rPr>
          <w:rFonts w:asciiTheme="majorHAnsi" w:hAnsiTheme="majorHAnsi" w:cstheme="majorHAnsi"/>
          <w:sz w:val="24"/>
          <w:szCs w:val="24"/>
        </w:rPr>
        <w:t xml:space="preserve"> ciclo formativo; o 2.</w:t>
      </w:r>
      <w:r w:rsidRPr="00EA16B0">
        <w:rPr>
          <w:rFonts w:asciiTheme="majorHAnsi" w:hAnsiTheme="majorHAnsi" w:cstheme="majorHAnsi"/>
          <w:sz w:val="24"/>
          <w:szCs w:val="24"/>
          <w:vertAlign w:val="superscript"/>
        </w:rPr>
        <w:t>o</w:t>
      </w:r>
      <w:r w:rsidRPr="00EA16B0">
        <w:rPr>
          <w:rFonts w:asciiTheme="majorHAnsi" w:hAnsiTheme="majorHAnsi" w:cstheme="majorHAnsi"/>
          <w:sz w:val="24"/>
          <w:szCs w:val="24"/>
        </w:rPr>
        <w:t xml:space="preserve"> ciclo seria de mais um ano para Sistema de Internet e Ciência da Computação (quatro anos ou oito semestres, portanto) e de cinco anos ou dez semestres para as Engenharias caso se opte pelo cumprimento da carga horária das Engenharia como um todo.</w:t>
      </w:r>
    </w:p>
    <w:p w14:paraId="2B695D39"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O prazo máximo de integralização praticado tem a sugestão de ser de 1,5 vezes o prazo sugerido para a integralização. Explica-se esse prazo a partir de uma política de certificações intermediárias associada à razoabilidade de aproveitamento de uma vaga pública e, portanto, gratuita.</w:t>
      </w:r>
    </w:p>
    <w:p w14:paraId="042A26CE"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Além disso, há em todas as Instituições, a possibilidade de trancamento de matrícula, dado que podem ocorrer impedimentos totais ao longo da vida do matriculado. Esse prazo varia entre as Instituições, mas é </w:t>
      </w:r>
      <w:r w:rsidRPr="00EA16B0">
        <w:rPr>
          <w:rFonts w:asciiTheme="majorHAnsi" w:hAnsiTheme="majorHAnsi" w:cstheme="majorHAnsi"/>
          <w:spacing w:val="-4"/>
          <w:sz w:val="24"/>
          <w:szCs w:val="24"/>
        </w:rPr>
        <w:t>também razoável e aplicada em muitas IES públicas a possibilidade de dois trancamentos de matrícula consecutivos</w:t>
      </w:r>
      <w:r w:rsidRPr="00EA16B0">
        <w:rPr>
          <w:rFonts w:asciiTheme="majorHAnsi" w:hAnsiTheme="majorHAnsi" w:cstheme="majorHAnsi"/>
          <w:sz w:val="24"/>
          <w:szCs w:val="24"/>
        </w:rPr>
        <w:t xml:space="preserve"> ou não, que devem, portanto, se somar ao prazo máximo de integralização, já que é uma possibilidade.</w:t>
      </w:r>
    </w:p>
    <w:p w14:paraId="601F712B"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Assim, teríamos os prazos semestrais calculados na tabela 3.6 para as formações na </w:t>
      </w:r>
      <w:proofErr w:type="spellStart"/>
      <w:r w:rsidRPr="00EA16B0">
        <w:rPr>
          <w:rFonts w:asciiTheme="majorHAnsi" w:hAnsiTheme="majorHAnsi" w:cstheme="majorHAnsi"/>
          <w:sz w:val="24"/>
          <w:szCs w:val="24"/>
        </w:rPr>
        <w:t>UnDF</w:t>
      </w:r>
      <w:proofErr w:type="spellEnd"/>
      <w:r w:rsidRPr="00EA16B0">
        <w:rPr>
          <w:rFonts w:asciiTheme="majorHAnsi" w:hAnsiTheme="majorHAnsi" w:cstheme="majorHAnsi"/>
          <w:sz w:val="24"/>
          <w:szCs w:val="24"/>
        </w:rPr>
        <w:t>, lembrando que poderiam ser estabelecidos e acrescentadas durações intermediárias às constantes na tabela, usando-se a mesma lógica nela apresentada.</w:t>
      </w:r>
    </w:p>
    <w:p w14:paraId="3F0F6A09" w14:textId="77777777" w:rsidR="00D3608B" w:rsidRPr="00EA16B0" w:rsidRDefault="00D3608B" w:rsidP="00D3608B">
      <w:pPr>
        <w:jc w:val="both"/>
        <w:rPr>
          <w:rFonts w:asciiTheme="majorHAnsi" w:hAnsiTheme="majorHAnsi" w:cstheme="majorHAnsi"/>
        </w:rPr>
      </w:pPr>
    </w:p>
    <w:p w14:paraId="4D63AD04" w14:textId="77777777" w:rsidR="00D3608B" w:rsidRPr="00EA16B0" w:rsidRDefault="00D3608B" w:rsidP="00D3608B">
      <w:pPr>
        <w:jc w:val="both"/>
        <w:rPr>
          <w:rFonts w:asciiTheme="majorHAnsi" w:hAnsiTheme="majorHAnsi" w:cstheme="majorHAnsi"/>
          <w:sz w:val="20"/>
        </w:rPr>
      </w:pPr>
      <w:r w:rsidRPr="00EA16B0">
        <w:rPr>
          <w:rFonts w:asciiTheme="majorHAnsi" w:hAnsiTheme="majorHAnsi" w:cstheme="majorHAnsi"/>
          <w:sz w:val="20"/>
        </w:rPr>
        <w:t xml:space="preserve">Tabela 3.6: Sugestão dos prazos para cumprimento da carga horária dos cursos superiores da </w:t>
      </w:r>
      <w:proofErr w:type="spellStart"/>
      <w:r w:rsidRPr="00EA16B0">
        <w:rPr>
          <w:rFonts w:asciiTheme="majorHAnsi" w:hAnsiTheme="majorHAnsi" w:cstheme="majorHAnsi"/>
          <w:sz w:val="20"/>
        </w:rPr>
        <w:t>UnDF</w:t>
      </w:r>
      <w:proofErr w:type="spellEnd"/>
      <w:r w:rsidRPr="00EA16B0">
        <w:rPr>
          <w:rFonts w:asciiTheme="majorHAnsi" w:hAnsiTheme="majorHAnsi" w:cstheme="majorHAnsi"/>
          <w:sz w:val="20"/>
        </w:rPr>
        <w:t>. Para detalhes, consultar o texto.</w:t>
      </w:r>
    </w:p>
    <w:p w14:paraId="03F152D1" w14:textId="77777777" w:rsidR="00D3608B" w:rsidRPr="00EA16B0" w:rsidRDefault="00D3608B" w:rsidP="00D3608B">
      <w:pPr>
        <w:spacing w:after="0"/>
        <w:jc w:val="center"/>
        <w:rPr>
          <w:rFonts w:asciiTheme="majorHAnsi" w:hAnsiTheme="majorHAnsi" w:cstheme="majorHAnsi"/>
        </w:rPr>
      </w:pPr>
      <w:r w:rsidRPr="00EA16B0">
        <w:rPr>
          <w:rFonts w:asciiTheme="majorHAnsi" w:hAnsiTheme="majorHAnsi" w:cstheme="majorHAnsi"/>
          <w:noProof/>
          <w:lang w:eastAsia="pt-BR"/>
        </w:rPr>
        <w:drawing>
          <wp:inline distT="0" distB="0" distL="0" distR="0" wp14:anchorId="459807E1" wp14:editId="74730E6A">
            <wp:extent cx="4641215" cy="1572260"/>
            <wp:effectExtent l="0" t="0" r="6985" b="889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1215" cy="1572260"/>
                    </a:xfrm>
                    <a:prstGeom prst="rect">
                      <a:avLst/>
                    </a:prstGeom>
                    <a:noFill/>
                    <a:ln>
                      <a:noFill/>
                    </a:ln>
                  </pic:spPr>
                </pic:pic>
              </a:graphicData>
            </a:graphic>
          </wp:inline>
        </w:drawing>
      </w:r>
    </w:p>
    <w:p w14:paraId="5C02BFAA" w14:textId="77777777" w:rsidR="00D3608B" w:rsidRPr="00EA16B0" w:rsidRDefault="00D3608B" w:rsidP="009C4E6E">
      <w:pPr>
        <w:ind w:right="991"/>
        <w:rPr>
          <w:rFonts w:asciiTheme="majorHAnsi" w:hAnsiTheme="majorHAnsi" w:cstheme="majorHAnsi"/>
          <w:sz w:val="16"/>
        </w:rPr>
      </w:pPr>
      <w:r w:rsidRPr="00EA16B0">
        <w:rPr>
          <w:rFonts w:asciiTheme="majorHAnsi" w:hAnsiTheme="majorHAnsi" w:cstheme="majorHAnsi"/>
          <w:sz w:val="16"/>
        </w:rPr>
        <w:t>1.Quantidade de semestres baseada em cursos de meio período, diurnos ou noturnos; 2. PPC: Projeto Pedagógico do Curso; 3. “regime” é aqui utilizado para expressar o primeiro semestre a partir do qual não há mais nenhum ingressante daquela turma/período com possibilidade de estar matriculado regularmente na Instituição. Fonte: Elaborado pelo autor.</w:t>
      </w:r>
    </w:p>
    <w:p w14:paraId="707FCF3F"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lastRenderedPageBreak/>
        <w:t>Nota-se que são durações hipotéticas e as duas primeiras referem-se a eventuais certificações em cursos sequenciais. Na terceira linha, tem-se as horas que corresponderiam a um 1.</w:t>
      </w:r>
      <w:r w:rsidRPr="00EA16B0">
        <w:rPr>
          <w:rFonts w:asciiTheme="majorHAnsi" w:hAnsiTheme="majorHAnsi" w:cstheme="majorHAnsi"/>
          <w:sz w:val="24"/>
          <w:szCs w:val="24"/>
          <w:vertAlign w:val="superscript"/>
        </w:rPr>
        <w:t>o</w:t>
      </w:r>
      <w:r w:rsidRPr="00EA16B0">
        <w:rPr>
          <w:rFonts w:asciiTheme="majorHAnsi" w:hAnsiTheme="majorHAnsi" w:cstheme="majorHAnsi"/>
          <w:sz w:val="24"/>
          <w:szCs w:val="24"/>
        </w:rPr>
        <w:t xml:space="preserve"> ciclo da formação, com, por exemplo, a finalização de um bacharelado interdisciplinar naquela área de estudos e com 2.400 horas de atividades ou de cursos superiores de Tecnologia, </w:t>
      </w:r>
      <w:proofErr w:type="gramStart"/>
      <w:r w:rsidRPr="00EA16B0">
        <w:rPr>
          <w:rFonts w:asciiTheme="majorHAnsi" w:hAnsiTheme="majorHAnsi" w:cstheme="majorHAnsi"/>
          <w:sz w:val="24"/>
          <w:szCs w:val="24"/>
        </w:rPr>
        <w:t>cuja carga horária, em nosso entendimento, com estágio e trabalho de conclusão, não deveriam</w:t>
      </w:r>
      <w:proofErr w:type="gramEnd"/>
      <w:r w:rsidRPr="00EA16B0">
        <w:rPr>
          <w:rFonts w:asciiTheme="majorHAnsi" w:hAnsiTheme="majorHAnsi" w:cstheme="majorHAnsi"/>
          <w:sz w:val="24"/>
          <w:szCs w:val="24"/>
        </w:rPr>
        <w:t xml:space="preserve"> ser inferiores a esse valor. Posteriormente, são colocados valores que correspondem a licenciaturas e a bacharelados da área da Computação, por exemplo (3.200 horas), e cursos mais longos, como engenharias com DCN CREA, que teriam dez semestres de duração e 3.600 horas de atividades mínimas (tabela 3.6).</w:t>
      </w:r>
    </w:p>
    <w:p w14:paraId="723E92B4"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Como foi feita a proposição da aprendizagem baseada em projetos associada ao desenvolvimento de todos os cursos, ela deve contar com temáticas escolhidas pelos professores que participam das atividades curriculares a cada período letivo, ou estarem previstas no projeto pedagógico de curso, desde que permitam a diversidade na escolha dos projetos pelos grupos de alunos. Além disso, essas temáticas devem possibilitar a apropriação gradativa do ferramental metodológico da área, a partir da análise, prospecção ou resolução de um problema mais específico, escolhido pelos diferentes grupos de estudantes e que esteja associado ao tema principal, genérico o suficiente para abrigar essas possibilidades.</w:t>
      </w:r>
    </w:p>
    <w:p w14:paraId="658EF61B"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Outra característica que contribui para a melhoria da qualidade das produções é o desenvolvimento do projeto em duas etapas, conforme consta no relatório de </w:t>
      </w:r>
      <w:proofErr w:type="spellStart"/>
      <w:r w:rsidRPr="00EA16B0">
        <w:rPr>
          <w:rFonts w:asciiTheme="majorHAnsi" w:hAnsiTheme="majorHAnsi" w:cstheme="majorHAnsi"/>
          <w:sz w:val="24"/>
          <w:szCs w:val="24"/>
        </w:rPr>
        <w:t>Cortelazzo</w:t>
      </w:r>
      <w:proofErr w:type="spellEnd"/>
      <w:r w:rsidRPr="00EA16B0">
        <w:rPr>
          <w:rFonts w:asciiTheme="majorHAnsi" w:hAnsiTheme="majorHAnsi" w:cstheme="majorHAnsi"/>
          <w:sz w:val="24"/>
          <w:szCs w:val="24"/>
        </w:rPr>
        <w:t xml:space="preserve"> (2022) sobre a organização pedagógica da </w:t>
      </w:r>
      <w:proofErr w:type="spellStart"/>
      <w:r w:rsidRPr="00EA16B0">
        <w:rPr>
          <w:rFonts w:asciiTheme="majorHAnsi" w:hAnsiTheme="majorHAnsi" w:cstheme="majorHAnsi"/>
          <w:sz w:val="24"/>
          <w:szCs w:val="24"/>
        </w:rPr>
        <w:t>UnDF</w:t>
      </w:r>
      <w:proofErr w:type="spellEnd"/>
      <w:r w:rsidRPr="00EA16B0">
        <w:rPr>
          <w:rFonts w:asciiTheme="majorHAnsi" w:hAnsiTheme="majorHAnsi" w:cstheme="majorHAnsi"/>
          <w:sz w:val="24"/>
          <w:szCs w:val="24"/>
        </w:rPr>
        <w:t>: na primeira é realizado o estudo do tema, no que diz respeito ao que já existe a respeito, com a aquisição de novos conhecimentos pelo grupo de estudantes levando à apresentação de um pré-projeto para críticas, dos colegas, professores e eventualmente de representantes do setor em que a temática se insere; no segundo momento, as sugestões recebidas são incorporadas e o projeto propriamente dito é desenvolvido, gerando um produto final que pode ter natureza mais acadêmica, científica, prática, empreendedora, extensionista etc.</w:t>
      </w:r>
    </w:p>
    <w:p w14:paraId="3884473F" w14:textId="77777777" w:rsidR="00D3608B" w:rsidRPr="00EA16B0" w:rsidRDefault="00D3608B" w:rsidP="00D3608B">
      <w:pPr>
        <w:spacing w:after="240"/>
        <w:ind w:left="2268" w:right="849"/>
        <w:jc w:val="both"/>
        <w:rPr>
          <w:rFonts w:asciiTheme="majorHAnsi" w:hAnsiTheme="majorHAnsi" w:cstheme="majorHAnsi"/>
          <w:sz w:val="20"/>
          <w:szCs w:val="20"/>
        </w:rPr>
      </w:pPr>
      <w:r w:rsidRPr="00EA16B0">
        <w:rPr>
          <w:rFonts w:asciiTheme="majorHAnsi" w:hAnsiTheme="majorHAnsi" w:cstheme="majorHAnsi"/>
          <w:sz w:val="20"/>
          <w:szCs w:val="20"/>
        </w:rPr>
        <w:t xml:space="preserve">Nessa metodologia, ocorre a resolução de problemas, mas, mais do que isso, ocorre a apropriação metodológica necessária para o seu equacionamento além da proposição das ações necessárias para a sua realização e que, </w:t>
      </w:r>
      <w:proofErr w:type="gramStart"/>
      <w:r w:rsidRPr="00EA16B0">
        <w:rPr>
          <w:rFonts w:asciiTheme="majorHAnsi" w:hAnsiTheme="majorHAnsi" w:cstheme="majorHAnsi"/>
          <w:sz w:val="20"/>
          <w:szCs w:val="20"/>
        </w:rPr>
        <w:t>via de regra</w:t>
      </w:r>
      <w:proofErr w:type="gramEnd"/>
      <w:r w:rsidRPr="00EA16B0">
        <w:rPr>
          <w:rFonts w:asciiTheme="majorHAnsi" w:hAnsiTheme="majorHAnsi" w:cstheme="majorHAnsi"/>
          <w:sz w:val="20"/>
          <w:szCs w:val="20"/>
        </w:rPr>
        <w:t xml:space="preserve"> em cursos de engenharia, leva à construção de protótipos que demonstram a forma como o problema deve ser equacionado e resolvido. (CEBRASPE, 2022a, p. 49).</w:t>
      </w:r>
    </w:p>
    <w:p w14:paraId="45AE02C5" w14:textId="77777777" w:rsidR="00D3608B" w:rsidRPr="00EA16B0" w:rsidRDefault="00D3608B" w:rsidP="009C4E6E">
      <w:pPr>
        <w:spacing w:line="360" w:lineRule="auto"/>
        <w:jc w:val="both"/>
        <w:rPr>
          <w:rFonts w:asciiTheme="majorHAnsi" w:hAnsiTheme="majorHAnsi" w:cstheme="majorHAnsi"/>
          <w:sz w:val="24"/>
          <w:szCs w:val="24"/>
        </w:rPr>
      </w:pPr>
      <w:r w:rsidRPr="00EA16B0">
        <w:rPr>
          <w:rFonts w:asciiTheme="majorHAnsi" w:hAnsiTheme="majorHAnsi" w:cstheme="majorHAnsi"/>
          <w:spacing w:val="-4"/>
          <w:sz w:val="24"/>
          <w:szCs w:val="24"/>
        </w:rPr>
        <w:lastRenderedPageBreak/>
        <w:t>Além disso, a escolha do projeto pelos alunos faz com que eles tenham mais motivação e envolvimento</w:t>
      </w:r>
      <w:r w:rsidRPr="00EA16B0">
        <w:rPr>
          <w:rFonts w:asciiTheme="majorHAnsi" w:hAnsiTheme="majorHAnsi" w:cstheme="majorHAnsi"/>
          <w:sz w:val="24"/>
          <w:szCs w:val="24"/>
        </w:rPr>
        <w:t xml:space="preserve"> com o seu desenvolvimento, levando a uma aprendizagem mais sólida e significativa (MALONEY, 2010).</w:t>
      </w:r>
    </w:p>
    <w:p w14:paraId="3FAD12F6"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Há outras formas de desenvolvimento para os projetos e, especialmente na área da Computação, é muito utilizada a metodologia de gestão denominada </w:t>
      </w:r>
      <w:r w:rsidRPr="00EA16B0">
        <w:rPr>
          <w:rFonts w:asciiTheme="majorHAnsi" w:hAnsiTheme="majorHAnsi" w:cstheme="majorHAnsi"/>
          <w:i/>
          <w:sz w:val="24"/>
          <w:szCs w:val="24"/>
        </w:rPr>
        <w:t>Scrum</w:t>
      </w:r>
      <w:r w:rsidRPr="00EA16B0">
        <w:rPr>
          <w:rFonts w:asciiTheme="majorHAnsi" w:hAnsiTheme="majorHAnsi" w:cstheme="majorHAnsi"/>
          <w:sz w:val="24"/>
          <w:szCs w:val="24"/>
        </w:rPr>
        <w:t xml:space="preserve"> que pode ser precedida pelas etapas propostas pelo Design </w:t>
      </w:r>
      <w:proofErr w:type="spellStart"/>
      <w:r w:rsidRPr="00EA16B0">
        <w:rPr>
          <w:rFonts w:asciiTheme="majorHAnsi" w:hAnsiTheme="majorHAnsi" w:cstheme="majorHAnsi"/>
          <w:sz w:val="24"/>
          <w:szCs w:val="24"/>
        </w:rPr>
        <w:t>Thinking</w:t>
      </w:r>
      <w:proofErr w:type="spellEnd"/>
      <w:r w:rsidRPr="00EA16B0">
        <w:rPr>
          <w:rFonts w:asciiTheme="majorHAnsi" w:hAnsiTheme="majorHAnsi" w:cstheme="majorHAnsi"/>
          <w:sz w:val="24"/>
          <w:szCs w:val="24"/>
        </w:rPr>
        <w:t xml:space="preserve"> e pelo ciclo de aprendizagem de Kolb (PIVA &amp; CORTELAZZO, 2019), o que deverá ser detalhado nos projetos pedagógicos dos cursos.</w:t>
      </w:r>
    </w:p>
    <w:p w14:paraId="6DBD4793"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No contexto da integralização, não pode ser relegada a importância dos docentes da Instituição, já que serão eles os condutores dos processos de aprendizagem. Assim, se por um lado é importante que tenham competência técnica para permitir que desenvolvam a área em que irão atuar, também é imprescindível que estejam alinhados com as políticas institucionais, em especial com aquelas que estão determinadas por lei e, portanto, de seguimento obrigatório e que vão além da necessária liberdade de cátedra. Além disso, devem possibilitar que haja a criação e o desenvolvimento de pós-graduação nas áreas em que estão sendo propostos os cursos de graduação, não apenas da área da Computação, mas também da Gestão e outros que estarão previstos no plano de desenvolvimento institucional.</w:t>
      </w:r>
    </w:p>
    <w:p w14:paraId="116FB4F0" w14:textId="59D2C16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A esse respeito, apesar de estar prevista a possibilidade de contratação de especialistas para o início de </w:t>
      </w:r>
      <w:r w:rsidRPr="00EA16B0">
        <w:rPr>
          <w:rFonts w:asciiTheme="majorHAnsi" w:hAnsiTheme="majorHAnsi" w:cstheme="majorHAnsi"/>
          <w:spacing w:val="-4"/>
          <w:sz w:val="24"/>
          <w:szCs w:val="24"/>
        </w:rPr>
        <w:t xml:space="preserve">carreira, espera-se que um grande contingente de doutores possa fazer parte dos quadros iniciais da </w:t>
      </w:r>
      <w:proofErr w:type="spellStart"/>
      <w:r w:rsidRPr="00EA16B0">
        <w:rPr>
          <w:rFonts w:asciiTheme="majorHAnsi" w:hAnsiTheme="majorHAnsi" w:cstheme="majorHAnsi"/>
          <w:spacing w:val="-4"/>
          <w:sz w:val="24"/>
          <w:szCs w:val="24"/>
        </w:rPr>
        <w:t>UnDF</w:t>
      </w:r>
      <w:proofErr w:type="spellEnd"/>
      <w:r w:rsidRPr="00EA16B0">
        <w:rPr>
          <w:rFonts w:asciiTheme="majorHAnsi" w:hAnsiTheme="majorHAnsi" w:cstheme="majorHAnsi"/>
          <w:spacing w:val="-4"/>
          <w:sz w:val="24"/>
          <w:szCs w:val="24"/>
        </w:rPr>
        <w:t>, para</w:t>
      </w:r>
      <w:r w:rsidRPr="00EA16B0">
        <w:rPr>
          <w:rFonts w:asciiTheme="majorHAnsi" w:hAnsiTheme="majorHAnsi" w:cstheme="majorHAnsi"/>
          <w:sz w:val="24"/>
          <w:szCs w:val="24"/>
        </w:rPr>
        <w:t xml:space="preserve"> permitir que a maturidade acadêmica e a autonomia para a realização de projetos para fomento contribuam </w:t>
      </w:r>
      <w:r w:rsidRPr="00EA16B0">
        <w:rPr>
          <w:rFonts w:asciiTheme="majorHAnsi" w:hAnsiTheme="majorHAnsi" w:cstheme="majorHAnsi"/>
          <w:spacing w:val="-4"/>
          <w:sz w:val="24"/>
          <w:szCs w:val="24"/>
        </w:rPr>
        <w:t xml:space="preserve">para a consolidação da </w:t>
      </w:r>
      <w:proofErr w:type="spellStart"/>
      <w:r w:rsidRPr="00EA16B0">
        <w:rPr>
          <w:rFonts w:asciiTheme="majorHAnsi" w:hAnsiTheme="majorHAnsi" w:cstheme="majorHAnsi"/>
          <w:spacing w:val="-4"/>
          <w:sz w:val="24"/>
          <w:szCs w:val="24"/>
        </w:rPr>
        <w:t>UnDF</w:t>
      </w:r>
      <w:proofErr w:type="spellEnd"/>
      <w:r w:rsidRPr="00EA16B0">
        <w:rPr>
          <w:rFonts w:asciiTheme="majorHAnsi" w:hAnsiTheme="majorHAnsi" w:cstheme="majorHAnsi"/>
          <w:spacing w:val="-4"/>
          <w:sz w:val="24"/>
          <w:szCs w:val="24"/>
        </w:rPr>
        <w:t xml:space="preserve"> como uma Instituição de referência. Isso também implicará no estabelecimento</w:t>
      </w:r>
      <w:r w:rsidRPr="00EA16B0">
        <w:rPr>
          <w:rFonts w:asciiTheme="majorHAnsi" w:hAnsiTheme="majorHAnsi" w:cstheme="majorHAnsi"/>
          <w:sz w:val="24"/>
          <w:szCs w:val="24"/>
        </w:rPr>
        <w:t xml:space="preserve"> de algumas ações para que se possa garantir, nesse novo contingente especializado de profissionais, a necessária pertinência com o acima exposto, e que será detalhado quando for abordada a pós-graduação.</w:t>
      </w:r>
    </w:p>
    <w:p w14:paraId="055263F0" w14:textId="77777777" w:rsidR="009C4E6E" w:rsidRPr="00EA16B0" w:rsidRDefault="009C4E6E" w:rsidP="009C4E6E">
      <w:pPr>
        <w:spacing w:line="360" w:lineRule="auto"/>
        <w:ind w:firstLine="709"/>
        <w:jc w:val="both"/>
        <w:rPr>
          <w:rFonts w:asciiTheme="majorHAnsi" w:hAnsiTheme="majorHAnsi" w:cstheme="majorHAnsi"/>
          <w:sz w:val="24"/>
          <w:szCs w:val="24"/>
        </w:rPr>
      </w:pPr>
    </w:p>
    <w:p w14:paraId="057D0946" w14:textId="21355D82" w:rsidR="00D3608B" w:rsidRPr="00EA16B0" w:rsidRDefault="00D3608B" w:rsidP="003A7871">
      <w:pPr>
        <w:pStyle w:val="Ttulo2"/>
        <w:numPr>
          <w:ilvl w:val="1"/>
          <w:numId w:val="1"/>
        </w:numPr>
        <w:tabs>
          <w:tab w:val="clear" w:pos="1615"/>
        </w:tabs>
        <w:spacing w:before="0" w:after="0" w:line="360" w:lineRule="auto"/>
        <w:ind w:left="993" w:hanging="576"/>
        <w:rPr>
          <w:rFonts w:asciiTheme="majorHAnsi" w:hAnsiTheme="majorHAnsi" w:cstheme="majorHAnsi"/>
        </w:rPr>
      </w:pPr>
      <w:bookmarkStart w:id="67" w:name="_Toc102319396"/>
      <w:r w:rsidRPr="00EA16B0">
        <w:rPr>
          <w:rFonts w:asciiTheme="majorHAnsi" w:hAnsiTheme="majorHAnsi" w:cstheme="majorHAnsi"/>
        </w:rPr>
        <w:t>POLÍTICAS E AÇÕES RELACIONADAS À INTEGRALIZAÇÃO</w:t>
      </w:r>
      <w:bookmarkEnd w:id="67"/>
    </w:p>
    <w:p w14:paraId="28D96ABE" w14:textId="77777777" w:rsidR="00D3608B" w:rsidRPr="00EA16B0" w:rsidRDefault="00D3608B" w:rsidP="009C4E6E">
      <w:pPr>
        <w:spacing w:line="360" w:lineRule="auto"/>
        <w:ind w:firstLine="709"/>
        <w:rPr>
          <w:rFonts w:asciiTheme="majorHAnsi" w:hAnsiTheme="majorHAnsi" w:cstheme="majorHAnsi"/>
          <w:sz w:val="24"/>
          <w:szCs w:val="24"/>
          <w:lang w:eastAsia="pt-BR"/>
        </w:rPr>
      </w:pPr>
      <w:r w:rsidRPr="00EA16B0">
        <w:rPr>
          <w:rFonts w:asciiTheme="majorHAnsi" w:hAnsiTheme="majorHAnsi" w:cstheme="majorHAnsi"/>
          <w:sz w:val="24"/>
          <w:szCs w:val="24"/>
          <w:lang w:eastAsia="pt-BR"/>
        </w:rPr>
        <w:t>Aqui serão sugeridas apenas algumas políticas e ações para a integralização dos cursos de graduação, já que elas farão parte integrante dos respectivos projetos pedagógicos dos cursos.</w:t>
      </w:r>
    </w:p>
    <w:p w14:paraId="37E0CA39" w14:textId="501E8493" w:rsidR="00D3608B" w:rsidRPr="00EA16B0" w:rsidRDefault="00751777" w:rsidP="003A7871">
      <w:pPr>
        <w:pStyle w:val="Ttulo3"/>
        <w:numPr>
          <w:ilvl w:val="2"/>
          <w:numId w:val="1"/>
        </w:numPr>
        <w:ind w:left="709" w:hanging="709"/>
        <w:rPr>
          <w:rFonts w:asciiTheme="majorHAnsi" w:hAnsiTheme="majorHAnsi" w:cstheme="majorHAnsi"/>
        </w:rPr>
      </w:pPr>
      <w:bookmarkStart w:id="68" w:name="_Toc102319397"/>
      <w:r w:rsidRPr="00EA16B0">
        <w:rPr>
          <w:rFonts w:asciiTheme="majorHAnsi" w:hAnsiTheme="majorHAnsi" w:cstheme="majorHAnsi"/>
        </w:rPr>
        <w:t>POLÍTICA RELACIONADA À APRENDIZAGEM BASEADA EM PROJETOS</w:t>
      </w:r>
      <w:bookmarkEnd w:id="68"/>
    </w:p>
    <w:p w14:paraId="45BAC652"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lastRenderedPageBreak/>
        <w:t>Para que haja efetivo aproveitamento da metodologia escolhida para o desenvolvimento da formação, fica clara a necessidade de capacitação dos envolvidos, visando a sua conscientização e ao estabelecimento dos princípios que devem reger as relações decorrentes dessa escolha institucional.</w:t>
      </w:r>
    </w:p>
    <w:p w14:paraId="29571AEC"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pacing w:val="-2"/>
          <w:sz w:val="24"/>
          <w:szCs w:val="24"/>
        </w:rPr>
        <w:t>Além disso, para que ocorra de forma mais eficiente, a escolha do tema deverá ser realizada pelos docentes de modo a contemplar uma complexidade crescente e coerente com o desenvolvimento do curso e possibilitar</w:t>
      </w:r>
      <w:r w:rsidRPr="00EA16B0">
        <w:rPr>
          <w:rFonts w:asciiTheme="majorHAnsi" w:hAnsiTheme="majorHAnsi" w:cstheme="majorHAnsi"/>
          <w:sz w:val="24"/>
          <w:szCs w:val="24"/>
        </w:rPr>
        <w:t xml:space="preserve"> uma gama de projetos específicos que possam ter diferentes naturezas e concepções, voltadas para escolhas mais acadêmicas, aplicadas, empreendedoras, prospectivas etc., como já salientado no presente documento.</w:t>
      </w:r>
    </w:p>
    <w:p w14:paraId="0DB08F21"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Outra possibilidade é o estabelecimento de temáticas no próprio projeto pedagógico dos cursos, facilitando, dessa forma, a sua pertinência com relação à complexidade e conhecimentos. </w:t>
      </w:r>
    </w:p>
    <w:p w14:paraId="496F8BBA" w14:textId="05358BF3"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t>Ação 1: Capacitação docente</w:t>
      </w:r>
    </w:p>
    <w:p w14:paraId="575034E3"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Deverá ser realizada uma capacitação de modo a garantir que todos os docentes tenham plena consciência do significado que deve ter a formação baseada no desenvolvimento de projetos e, para isso, a necessidade do conhecimento detalhado (e da construção e/ou modificações) do projeto pedagógico de cada curso.</w:t>
      </w:r>
    </w:p>
    <w:p w14:paraId="3B09CBE5" w14:textId="4B64554B"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t>Ação 2: Capacitação discente</w:t>
      </w:r>
    </w:p>
    <w:p w14:paraId="01DFEB75"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Também de importância crucial, deverá ocorrer na primeira semana de atividades após o ingresso na Instituição. Além da apropriação dos conceitos e pressupostos decorrentes do uso da ABP, também o uso do Ambiente Virtual de Aprendizagem para a realização das tarefas e a justificativa da forma como o sistema realizará a formação dos grupos de alunos.</w:t>
      </w:r>
    </w:p>
    <w:p w14:paraId="0658A420" w14:textId="57352C6D"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t>Ação 3: Escolha do critério de formação dos grupos</w:t>
      </w:r>
    </w:p>
    <w:p w14:paraId="119D1115"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A decisão, a partir da determinação do tamanho de cada grupo (sugere-se seis estudantes), pode ser aleatória ou considerar algum critério como a proximidade de domicílio (o que pode facilitar a escolha de projetos locais) ou a distância de domicílio (que pode aumentar a diversidade das temáticas). É importante que a ação ocorra e que possa ser alterada caso se sinta a necessidade de fazê-lo, evitando-se a delegação da escolha aos próprios estudantes, já que isso pode introduzir </w:t>
      </w:r>
      <w:r w:rsidRPr="00EA16B0">
        <w:rPr>
          <w:rFonts w:asciiTheme="majorHAnsi" w:hAnsiTheme="majorHAnsi" w:cstheme="majorHAnsi"/>
          <w:sz w:val="24"/>
          <w:szCs w:val="24"/>
        </w:rPr>
        <w:lastRenderedPageBreak/>
        <w:t>um fator de afetividade que pode prejudicar eventuais processos avaliativos entre os componentes dos grupos.</w:t>
      </w:r>
    </w:p>
    <w:p w14:paraId="51A5189A" w14:textId="75C3AF63"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t>Ação 4: Escolha do tema geral</w:t>
      </w:r>
    </w:p>
    <w:p w14:paraId="45ADAF90" w14:textId="77777777" w:rsidR="00D3608B" w:rsidRPr="00EA16B0" w:rsidRDefault="00D3608B" w:rsidP="009C4E6E">
      <w:pPr>
        <w:spacing w:line="360" w:lineRule="auto"/>
        <w:ind w:firstLine="709"/>
        <w:rPr>
          <w:rFonts w:asciiTheme="majorHAnsi" w:hAnsiTheme="majorHAnsi" w:cstheme="majorHAnsi"/>
          <w:sz w:val="24"/>
          <w:szCs w:val="24"/>
        </w:rPr>
      </w:pPr>
      <w:r w:rsidRPr="00EA16B0">
        <w:rPr>
          <w:rFonts w:asciiTheme="majorHAnsi" w:hAnsiTheme="majorHAnsi" w:cstheme="majorHAnsi"/>
          <w:sz w:val="24"/>
          <w:szCs w:val="24"/>
        </w:rPr>
        <w:t>Realizada pelo conjunto de docentes daquele período letivo, com a aprovação do colegiado do curso (NDE) e de sua coordenadoria, para que seja garantida coerência entre as temáticas ao longo de toda a formação ou feita no próprio projeto pedagógico do(s) curso(s).</w:t>
      </w:r>
    </w:p>
    <w:p w14:paraId="333500C7" w14:textId="77D5F978"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t>Ação 5: Elaboração de texto explicativo</w:t>
      </w:r>
    </w:p>
    <w:p w14:paraId="136BA77D"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O tema geral deverá ser encaminhado aos estudantes daquele período a partir de um texto explicativo que mostre a sua importância e abrangência. Não é recomendável que haja exemplos de projetos para direcionar as escolhas, já que elas devem partir da própria pesquisa dos grupos. Em um segundo momento, caso haja dificuldade de escolha por algum grupo, isso poderá ser realizado. </w:t>
      </w:r>
    </w:p>
    <w:p w14:paraId="24052E0B" w14:textId="40B7BDEC"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t>Ação 6: Escolha do tema específico</w:t>
      </w:r>
    </w:p>
    <w:p w14:paraId="75C42858"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Cada grupo escolhe seu tema e o apresenta ao professor que mediará a atividade de projeto para aquela turma e, caso seja necessário, haverá ajustes para adequar a temática específica ao tema geral escolhido. Sugere-se que isso ocorra ao longo das duas primeiras semanas do semestre.</w:t>
      </w:r>
    </w:p>
    <w:p w14:paraId="014CBBB2" w14:textId="1D102E3F"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t>Ação 7: Desenvolvimento</w:t>
      </w:r>
    </w:p>
    <w:p w14:paraId="77C95BBA" w14:textId="07781E46"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A pesquisa bibliográfica e o equacionamento da questão proposta com uma primeira versão do que se pretende com o projeto devem ser desenvolvidos e apresentados até o meio do semestre. Na segunda parte do semestre, a partir de sugestões, o projeto é finalizado e, caso seja pertinente, a construção de protótipo ou produto decorrente também ocorre.</w:t>
      </w:r>
    </w:p>
    <w:p w14:paraId="02D0D407" w14:textId="6B57DBE8" w:rsidR="00D3608B" w:rsidRPr="00EA16B0" w:rsidRDefault="00751777" w:rsidP="003A7871">
      <w:pPr>
        <w:pStyle w:val="Ttulo3"/>
        <w:numPr>
          <w:ilvl w:val="2"/>
          <w:numId w:val="1"/>
        </w:numPr>
        <w:ind w:left="709" w:hanging="709"/>
        <w:rPr>
          <w:rFonts w:asciiTheme="majorHAnsi" w:hAnsiTheme="majorHAnsi" w:cstheme="majorHAnsi"/>
        </w:rPr>
      </w:pPr>
      <w:bookmarkStart w:id="69" w:name="_Toc102319398"/>
      <w:r w:rsidRPr="00EA16B0">
        <w:rPr>
          <w:rFonts w:asciiTheme="majorHAnsi" w:hAnsiTheme="majorHAnsi" w:cstheme="majorHAnsi"/>
        </w:rPr>
        <w:t>POLÍTICA PARA O ENVOLVIMENTO DISCENTE EM PROGRAMAS ESPECÍFICOS</w:t>
      </w:r>
      <w:bookmarkEnd w:id="69"/>
    </w:p>
    <w:p w14:paraId="2062CD50" w14:textId="6354A6C9"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t>Ação 1: Programa de iniciação científica</w:t>
      </w:r>
    </w:p>
    <w:p w14:paraId="096B3575"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Não apenas obter junto ao CNPq uma cota para o programa PIBIC, mas também desenvolver um programa interno com o mesmo objetivo, de modo a somar um número maior de bolsas e permitir que os estudantes participem do mesmo, por meio de projetos que podem ser a continuidade ou o aprofundamento daqueles já desenvolvidos ao longo da formação, ou temas que </w:t>
      </w:r>
      <w:r w:rsidRPr="00EA16B0">
        <w:rPr>
          <w:rFonts w:asciiTheme="majorHAnsi" w:hAnsiTheme="majorHAnsi" w:cstheme="majorHAnsi"/>
          <w:sz w:val="24"/>
          <w:szCs w:val="24"/>
        </w:rPr>
        <w:lastRenderedPageBreak/>
        <w:t>são do interesse da Instituição ou da sociedade e que fazem parte de projetos maiores que requeiram a participação de estudantes de graduação.</w:t>
      </w:r>
    </w:p>
    <w:p w14:paraId="70EE873E" w14:textId="227582D1"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t>Ação 2: Programa de iniciação tecnológica</w:t>
      </w:r>
    </w:p>
    <w:p w14:paraId="09C74924"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Válido para aqueles projetos mais voltados para aplicabilidade imediata, ligados ao desenvolvimento de novas tecnologias, </w:t>
      </w:r>
      <w:r w:rsidRPr="00EA16B0">
        <w:rPr>
          <w:rFonts w:asciiTheme="majorHAnsi" w:hAnsiTheme="majorHAnsi" w:cstheme="majorHAnsi"/>
          <w:i/>
          <w:iCs/>
          <w:sz w:val="24"/>
          <w:szCs w:val="24"/>
        </w:rPr>
        <w:t>softwares</w:t>
      </w:r>
      <w:r w:rsidRPr="00EA16B0">
        <w:rPr>
          <w:rFonts w:asciiTheme="majorHAnsi" w:hAnsiTheme="majorHAnsi" w:cstheme="majorHAnsi"/>
          <w:sz w:val="24"/>
          <w:szCs w:val="24"/>
        </w:rPr>
        <w:t xml:space="preserve"> ou aplicativos e que podem ser requisitados pela comunidade externa. Assim, importante que a Instituição também participe do Programa de Iniciação à Tecnologia e Inovação do CNPq (PIBITI) e que tenha seu próprio programa interno.</w:t>
      </w:r>
    </w:p>
    <w:p w14:paraId="3D4DA80B" w14:textId="46CF3A46"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t>Ação 3: Programa de iniciação à docência</w:t>
      </w:r>
    </w:p>
    <w:p w14:paraId="67349026"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Mais específico para a formação de professores e cursos de licenciatura, mas também importante em outros cursos, já que essa atividade pode envolver a implantação de diferentes tecnologias nas escolas e servir para o desenvolvimento e para a instrumentalização do ensino. </w:t>
      </w:r>
    </w:p>
    <w:p w14:paraId="668B000F" w14:textId="554E010C"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t>Ação 4: Apoio docente ou monitorias</w:t>
      </w:r>
    </w:p>
    <w:p w14:paraId="7D8E1BC2"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Programas de monitoria ou de apoio às atividades docentes, sejam na discussão de projetos ou de </w:t>
      </w:r>
      <w:proofErr w:type="spellStart"/>
      <w:r w:rsidRPr="00EA16B0">
        <w:rPr>
          <w:rFonts w:asciiTheme="majorHAnsi" w:hAnsiTheme="majorHAnsi" w:cstheme="majorHAnsi"/>
          <w:sz w:val="24"/>
          <w:szCs w:val="24"/>
        </w:rPr>
        <w:t>conteúdos</w:t>
      </w:r>
      <w:proofErr w:type="spellEnd"/>
      <w:r w:rsidRPr="00EA16B0">
        <w:rPr>
          <w:rFonts w:asciiTheme="majorHAnsi" w:hAnsiTheme="majorHAnsi" w:cstheme="majorHAnsi"/>
          <w:sz w:val="24"/>
          <w:szCs w:val="24"/>
        </w:rPr>
        <w:t xml:space="preserve"> específicos necessários ao seu desenvolvimento, podem garantir uma consolidação dos conhecimentos, das </w:t>
      </w:r>
      <w:r w:rsidRPr="00EA16B0">
        <w:rPr>
          <w:rFonts w:asciiTheme="majorHAnsi" w:hAnsiTheme="majorHAnsi" w:cstheme="majorHAnsi"/>
          <w:spacing w:val="-2"/>
          <w:sz w:val="24"/>
          <w:szCs w:val="24"/>
        </w:rPr>
        <w:t>competências, das habilidades e das atitudes dos estudantes mais antigos, que teriam esse envolvimento com etapas</w:t>
      </w:r>
      <w:r w:rsidRPr="00EA16B0">
        <w:rPr>
          <w:rFonts w:asciiTheme="majorHAnsi" w:hAnsiTheme="majorHAnsi" w:cstheme="majorHAnsi"/>
          <w:sz w:val="24"/>
          <w:szCs w:val="24"/>
        </w:rPr>
        <w:t xml:space="preserve"> já cumpridas de sua formação, contribuindo também para o desenvolvimento de seus colegas no curso.</w:t>
      </w:r>
    </w:p>
    <w:p w14:paraId="4FCBD949"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 Os programas previstos nos subitens referentes as quatro ações apresentadas poderão ser </w:t>
      </w:r>
      <w:proofErr w:type="gramStart"/>
      <w:r w:rsidRPr="00EA16B0">
        <w:rPr>
          <w:rFonts w:asciiTheme="majorHAnsi" w:hAnsiTheme="majorHAnsi" w:cstheme="majorHAnsi"/>
          <w:sz w:val="24"/>
          <w:szCs w:val="24"/>
        </w:rPr>
        <w:t>desenvolvidos</w:t>
      </w:r>
      <w:proofErr w:type="gramEnd"/>
      <w:r w:rsidRPr="00EA16B0">
        <w:rPr>
          <w:rFonts w:asciiTheme="majorHAnsi" w:hAnsiTheme="majorHAnsi" w:cstheme="majorHAnsi"/>
          <w:sz w:val="24"/>
          <w:szCs w:val="24"/>
        </w:rPr>
        <w:t xml:space="preserve"> a partir do incentivo financeiro com a atribuição de bolsas, mas também poderão ser feitos de forma voluntária e levarem a certificações curriculares.</w:t>
      </w:r>
    </w:p>
    <w:p w14:paraId="5A5BB071" w14:textId="51C4FD8E" w:rsidR="00D3608B" w:rsidRPr="00EA16B0" w:rsidRDefault="00D3608B" w:rsidP="003A7871">
      <w:pPr>
        <w:pStyle w:val="Ttulo4"/>
        <w:numPr>
          <w:ilvl w:val="3"/>
          <w:numId w:val="1"/>
        </w:numPr>
        <w:rPr>
          <w:rFonts w:asciiTheme="majorHAnsi" w:hAnsiTheme="majorHAnsi" w:cstheme="majorHAnsi"/>
          <w:lang w:eastAsia="pt-BR"/>
        </w:rPr>
      </w:pPr>
      <w:r w:rsidRPr="00EA16B0">
        <w:rPr>
          <w:rFonts w:asciiTheme="majorHAnsi" w:hAnsiTheme="majorHAnsi" w:cstheme="majorHAnsi"/>
          <w:lang w:eastAsia="pt-BR"/>
        </w:rPr>
        <w:t>Ação 5: Incentivo às certificações</w:t>
      </w:r>
    </w:p>
    <w:p w14:paraId="0A8CC09C" w14:textId="77777777" w:rsidR="00D3608B" w:rsidRPr="00EA16B0" w:rsidRDefault="00D3608B" w:rsidP="009C4E6E">
      <w:pPr>
        <w:spacing w:line="360" w:lineRule="auto"/>
        <w:ind w:firstLine="709"/>
        <w:jc w:val="both"/>
        <w:rPr>
          <w:rFonts w:asciiTheme="majorHAnsi" w:hAnsiTheme="majorHAnsi" w:cstheme="majorHAnsi"/>
          <w:sz w:val="24"/>
          <w:szCs w:val="24"/>
          <w:lang w:eastAsia="pt-BR"/>
        </w:rPr>
      </w:pPr>
      <w:r w:rsidRPr="00EA16B0">
        <w:rPr>
          <w:rFonts w:asciiTheme="majorHAnsi" w:hAnsiTheme="majorHAnsi" w:cstheme="majorHAnsi"/>
          <w:sz w:val="24"/>
          <w:szCs w:val="24"/>
          <w:lang w:eastAsia="pt-BR"/>
        </w:rPr>
        <w:t>Dentro da política voltada para certificações intermediárias, especialmente na área da computação, o mercado conta com diferentes ações das empresas como Microsoft, IBM, Cisco etc. que possibilitam a realização de capacitações e a obtenção de certificações que devem ser incentivadas a partir de convênios da Instituição com essas empresas.</w:t>
      </w:r>
    </w:p>
    <w:p w14:paraId="54C5E72E" w14:textId="47D30DA8" w:rsidR="00D3608B" w:rsidRPr="00EA16B0" w:rsidRDefault="00D3608B" w:rsidP="003A7871">
      <w:pPr>
        <w:pStyle w:val="Ttulo4"/>
        <w:numPr>
          <w:ilvl w:val="3"/>
          <w:numId w:val="1"/>
        </w:numPr>
        <w:rPr>
          <w:rFonts w:asciiTheme="majorHAnsi" w:hAnsiTheme="majorHAnsi" w:cstheme="majorHAnsi"/>
          <w:lang w:eastAsia="pt-BR"/>
        </w:rPr>
      </w:pPr>
      <w:r w:rsidRPr="00EA16B0">
        <w:rPr>
          <w:rFonts w:asciiTheme="majorHAnsi" w:hAnsiTheme="majorHAnsi" w:cstheme="majorHAnsi"/>
          <w:lang w:eastAsia="pt-BR"/>
        </w:rPr>
        <w:lastRenderedPageBreak/>
        <w:t>Ação 6: Flexibilização do TCC</w:t>
      </w:r>
    </w:p>
    <w:p w14:paraId="4742A6A1" w14:textId="77777777" w:rsidR="00D3608B" w:rsidRPr="00EA16B0" w:rsidRDefault="00D3608B" w:rsidP="009C4E6E">
      <w:pPr>
        <w:spacing w:line="360" w:lineRule="auto"/>
        <w:ind w:firstLine="709"/>
        <w:jc w:val="both"/>
        <w:rPr>
          <w:rFonts w:asciiTheme="majorHAnsi" w:hAnsiTheme="majorHAnsi" w:cstheme="majorHAnsi"/>
          <w:sz w:val="24"/>
          <w:szCs w:val="24"/>
          <w:lang w:eastAsia="pt-BR"/>
        </w:rPr>
      </w:pPr>
      <w:r w:rsidRPr="00EA16B0">
        <w:rPr>
          <w:rFonts w:asciiTheme="majorHAnsi" w:hAnsiTheme="majorHAnsi" w:cstheme="majorHAnsi"/>
          <w:spacing w:val="-4"/>
          <w:sz w:val="24"/>
          <w:szCs w:val="24"/>
          <w:lang w:eastAsia="pt-BR"/>
        </w:rPr>
        <w:t>A ideia do Trabalho de Conclusão do Curso é necessária para garantir que haja um envolvimento dos estudantes</w:t>
      </w:r>
      <w:r w:rsidRPr="00EA16B0">
        <w:rPr>
          <w:rFonts w:asciiTheme="majorHAnsi" w:hAnsiTheme="majorHAnsi" w:cstheme="majorHAnsi"/>
          <w:sz w:val="24"/>
          <w:szCs w:val="24"/>
          <w:lang w:eastAsia="pt-BR"/>
        </w:rPr>
        <w:t xml:space="preserve"> com o ferramental metodológico da sua área. Num curso estruturado a partir da aprendizagem por projetos, em tese, seria a última expressão prática realizada pelos estudantes como fechamento de sua formação. S</w:t>
      </w:r>
      <w:r w:rsidRPr="00EA16B0">
        <w:rPr>
          <w:rFonts w:asciiTheme="majorHAnsi" w:hAnsiTheme="majorHAnsi" w:cstheme="majorHAnsi"/>
          <w:spacing w:val="-2"/>
          <w:sz w:val="24"/>
          <w:szCs w:val="24"/>
          <w:lang w:eastAsia="pt-BR"/>
        </w:rPr>
        <w:t>ua estruturação poderia ser pensada como sendo qualquer atividade que pudesse ter um julgamento</w:t>
      </w:r>
      <w:r w:rsidRPr="00EA16B0">
        <w:rPr>
          <w:rFonts w:asciiTheme="majorHAnsi" w:hAnsiTheme="majorHAnsi" w:cstheme="majorHAnsi"/>
          <w:sz w:val="24"/>
          <w:szCs w:val="24"/>
          <w:lang w:eastAsia="pt-BR"/>
        </w:rPr>
        <w:t xml:space="preserve"> positivo sobre essa formação. O aceite de um trabalho científico em revista com </w:t>
      </w:r>
      <w:r w:rsidRPr="00EA16B0">
        <w:rPr>
          <w:rFonts w:asciiTheme="majorHAnsi" w:hAnsiTheme="majorHAnsi" w:cstheme="majorHAnsi"/>
          <w:i/>
          <w:iCs/>
          <w:sz w:val="24"/>
          <w:szCs w:val="24"/>
          <w:lang w:eastAsia="pt-BR"/>
        </w:rPr>
        <w:t>referees</w:t>
      </w:r>
      <w:r w:rsidRPr="00EA16B0">
        <w:rPr>
          <w:rFonts w:asciiTheme="majorHAnsi" w:hAnsiTheme="majorHAnsi" w:cstheme="majorHAnsi"/>
          <w:sz w:val="24"/>
          <w:szCs w:val="24"/>
          <w:lang w:eastAsia="pt-BR"/>
        </w:rPr>
        <w:t xml:space="preserve">, o registro de um </w:t>
      </w:r>
      <w:r w:rsidRPr="00EA16B0">
        <w:rPr>
          <w:rFonts w:asciiTheme="majorHAnsi" w:hAnsiTheme="majorHAnsi" w:cstheme="majorHAnsi"/>
          <w:i/>
          <w:iCs/>
          <w:sz w:val="24"/>
          <w:szCs w:val="24"/>
          <w:lang w:eastAsia="pt-BR"/>
        </w:rPr>
        <w:t>software</w:t>
      </w:r>
      <w:r w:rsidRPr="00EA16B0">
        <w:rPr>
          <w:rFonts w:asciiTheme="majorHAnsi" w:hAnsiTheme="majorHAnsi" w:cstheme="majorHAnsi"/>
          <w:sz w:val="24"/>
          <w:szCs w:val="24"/>
          <w:lang w:eastAsia="pt-BR"/>
        </w:rPr>
        <w:t>, a incubação de uma (micro)empresa para o setor, a organização de um sistema informatizado de gestão em empresa ou em outro organismo, um conjunto de certificações externas à Universidade, uma análise crítica do estágio desenvolvido são apenas alguns exemplos desse aproveitamento O trabalho monográfico formal, com defesa feita a uma banca específica, ainda que permitido, seria desencorajado por essas possibilidades.</w:t>
      </w:r>
    </w:p>
    <w:p w14:paraId="62FF3CF0" w14:textId="5A311FA2" w:rsidR="00D3608B" w:rsidRPr="00EA16B0" w:rsidRDefault="00D3608B" w:rsidP="003A7871">
      <w:pPr>
        <w:pStyle w:val="Ttulo4"/>
        <w:numPr>
          <w:ilvl w:val="3"/>
          <w:numId w:val="1"/>
        </w:numPr>
        <w:rPr>
          <w:rFonts w:asciiTheme="majorHAnsi" w:hAnsiTheme="majorHAnsi" w:cstheme="majorHAnsi"/>
          <w:lang w:eastAsia="pt-BR"/>
        </w:rPr>
      </w:pPr>
      <w:r w:rsidRPr="00EA16B0">
        <w:rPr>
          <w:rFonts w:asciiTheme="majorHAnsi" w:hAnsiTheme="majorHAnsi" w:cstheme="majorHAnsi"/>
          <w:lang w:eastAsia="pt-BR"/>
        </w:rPr>
        <w:t>Ação 7: Serviços de estágio e convênios</w:t>
      </w:r>
    </w:p>
    <w:p w14:paraId="74D1A3D8" w14:textId="77777777" w:rsidR="00D3608B" w:rsidRPr="00EA16B0" w:rsidRDefault="00D3608B" w:rsidP="009C4E6E">
      <w:pPr>
        <w:spacing w:line="360" w:lineRule="auto"/>
        <w:ind w:firstLine="709"/>
        <w:jc w:val="both"/>
        <w:rPr>
          <w:rFonts w:asciiTheme="majorHAnsi" w:hAnsiTheme="majorHAnsi" w:cstheme="majorHAnsi"/>
          <w:sz w:val="24"/>
          <w:szCs w:val="24"/>
          <w:lang w:eastAsia="pt-BR"/>
        </w:rPr>
      </w:pPr>
      <w:r w:rsidRPr="00EA16B0">
        <w:rPr>
          <w:rFonts w:asciiTheme="majorHAnsi" w:hAnsiTheme="majorHAnsi" w:cstheme="majorHAnsi"/>
          <w:spacing w:val="-4"/>
          <w:sz w:val="24"/>
          <w:szCs w:val="24"/>
          <w:lang w:eastAsia="pt-BR"/>
        </w:rPr>
        <w:t>O setor voltado para o apoio aos estudantes da Universidade deveria contar com serviços ligados não apenas às</w:t>
      </w:r>
      <w:r w:rsidRPr="00EA16B0">
        <w:rPr>
          <w:rFonts w:asciiTheme="majorHAnsi" w:hAnsiTheme="majorHAnsi" w:cstheme="majorHAnsi"/>
          <w:sz w:val="24"/>
          <w:szCs w:val="24"/>
          <w:lang w:eastAsia="pt-BR"/>
        </w:rPr>
        <w:t xml:space="preserve"> </w:t>
      </w:r>
      <w:r w:rsidRPr="00EA16B0">
        <w:rPr>
          <w:rFonts w:asciiTheme="majorHAnsi" w:hAnsiTheme="majorHAnsi" w:cstheme="majorHAnsi"/>
          <w:spacing w:val="-4"/>
          <w:sz w:val="24"/>
          <w:szCs w:val="24"/>
          <w:lang w:eastAsia="pt-BR"/>
        </w:rPr>
        <w:t>ações afirmativas (moradia, transporte, alimentação etc.), mas com a possibilidade de interagir com setores voltados</w:t>
      </w:r>
      <w:r w:rsidRPr="00EA16B0">
        <w:rPr>
          <w:rFonts w:asciiTheme="majorHAnsi" w:hAnsiTheme="majorHAnsi" w:cstheme="majorHAnsi"/>
          <w:sz w:val="24"/>
          <w:szCs w:val="24"/>
          <w:lang w:eastAsia="pt-BR"/>
        </w:rPr>
        <w:t xml:space="preserve"> para a colocação de estudantes em estágios ou em atividades remuneradas. Tais ações deveriam extrapolar aquelas do encaminhamento para organizações estruturadas para esse fim, como o Centro de Integração Empresa Escola (CIEE), por exemplo. </w:t>
      </w:r>
    </w:p>
    <w:p w14:paraId="29877B73" w14:textId="180C0770" w:rsidR="00D3608B" w:rsidRPr="00EA16B0" w:rsidRDefault="00D3608B" w:rsidP="003A7871">
      <w:pPr>
        <w:pStyle w:val="Ttulo4"/>
        <w:numPr>
          <w:ilvl w:val="3"/>
          <w:numId w:val="1"/>
        </w:numPr>
        <w:rPr>
          <w:rFonts w:asciiTheme="majorHAnsi" w:hAnsiTheme="majorHAnsi" w:cstheme="majorHAnsi"/>
          <w:lang w:eastAsia="pt-BR"/>
        </w:rPr>
      </w:pPr>
      <w:r w:rsidRPr="00EA16B0">
        <w:rPr>
          <w:rFonts w:asciiTheme="majorHAnsi" w:hAnsiTheme="majorHAnsi" w:cstheme="majorHAnsi"/>
          <w:lang w:eastAsia="pt-BR"/>
        </w:rPr>
        <w:t>Ação 8: Realização de eventos envolvendo setores produtivos da região</w:t>
      </w:r>
    </w:p>
    <w:p w14:paraId="4D97A67F" w14:textId="77777777" w:rsidR="00D3608B" w:rsidRPr="00EA16B0" w:rsidRDefault="00D3608B" w:rsidP="009C4E6E">
      <w:pPr>
        <w:spacing w:line="360" w:lineRule="auto"/>
        <w:ind w:firstLine="709"/>
        <w:jc w:val="both"/>
        <w:rPr>
          <w:rFonts w:asciiTheme="majorHAnsi" w:hAnsiTheme="majorHAnsi" w:cstheme="majorHAnsi"/>
          <w:sz w:val="24"/>
          <w:szCs w:val="24"/>
          <w:lang w:eastAsia="pt-BR"/>
        </w:rPr>
      </w:pPr>
      <w:r w:rsidRPr="00EA16B0">
        <w:rPr>
          <w:rFonts w:asciiTheme="majorHAnsi" w:hAnsiTheme="majorHAnsi" w:cstheme="majorHAnsi"/>
          <w:sz w:val="24"/>
          <w:szCs w:val="24"/>
          <w:lang w:eastAsia="pt-BR"/>
        </w:rPr>
        <w:t>Um evento voltado para a participação das empresas da região que poderiam montar seus estandes em local previamente organizado e que serviriam para que os estudantes manifestassem interesse por estágio ou trabalho nessas empresas. O envolvimento dos setores de recursos humanos dessas instituições levaria a maior interação da instituição com o setor produtivo e, ao mesmo tempo, faria com que houvesse um banco de dados nas empresas, as quais teriam as coordenadas dos estudantes, com sua formação e competências técnicas para uma colocação remunerada, num movimento inverso àquele proposto no item anterior.</w:t>
      </w:r>
    </w:p>
    <w:p w14:paraId="4DDB270F" w14:textId="6A66C5F5" w:rsidR="00D3608B" w:rsidRPr="00EA16B0" w:rsidRDefault="00D3608B" w:rsidP="003A7871">
      <w:pPr>
        <w:pStyle w:val="Ttulo4"/>
        <w:numPr>
          <w:ilvl w:val="3"/>
          <w:numId w:val="1"/>
        </w:numPr>
        <w:rPr>
          <w:rFonts w:asciiTheme="majorHAnsi" w:hAnsiTheme="majorHAnsi" w:cstheme="majorHAnsi"/>
          <w:lang w:eastAsia="pt-BR"/>
        </w:rPr>
      </w:pPr>
      <w:r w:rsidRPr="00EA16B0">
        <w:rPr>
          <w:rFonts w:asciiTheme="majorHAnsi" w:hAnsiTheme="majorHAnsi" w:cstheme="majorHAnsi"/>
          <w:lang w:eastAsia="pt-BR"/>
        </w:rPr>
        <w:t>Ação 9: Incentivo à qualidade dos projetos</w:t>
      </w:r>
    </w:p>
    <w:p w14:paraId="6B764AE1" w14:textId="77777777" w:rsidR="00D3608B" w:rsidRPr="00EA16B0" w:rsidRDefault="00D3608B" w:rsidP="009C4E6E">
      <w:pPr>
        <w:spacing w:line="360" w:lineRule="auto"/>
        <w:ind w:firstLine="709"/>
        <w:jc w:val="both"/>
        <w:rPr>
          <w:rFonts w:asciiTheme="majorHAnsi" w:hAnsiTheme="majorHAnsi" w:cstheme="majorHAnsi"/>
          <w:sz w:val="24"/>
          <w:szCs w:val="24"/>
          <w:lang w:eastAsia="pt-BR"/>
        </w:rPr>
      </w:pPr>
      <w:r w:rsidRPr="00EA16B0">
        <w:rPr>
          <w:rFonts w:asciiTheme="majorHAnsi" w:hAnsiTheme="majorHAnsi" w:cstheme="majorHAnsi"/>
          <w:sz w:val="24"/>
          <w:szCs w:val="24"/>
          <w:lang w:eastAsia="pt-BR"/>
        </w:rPr>
        <w:t xml:space="preserve">Ao final de cada período letivo, poderiam ser escolhidos os melhores projetos de cada curso, nas três vertentes de abordagem, por exemplo: acadêmico-científica, serviços e inovação. Com esse </w:t>
      </w:r>
      <w:r w:rsidRPr="00EA16B0">
        <w:rPr>
          <w:rFonts w:asciiTheme="majorHAnsi" w:hAnsiTheme="majorHAnsi" w:cstheme="majorHAnsi"/>
          <w:sz w:val="24"/>
          <w:szCs w:val="24"/>
          <w:lang w:eastAsia="pt-BR"/>
        </w:rPr>
        <w:lastRenderedPageBreak/>
        <w:t>julgamento e a correspondente certificação, haveria o incentivo para a realização de projetos com significado e importância que poderiam ser divulgados na página da instituição, em periódicos, eventos, ou outras formas de reconhecimento não obrigatoriamente financeiro.</w:t>
      </w:r>
    </w:p>
    <w:p w14:paraId="3423912D" w14:textId="701C8508" w:rsidR="00D3608B" w:rsidRPr="00EA16B0" w:rsidRDefault="00D3608B" w:rsidP="003A7871">
      <w:pPr>
        <w:pStyle w:val="Ttulo4"/>
        <w:numPr>
          <w:ilvl w:val="3"/>
          <w:numId w:val="1"/>
        </w:numPr>
        <w:rPr>
          <w:rFonts w:asciiTheme="majorHAnsi" w:hAnsiTheme="majorHAnsi" w:cstheme="majorHAnsi"/>
          <w:lang w:eastAsia="pt-BR"/>
        </w:rPr>
      </w:pPr>
      <w:r w:rsidRPr="00EA16B0">
        <w:rPr>
          <w:rFonts w:asciiTheme="majorHAnsi" w:hAnsiTheme="majorHAnsi" w:cstheme="majorHAnsi"/>
          <w:lang w:eastAsia="pt-BR"/>
        </w:rPr>
        <w:t>Ação 10: Eventos artístico-culturais</w:t>
      </w:r>
    </w:p>
    <w:p w14:paraId="53853381" w14:textId="77777777" w:rsidR="00D3608B" w:rsidRPr="00EA16B0" w:rsidRDefault="00D3608B" w:rsidP="009C4E6E">
      <w:pPr>
        <w:spacing w:line="360" w:lineRule="auto"/>
        <w:ind w:firstLine="709"/>
        <w:jc w:val="both"/>
        <w:rPr>
          <w:rFonts w:asciiTheme="majorHAnsi" w:hAnsiTheme="majorHAnsi" w:cstheme="majorHAnsi"/>
          <w:sz w:val="24"/>
          <w:szCs w:val="24"/>
          <w:lang w:eastAsia="pt-BR"/>
        </w:rPr>
      </w:pPr>
      <w:r w:rsidRPr="00EA16B0">
        <w:rPr>
          <w:rFonts w:asciiTheme="majorHAnsi" w:hAnsiTheme="majorHAnsi" w:cstheme="majorHAnsi"/>
          <w:sz w:val="24"/>
          <w:szCs w:val="24"/>
          <w:lang w:eastAsia="pt-BR"/>
        </w:rPr>
        <w:t>O incentivo à realização de eventos dessa natureza aproveitando a própria expertise dos estudantes poderia contribuir para que houvesse um maior engajamento deles, desenvolvendo a convivência e o hábito da realização ou da participação de atividades artístico-culturais. Atividades cuja organização pudesse envolver conhecimentos computacionais poderiam também ser aproveitadas como parte integrante da formação e, por que não, como alternativa a projeto ou mesmo TCC.</w:t>
      </w:r>
    </w:p>
    <w:p w14:paraId="3815B2A2" w14:textId="73BCA2DF" w:rsidR="00D3608B" w:rsidRPr="00EA16B0" w:rsidRDefault="00751777" w:rsidP="003A7871">
      <w:pPr>
        <w:pStyle w:val="Ttulo3"/>
        <w:numPr>
          <w:ilvl w:val="2"/>
          <w:numId w:val="1"/>
        </w:numPr>
        <w:ind w:left="709" w:hanging="709"/>
        <w:rPr>
          <w:rFonts w:asciiTheme="majorHAnsi" w:hAnsiTheme="majorHAnsi" w:cstheme="majorHAnsi"/>
        </w:rPr>
      </w:pPr>
      <w:bookmarkStart w:id="70" w:name="_Toc102319399"/>
      <w:r w:rsidRPr="00EA16B0">
        <w:rPr>
          <w:rFonts w:asciiTheme="majorHAnsi" w:hAnsiTheme="majorHAnsi" w:cstheme="majorHAnsi"/>
        </w:rPr>
        <w:t>POLÍTICA DE CONTRATAÇÃO DOCENTE</w:t>
      </w:r>
      <w:bookmarkEnd w:id="70"/>
    </w:p>
    <w:p w14:paraId="3372B15E" w14:textId="77777777" w:rsidR="00D3608B" w:rsidRPr="00EA16B0" w:rsidRDefault="00D3608B" w:rsidP="009C4E6E">
      <w:pPr>
        <w:spacing w:line="360" w:lineRule="auto"/>
        <w:ind w:firstLine="709"/>
        <w:jc w:val="both"/>
        <w:rPr>
          <w:rFonts w:asciiTheme="majorHAnsi" w:hAnsiTheme="majorHAnsi" w:cstheme="majorHAnsi"/>
          <w:sz w:val="24"/>
          <w:szCs w:val="24"/>
          <w:lang w:eastAsia="pt-BR"/>
        </w:rPr>
      </w:pPr>
      <w:r w:rsidRPr="00EA16B0">
        <w:rPr>
          <w:rFonts w:asciiTheme="majorHAnsi" w:hAnsiTheme="majorHAnsi" w:cstheme="majorHAnsi"/>
          <w:sz w:val="24"/>
          <w:szCs w:val="24"/>
          <w:lang w:eastAsia="pt-BR"/>
        </w:rPr>
        <w:t>Os concursos públicos que deverão possibilitar o preenchimento dos cargos públicos destinados a docentes e tutores serão de crucial importância para o desenvolvimento esperado para a Universidade e, por isso, algumas ações devem fazer parte integrante da política de contratação.</w:t>
      </w:r>
    </w:p>
    <w:p w14:paraId="520B25AF" w14:textId="34E58192" w:rsidR="00D3608B" w:rsidRPr="00EA16B0" w:rsidRDefault="00D3608B" w:rsidP="003A7871">
      <w:pPr>
        <w:pStyle w:val="Ttulo4"/>
        <w:numPr>
          <w:ilvl w:val="3"/>
          <w:numId w:val="1"/>
        </w:numPr>
        <w:rPr>
          <w:rFonts w:asciiTheme="majorHAnsi" w:hAnsiTheme="majorHAnsi" w:cstheme="majorHAnsi"/>
          <w:lang w:eastAsia="pt-BR"/>
        </w:rPr>
      </w:pPr>
      <w:r w:rsidRPr="00EA16B0">
        <w:rPr>
          <w:rFonts w:asciiTheme="majorHAnsi" w:hAnsiTheme="majorHAnsi" w:cstheme="majorHAnsi"/>
          <w:lang w:eastAsia="pt-BR"/>
        </w:rPr>
        <w:t>Ação 1: Divulgação</w:t>
      </w:r>
    </w:p>
    <w:p w14:paraId="10B18FCE" w14:textId="77777777" w:rsidR="00D3608B" w:rsidRPr="00EA16B0" w:rsidRDefault="00D3608B" w:rsidP="009C4E6E">
      <w:pPr>
        <w:spacing w:line="360" w:lineRule="auto"/>
        <w:ind w:firstLine="709"/>
        <w:jc w:val="both"/>
        <w:rPr>
          <w:rFonts w:asciiTheme="majorHAnsi" w:hAnsiTheme="majorHAnsi" w:cstheme="majorHAnsi"/>
          <w:sz w:val="24"/>
          <w:szCs w:val="24"/>
          <w:lang w:eastAsia="pt-BR"/>
        </w:rPr>
      </w:pPr>
      <w:r w:rsidRPr="00EA16B0">
        <w:rPr>
          <w:rFonts w:asciiTheme="majorHAnsi" w:hAnsiTheme="majorHAnsi" w:cstheme="majorHAnsi"/>
          <w:sz w:val="24"/>
          <w:szCs w:val="24"/>
          <w:lang w:eastAsia="pt-BR"/>
        </w:rPr>
        <w:t>Ampla divulgação dos concursos para docentes visando a maior quantidade de inscritos e, assim, a maior chance de formar uma equipe qualitativamente melhor.</w:t>
      </w:r>
    </w:p>
    <w:p w14:paraId="06E69487" w14:textId="37E42F1B" w:rsidR="00D3608B" w:rsidRPr="00EA16B0" w:rsidRDefault="00D3608B" w:rsidP="003A7871">
      <w:pPr>
        <w:pStyle w:val="Ttulo4"/>
        <w:numPr>
          <w:ilvl w:val="3"/>
          <w:numId w:val="1"/>
        </w:numPr>
        <w:rPr>
          <w:rFonts w:asciiTheme="majorHAnsi" w:hAnsiTheme="majorHAnsi" w:cstheme="majorHAnsi"/>
          <w:lang w:eastAsia="pt-BR"/>
        </w:rPr>
      </w:pPr>
      <w:r w:rsidRPr="00EA16B0">
        <w:rPr>
          <w:rFonts w:asciiTheme="majorHAnsi" w:hAnsiTheme="majorHAnsi" w:cstheme="majorHAnsi"/>
          <w:lang w:eastAsia="pt-BR"/>
        </w:rPr>
        <w:t>Ação 2: Critérios que privilegiem o projeto da Universidade</w:t>
      </w:r>
    </w:p>
    <w:p w14:paraId="56DCA57B" w14:textId="77777777" w:rsidR="00D3608B" w:rsidRPr="00EA16B0" w:rsidRDefault="00D3608B" w:rsidP="009C4E6E">
      <w:pPr>
        <w:spacing w:line="360" w:lineRule="auto"/>
        <w:ind w:firstLine="709"/>
        <w:jc w:val="both"/>
        <w:rPr>
          <w:rFonts w:asciiTheme="majorHAnsi" w:hAnsiTheme="majorHAnsi" w:cstheme="majorHAnsi"/>
          <w:sz w:val="24"/>
          <w:szCs w:val="24"/>
          <w:lang w:eastAsia="pt-BR"/>
        </w:rPr>
      </w:pPr>
      <w:r w:rsidRPr="00EA16B0">
        <w:rPr>
          <w:rFonts w:asciiTheme="majorHAnsi" w:hAnsiTheme="majorHAnsi" w:cstheme="majorHAnsi"/>
          <w:sz w:val="24"/>
          <w:szCs w:val="24"/>
          <w:lang w:eastAsia="pt-BR"/>
        </w:rPr>
        <w:t xml:space="preserve">Critérios claros que mostrem que o projeto da Universidade passa por uma organização pedagógica diferenciada, com o uso intensivo de metodologias ativas de aprendizagem, de projetos e de interação efetiva com </w:t>
      </w:r>
      <w:r w:rsidRPr="00EA16B0">
        <w:rPr>
          <w:rFonts w:asciiTheme="majorHAnsi" w:hAnsiTheme="majorHAnsi" w:cstheme="majorHAnsi"/>
          <w:spacing w:val="-2"/>
          <w:sz w:val="24"/>
          <w:szCs w:val="24"/>
          <w:lang w:eastAsia="pt-BR"/>
        </w:rPr>
        <w:t xml:space="preserve">a sociedade </w:t>
      </w:r>
      <w:r w:rsidRPr="00EA16B0">
        <w:rPr>
          <w:rFonts w:asciiTheme="majorHAnsi" w:hAnsiTheme="majorHAnsi" w:cstheme="majorHAnsi"/>
          <w:b/>
          <w:spacing w:val="-2"/>
          <w:sz w:val="24"/>
          <w:szCs w:val="24"/>
          <w:lang w:eastAsia="pt-BR"/>
        </w:rPr>
        <w:t>praticando,</w:t>
      </w:r>
      <w:r w:rsidRPr="00EA16B0">
        <w:rPr>
          <w:rFonts w:asciiTheme="majorHAnsi" w:hAnsiTheme="majorHAnsi" w:cstheme="majorHAnsi"/>
          <w:spacing w:val="-2"/>
          <w:sz w:val="24"/>
          <w:szCs w:val="24"/>
          <w:lang w:eastAsia="pt-BR"/>
        </w:rPr>
        <w:t xml:space="preserve"> e não apenas levando em conta, a indissociabilidade entre ensino, pesquisa e extensão.</w:t>
      </w:r>
    </w:p>
    <w:p w14:paraId="69C5407D" w14:textId="19A49B3F" w:rsidR="00D3608B" w:rsidRPr="00EA16B0" w:rsidRDefault="00D3608B" w:rsidP="003A7871">
      <w:pPr>
        <w:pStyle w:val="Ttulo4"/>
        <w:numPr>
          <w:ilvl w:val="3"/>
          <w:numId w:val="1"/>
        </w:numPr>
        <w:rPr>
          <w:rFonts w:asciiTheme="majorHAnsi" w:hAnsiTheme="majorHAnsi" w:cstheme="majorHAnsi"/>
          <w:lang w:eastAsia="pt-BR"/>
        </w:rPr>
      </w:pPr>
      <w:r w:rsidRPr="00EA16B0">
        <w:rPr>
          <w:rFonts w:asciiTheme="majorHAnsi" w:hAnsiTheme="majorHAnsi" w:cstheme="majorHAnsi"/>
          <w:lang w:eastAsia="pt-BR"/>
        </w:rPr>
        <w:t>Ação 3: Incentivo à inscrição de professores titulados</w:t>
      </w:r>
    </w:p>
    <w:p w14:paraId="4F47EF53" w14:textId="77777777" w:rsidR="00D3608B" w:rsidRPr="00EA16B0" w:rsidRDefault="00D3608B" w:rsidP="009C4E6E">
      <w:pPr>
        <w:spacing w:line="360" w:lineRule="auto"/>
        <w:ind w:firstLine="709"/>
        <w:jc w:val="both"/>
        <w:rPr>
          <w:rFonts w:asciiTheme="majorHAnsi" w:hAnsiTheme="majorHAnsi" w:cstheme="majorHAnsi"/>
          <w:sz w:val="24"/>
          <w:szCs w:val="24"/>
          <w:lang w:eastAsia="pt-BR"/>
        </w:rPr>
      </w:pPr>
      <w:r w:rsidRPr="00EA16B0">
        <w:rPr>
          <w:rFonts w:asciiTheme="majorHAnsi" w:hAnsiTheme="majorHAnsi" w:cstheme="majorHAnsi"/>
          <w:sz w:val="24"/>
          <w:szCs w:val="24"/>
          <w:lang w:eastAsia="pt-BR"/>
        </w:rPr>
        <w:t>Essa ação deverá permitir que sejam atraídos doutores, já que eles serão imprescindíveis para que se montem grupos de pesquisa que possam atuar imediatamente e, para isso, é importante que sejam estabelecidos pesos diferenciados que beneficiem essa titulação desejada.</w:t>
      </w:r>
    </w:p>
    <w:p w14:paraId="15B51CEB" w14:textId="5AE47C94" w:rsidR="00D3608B" w:rsidRPr="00EA16B0" w:rsidRDefault="00D3608B" w:rsidP="003A7871">
      <w:pPr>
        <w:pStyle w:val="Ttulo4"/>
        <w:numPr>
          <w:ilvl w:val="3"/>
          <w:numId w:val="1"/>
        </w:numPr>
        <w:rPr>
          <w:rFonts w:asciiTheme="majorHAnsi" w:hAnsiTheme="majorHAnsi" w:cstheme="majorHAnsi"/>
          <w:lang w:eastAsia="pt-BR"/>
        </w:rPr>
      </w:pPr>
      <w:r w:rsidRPr="00EA16B0">
        <w:rPr>
          <w:rFonts w:asciiTheme="majorHAnsi" w:hAnsiTheme="majorHAnsi" w:cstheme="majorHAnsi"/>
          <w:lang w:eastAsia="pt-BR"/>
        </w:rPr>
        <w:lastRenderedPageBreak/>
        <w:t>Ação 4: Mecanismo diferenciado de seleção</w:t>
      </w:r>
    </w:p>
    <w:p w14:paraId="60232E13" w14:textId="77777777" w:rsidR="00D3608B" w:rsidRPr="00EA16B0" w:rsidRDefault="00D3608B" w:rsidP="009C4E6E">
      <w:pPr>
        <w:spacing w:line="360" w:lineRule="auto"/>
        <w:ind w:firstLine="709"/>
        <w:jc w:val="both"/>
        <w:rPr>
          <w:rFonts w:asciiTheme="majorHAnsi" w:hAnsiTheme="majorHAnsi" w:cstheme="majorHAnsi"/>
          <w:sz w:val="24"/>
          <w:szCs w:val="24"/>
          <w:lang w:eastAsia="pt-BR"/>
        </w:rPr>
      </w:pPr>
      <w:r w:rsidRPr="00EA16B0">
        <w:rPr>
          <w:rFonts w:asciiTheme="majorHAnsi" w:hAnsiTheme="majorHAnsi" w:cstheme="majorHAnsi"/>
          <w:sz w:val="24"/>
          <w:szCs w:val="24"/>
          <w:lang w:eastAsia="pt-BR"/>
        </w:rPr>
        <w:t xml:space="preserve">Estabelecimento de critérios que passem, por exemplo, por um treinamento do que se espera para a atividade docente e que seja finalizado por uma avaliação significativa, sem obrigatoriamente a tradicional aula didática expositiva ou o projeto de pesquisa que pode ser apenas a extensão do que já é praticado e não obrigatoriamente ser condizente com as ações previstas para a </w:t>
      </w:r>
      <w:proofErr w:type="spellStart"/>
      <w:r w:rsidRPr="00EA16B0">
        <w:rPr>
          <w:rFonts w:asciiTheme="majorHAnsi" w:hAnsiTheme="majorHAnsi" w:cstheme="majorHAnsi"/>
          <w:sz w:val="24"/>
          <w:szCs w:val="24"/>
          <w:lang w:eastAsia="pt-BR"/>
        </w:rPr>
        <w:t>UnDF</w:t>
      </w:r>
      <w:proofErr w:type="spellEnd"/>
      <w:r w:rsidRPr="00EA16B0">
        <w:rPr>
          <w:rFonts w:asciiTheme="majorHAnsi" w:hAnsiTheme="majorHAnsi" w:cstheme="majorHAnsi"/>
          <w:sz w:val="24"/>
          <w:szCs w:val="24"/>
          <w:lang w:eastAsia="pt-BR"/>
        </w:rPr>
        <w:t>.</w:t>
      </w:r>
    </w:p>
    <w:p w14:paraId="40AB6C6A" w14:textId="52DD89EF" w:rsidR="00D3608B" w:rsidRPr="00EA16B0" w:rsidRDefault="00D3608B" w:rsidP="003A7871">
      <w:pPr>
        <w:pStyle w:val="Ttulo4"/>
        <w:numPr>
          <w:ilvl w:val="3"/>
          <w:numId w:val="1"/>
        </w:numPr>
        <w:rPr>
          <w:rFonts w:asciiTheme="majorHAnsi" w:hAnsiTheme="majorHAnsi" w:cstheme="majorHAnsi"/>
          <w:lang w:eastAsia="pt-BR"/>
        </w:rPr>
      </w:pPr>
      <w:r w:rsidRPr="00EA16B0">
        <w:rPr>
          <w:rFonts w:asciiTheme="majorHAnsi" w:hAnsiTheme="majorHAnsi" w:cstheme="majorHAnsi"/>
          <w:lang w:eastAsia="pt-BR"/>
        </w:rPr>
        <w:t>Período probatório efetivo</w:t>
      </w:r>
    </w:p>
    <w:p w14:paraId="0B6AEC5D" w14:textId="54C0D1C0" w:rsidR="00D3608B" w:rsidRPr="00EA16B0" w:rsidRDefault="00D3608B" w:rsidP="009C4E6E">
      <w:pPr>
        <w:spacing w:line="360" w:lineRule="auto"/>
        <w:ind w:firstLine="709"/>
        <w:jc w:val="both"/>
        <w:rPr>
          <w:rFonts w:asciiTheme="majorHAnsi" w:hAnsiTheme="majorHAnsi" w:cstheme="majorHAnsi"/>
          <w:sz w:val="24"/>
          <w:szCs w:val="24"/>
          <w:lang w:eastAsia="pt-BR"/>
        </w:rPr>
      </w:pPr>
      <w:r w:rsidRPr="00EA16B0">
        <w:rPr>
          <w:rFonts w:asciiTheme="majorHAnsi" w:hAnsiTheme="majorHAnsi" w:cstheme="majorHAnsi"/>
          <w:sz w:val="24"/>
          <w:szCs w:val="24"/>
          <w:lang w:eastAsia="pt-BR"/>
        </w:rPr>
        <w:t>Estabelecer um período probatório que demonstre que o docente estará efetivamente integrado aos princípios e às ações institucionais de modo a dar continuidade e fazer evoluir os processos inovadores que estão sendo previstos para a sua implantação. Isso também dificulta — ou mesmo impede — que um docente que não se integre ou que não participe das políticas institucionais se perpetue por 35 a 40 anos de atividades muitas vezes voltadas apenas para seu próprio desenvolvimento.</w:t>
      </w:r>
    </w:p>
    <w:p w14:paraId="043B9582" w14:textId="77777777" w:rsidR="009C4E6E" w:rsidRPr="00EA16B0" w:rsidRDefault="009C4E6E" w:rsidP="009C4E6E">
      <w:pPr>
        <w:spacing w:line="360" w:lineRule="auto"/>
        <w:ind w:firstLine="709"/>
        <w:jc w:val="both"/>
        <w:rPr>
          <w:rFonts w:asciiTheme="majorHAnsi" w:hAnsiTheme="majorHAnsi" w:cstheme="majorHAnsi"/>
          <w:sz w:val="24"/>
          <w:szCs w:val="24"/>
          <w:lang w:eastAsia="pt-BR"/>
        </w:rPr>
      </w:pPr>
    </w:p>
    <w:p w14:paraId="1FFA54B3" w14:textId="08C520F8" w:rsidR="00D3608B" w:rsidRPr="00EA16B0" w:rsidRDefault="00D3608B" w:rsidP="003A7871">
      <w:pPr>
        <w:pStyle w:val="Ttulo2"/>
        <w:numPr>
          <w:ilvl w:val="1"/>
          <w:numId w:val="1"/>
        </w:numPr>
        <w:tabs>
          <w:tab w:val="clear" w:pos="1615"/>
        </w:tabs>
        <w:spacing w:before="0" w:after="0" w:line="360" w:lineRule="auto"/>
        <w:ind w:left="993" w:hanging="576"/>
        <w:rPr>
          <w:rFonts w:asciiTheme="majorHAnsi" w:hAnsiTheme="majorHAnsi" w:cstheme="majorHAnsi"/>
        </w:rPr>
      </w:pPr>
      <w:bookmarkStart w:id="71" w:name="_Toc102319400"/>
      <w:r w:rsidRPr="00EA16B0">
        <w:rPr>
          <w:rFonts w:asciiTheme="majorHAnsi" w:hAnsiTheme="majorHAnsi" w:cstheme="majorHAnsi"/>
        </w:rPr>
        <w:t>AMPLIAÇÃO DA OFERTA DE CURSOS SUPERIORES</w:t>
      </w:r>
      <w:bookmarkEnd w:id="71"/>
    </w:p>
    <w:p w14:paraId="6190113F"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Nesse primeiro movimento de implantação da </w:t>
      </w:r>
      <w:proofErr w:type="spellStart"/>
      <w:r w:rsidRPr="00EA16B0">
        <w:rPr>
          <w:rFonts w:asciiTheme="majorHAnsi" w:hAnsiTheme="majorHAnsi" w:cstheme="majorHAnsi"/>
          <w:sz w:val="24"/>
          <w:szCs w:val="24"/>
        </w:rPr>
        <w:t>UnDF</w:t>
      </w:r>
      <w:proofErr w:type="spellEnd"/>
      <w:r w:rsidRPr="00EA16B0">
        <w:rPr>
          <w:rFonts w:asciiTheme="majorHAnsi" w:hAnsiTheme="majorHAnsi" w:cstheme="majorHAnsi"/>
          <w:sz w:val="24"/>
          <w:szCs w:val="24"/>
        </w:rPr>
        <w:t>, foi acertadamente escolhida a área das Tecnologia da Informação para garantir a formação de profissionais necessários ao pleno desenvolvimento da sociedade moderna. Além do crescimento e da diversificação da oferta de cursos na área, espera-se que isso também ocorra nas áreas da saúde, de humanidades e da formação de professores, que também têm cursos de extrema importância para esse mesmo desenvolvimento social citado.</w:t>
      </w:r>
    </w:p>
    <w:p w14:paraId="6EF27CE5" w14:textId="015BF797" w:rsidR="00D3608B" w:rsidRPr="00EA16B0" w:rsidRDefault="00751777" w:rsidP="003A7871">
      <w:pPr>
        <w:pStyle w:val="Ttulo3"/>
        <w:numPr>
          <w:ilvl w:val="2"/>
          <w:numId w:val="1"/>
        </w:numPr>
        <w:ind w:left="709" w:hanging="709"/>
        <w:rPr>
          <w:rFonts w:asciiTheme="majorHAnsi" w:hAnsiTheme="majorHAnsi" w:cstheme="majorHAnsi"/>
        </w:rPr>
      </w:pPr>
      <w:bookmarkStart w:id="72" w:name="_Toc102319401"/>
      <w:r w:rsidRPr="00EA16B0">
        <w:rPr>
          <w:rFonts w:asciiTheme="majorHAnsi" w:hAnsiTheme="majorHAnsi" w:cstheme="majorHAnsi"/>
        </w:rPr>
        <w:t>POLÍTICAS PARA A FORMAÇÃO DE PROFESSORES</w:t>
      </w:r>
      <w:bookmarkEnd w:id="72"/>
    </w:p>
    <w:p w14:paraId="67AE4351"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Essa área, com certeza, deverá ser motivo de uma cuidadosa análise por parte da </w:t>
      </w:r>
      <w:proofErr w:type="spellStart"/>
      <w:r w:rsidRPr="00EA16B0">
        <w:rPr>
          <w:rFonts w:asciiTheme="majorHAnsi" w:hAnsiTheme="majorHAnsi" w:cstheme="majorHAnsi"/>
          <w:sz w:val="24"/>
          <w:szCs w:val="24"/>
        </w:rPr>
        <w:t>UnDF</w:t>
      </w:r>
      <w:proofErr w:type="spellEnd"/>
      <w:r w:rsidRPr="00EA16B0">
        <w:rPr>
          <w:rFonts w:asciiTheme="majorHAnsi" w:hAnsiTheme="majorHAnsi" w:cstheme="majorHAnsi"/>
          <w:sz w:val="24"/>
          <w:szCs w:val="24"/>
        </w:rPr>
        <w:t xml:space="preserve"> já que sua ligação com a Secretaria de Estado da Educação Distrital aumenta sua responsabilidade na formação de professores que possam contribuir para a melhoria da qualidade do ensino distrital e regional.</w:t>
      </w:r>
    </w:p>
    <w:p w14:paraId="23596A72"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O PNE aprovado pela Lei n. 13.005/2014 estabelece, em sua meta 15, conforme consta no 3.</w:t>
      </w:r>
      <w:r w:rsidRPr="00EA16B0">
        <w:rPr>
          <w:rFonts w:asciiTheme="majorHAnsi" w:hAnsiTheme="majorHAnsi" w:cstheme="majorHAnsi"/>
          <w:sz w:val="24"/>
          <w:szCs w:val="24"/>
          <w:vertAlign w:val="superscript"/>
        </w:rPr>
        <w:t>o</w:t>
      </w:r>
      <w:r w:rsidRPr="00EA16B0">
        <w:rPr>
          <w:rFonts w:asciiTheme="majorHAnsi" w:hAnsiTheme="majorHAnsi" w:cstheme="majorHAnsi"/>
          <w:sz w:val="24"/>
          <w:szCs w:val="24"/>
        </w:rPr>
        <w:t xml:space="preserve"> Relatório do Terceiro ciclo de Monitoramento das Metas do PNE:</w:t>
      </w:r>
    </w:p>
    <w:p w14:paraId="38556018" w14:textId="77777777" w:rsidR="00D3608B" w:rsidRPr="00EA16B0" w:rsidRDefault="00D3608B" w:rsidP="00D3608B">
      <w:pPr>
        <w:tabs>
          <w:tab w:val="clear" w:pos="1615"/>
        </w:tabs>
        <w:autoSpaceDE w:val="0"/>
        <w:autoSpaceDN w:val="0"/>
        <w:adjustRightInd w:val="0"/>
        <w:spacing w:after="60"/>
        <w:ind w:left="2268" w:right="849"/>
        <w:jc w:val="both"/>
        <w:rPr>
          <w:rFonts w:asciiTheme="majorHAnsi" w:hAnsiTheme="majorHAnsi" w:cstheme="majorHAnsi"/>
          <w:sz w:val="20"/>
          <w:szCs w:val="20"/>
        </w:rPr>
      </w:pPr>
      <w:r w:rsidRPr="00EA16B0">
        <w:rPr>
          <w:rFonts w:asciiTheme="majorHAnsi" w:hAnsiTheme="majorHAnsi" w:cstheme="majorHAnsi"/>
          <w:sz w:val="20"/>
          <w:szCs w:val="20"/>
        </w:rPr>
        <w:lastRenderedPageBreak/>
        <w:t xml:space="preserve">A Meta 15 do Plano Nacional de Educação (PNE) objetiva assegurar que todos os professores da educação básica possuam formação específica de nível superior, obtida em curso de licenciatura na área de conhecimento em que atuam. Para tanto, assevera que seja garantida uma política nacional de formação dos profissionais da educação em regime </w:t>
      </w:r>
      <w:r w:rsidRPr="00EA16B0">
        <w:rPr>
          <w:rFonts w:asciiTheme="majorHAnsi" w:hAnsiTheme="majorHAnsi" w:cstheme="majorHAnsi"/>
          <w:spacing w:val="-2"/>
          <w:sz w:val="20"/>
          <w:szCs w:val="20"/>
        </w:rPr>
        <w:t>de colaboração entre a União, os estados, o Distrito Federal e os municípios. Para monitorar essa meta, elegeram-se indicadores concernentes a cada etapa da educação básica:</w:t>
      </w:r>
    </w:p>
    <w:p w14:paraId="3E5459E7" w14:textId="77777777" w:rsidR="00D3608B" w:rsidRPr="00EA16B0" w:rsidRDefault="00D3608B" w:rsidP="00D3608B">
      <w:pPr>
        <w:tabs>
          <w:tab w:val="clear" w:pos="1615"/>
        </w:tabs>
        <w:autoSpaceDE w:val="0"/>
        <w:autoSpaceDN w:val="0"/>
        <w:adjustRightInd w:val="0"/>
        <w:spacing w:after="60"/>
        <w:ind w:left="2268" w:right="849"/>
        <w:jc w:val="both"/>
        <w:rPr>
          <w:rFonts w:asciiTheme="majorHAnsi" w:hAnsiTheme="majorHAnsi" w:cstheme="majorHAnsi"/>
          <w:sz w:val="20"/>
          <w:szCs w:val="20"/>
        </w:rPr>
      </w:pPr>
      <w:r w:rsidRPr="00EA16B0">
        <w:rPr>
          <w:rFonts w:asciiTheme="majorHAnsi" w:hAnsiTheme="majorHAnsi" w:cstheme="majorHAnsi"/>
          <w:sz w:val="20"/>
          <w:szCs w:val="20"/>
        </w:rPr>
        <w:t>– Indicador 15A: Proporção de docências da educação infantil com professores cuja formação superior está adequada à área de conhecimento que lecionam.</w:t>
      </w:r>
    </w:p>
    <w:p w14:paraId="4509BCF2" w14:textId="77777777" w:rsidR="00D3608B" w:rsidRPr="00EA16B0" w:rsidRDefault="00D3608B" w:rsidP="00D3608B">
      <w:pPr>
        <w:tabs>
          <w:tab w:val="clear" w:pos="1615"/>
        </w:tabs>
        <w:autoSpaceDE w:val="0"/>
        <w:autoSpaceDN w:val="0"/>
        <w:adjustRightInd w:val="0"/>
        <w:spacing w:after="60"/>
        <w:ind w:left="2268" w:right="849"/>
        <w:jc w:val="both"/>
        <w:rPr>
          <w:rFonts w:asciiTheme="majorHAnsi" w:hAnsiTheme="majorHAnsi" w:cstheme="majorHAnsi"/>
          <w:sz w:val="20"/>
          <w:szCs w:val="20"/>
        </w:rPr>
      </w:pPr>
      <w:r w:rsidRPr="00EA16B0">
        <w:rPr>
          <w:rFonts w:asciiTheme="majorHAnsi" w:hAnsiTheme="majorHAnsi" w:cstheme="majorHAnsi"/>
          <w:sz w:val="20"/>
          <w:szCs w:val="20"/>
        </w:rPr>
        <w:t>– Indicador 15B: Proporção de docências dos anos iniciais do ensino fundamental com professores cuja formação superior está adequada à área de conhecimento que lecionam.</w:t>
      </w:r>
    </w:p>
    <w:p w14:paraId="21A27B70" w14:textId="77777777" w:rsidR="00D3608B" w:rsidRPr="00EA16B0" w:rsidRDefault="00D3608B" w:rsidP="00D3608B">
      <w:pPr>
        <w:tabs>
          <w:tab w:val="clear" w:pos="1615"/>
        </w:tabs>
        <w:autoSpaceDE w:val="0"/>
        <w:autoSpaceDN w:val="0"/>
        <w:adjustRightInd w:val="0"/>
        <w:spacing w:after="60"/>
        <w:ind w:left="2268" w:right="849"/>
        <w:jc w:val="both"/>
        <w:rPr>
          <w:rFonts w:asciiTheme="majorHAnsi" w:hAnsiTheme="majorHAnsi" w:cstheme="majorHAnsi"/>
          <w:sz w:val="20"/>
          <w:szCs w:val="20"/>
        </w:rPr>
      </w:pPr>
      <w:r w:rsidRPr="00EA16B0">
        <w:rPr>
          <w:rFonts w:asciiTheme="majorHAnsi" w:hAnsiTheme="majorHAnsi" w:cstheme="majorHAnsi"/>
          <w:sz w:val="20"/>
          <w:szCs w:val="20"/>
        </w:rPr>
        <w:t>– Indicador 15C: Proporção de docências dos anos finais do ensino fundamental com professores cuja formação superior está adequada à área de conhecimento que lecionam.</w:t>
      </w:r>
    </w:p>
    <w:p w14:paraId="71664443" w14:textId="08D61194" w:rsidR="00D3608B" w:rsidRPr="00EA16B0" w:rsidRDefault="00D3608B" w:rsidP="00D3608B">
      <w:pPr>
        <w:tabs>
          <w:tab w:val="clear" w:pos="1615"/>
        </w:tabs>
        <w:autoSpaceDE w:val="0"/>
        <w:autoSpaceDN w:val="0"/>
        <w:adjustRightInd w:val="0"/>
        <w:spacing w:after="240"/>
        <w:ind w:left="2268" w:right="849"/>
        <w:jc w:val="both"/>
        <w:rPr>
          <w:rFonts w:asciiTheme="majorHAnsi" w:hAnsiTheme="majorHAnsi" w:cstheme="majorHAnsi"/>
          <w:szCs w:val="20"/>
        </w:rPr>
      </w:pPr>
      <w:r w:rsidRPr="00EA16B0">
        <w:rPr>
          <w:rFonts w:asciiTheme="majorHAnsi" w:hAnsiTheme="majorHAnsi" w:cstheme="majorHAnsi"/>
          <w:sz w:val="20"/>
          <w:szCs w:val="20"/>
        </w:rPr>
        <w:t>– Indicador 15D: Proporção de docências do ensino médio com professores cuja formação superior está adequada à área de conhecimento que lecionam. (INEP, 2020b, p. 313</w:t>
      </w:r>
      <w:r w:rsidRPr="00EA16B0">
        <w:rPr>
          <w:rFonts w:asciiTheme="majorHAnsi" w:hAnsiTheme="majorHAnsi" w:cstheme="majorHAnsi"/>
          <w:szCs w:val="20"/>
        </w:rPr>
        <w:t>).</w:t>
      </w:r>
    </w:p>
    <w:p w14:paraId="176D1A9B" w14:textId="77777777" w:rsidR="009C4E6E" w:rsidRPr="00EA16B0" w:rsidRDefault="009C4E6E" w:rsidP="00D3608B">
      <w:pPr>
        <w:tabs>
          <w:tab w:val="clear" w:pos="1615"/>
        </w:tabs>
        <w:autoSpaceDE w:val="0"/>
        <w:autoSpaceDN w:val="0"/>
        <w:adjustRightInd w:val="0"/>
        <w:spacing w:after="240"/>
        <w:ind w:left="2268" w:right="849"/>
        <w:jc w:val="both"/>
        <w:rPr>
          <w:rFonts w:asciiTheme="majorHAnsi" w:hAnsiTheme="majorHAnsi" w:cstheme="majorHAnsi"/>
          <w:sz w:val="24"/>
        </w:rPr>
      </w:pPr>
    </w:p>
    <w:p w14:paraId="7B55B09A" w14:textId="77777777" w:rsidR="00D3608B" w:rsidRPr="00EA16B0" w:rsidRDefault="00D3608B" w:rsidP="00A45DA5">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Apesar de o DF ser o ente federado brasileiro de maior PIB </w:t>
      </w:r>
      <w:r w:rsidRPr="00EA16B0">
        <w:rPr>
          <w:rFonts w:asciiTheme="majorHAnsi" w:hAnsiTheme="majorHAnsi" w:cstheme="majorHAnsi"/>
          <w:i/>
          <w:iCs/>
          <w:sz w:val="24"/>
          <w:szCs w:val="24"/>
        </w:rPr>
        <w:t>per capita</w:t>
      </w:r>
      <w:r w:rsidRPr="00EA16B0">
        <w:rPr>
          <w:rFonts w:asciiTheme="majorHAnsi" w:hAnsiTheme="majorHAnsi" w:cstheme="majorHAnsi"/>
          <w:sz w:val="24"/>
          <w:szCs w:val="24"/>
        </w:rPr>
        <w:t>, sua situação com relação ao cumprimento dessa meta não é muito diferente daquela de outros estados ou apenas um pouco superior à média nacional segundo dados do relatório de monitoramento divulgado pelo INEP. Explica-se: no Brasil, o percentual de professores com formação adequada na educação infantil é de 54,8% e, no DF, 57,5% (meta 15A) e nas primeiras séries do ensino fundamental, 66,1% e 74%, respectivamente (meta 15B). Isso indica que mais de 40% dos estudantes da educação infantil do DF não têm professores com formação adequada que, nesse caso, é a Pedagogia. Também faltam pedagogos para 26% das primeiras séries do ensino fundamental distrital.</w:t>
      </w:r>
    </w:p>
    <w:p w14:paraId="2165044D" w14:textId="77777777" w:rsidR="00D3608B" w:rsidRPr="00EA16B0" w:rsidRDefault="00D3608B" w:rsidP="00A45DA5">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Nos anos finais do ensino fundamental, o país conta com 53,2% de professores com formação adequada, enquanto o DF, 75,4% (meta 15C) e, no ensino médio, a situação é semelhante, com 63,3% e 75,8%, respectivamente. Em outras palavras, a cada quatro professores que atuam no DF nas séries finais do ensino fundamental e no ensino médio, um não tem formação adequada à área em que atua.</w:t>
      </w:r>
    </w:p>
    <w:p w14:paraId="3B62B74B" w14:textId="77777777" w:rsidR="00D3608B" w:rsidRPr="00EA16B0" w:rsidRDefault="00D3608B" w:rsidP="00A45DA5">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Apesar de esses valores serem superiores à média nacional, a meta era atingir 100% de adequação logo no início da vigência do PNE, o que está longe de ser cumprido, mesmo no DF. Para se ter uma ideia, de 2013 a 2019, a adequação dos professores no DF cresceu pouco nas séries finais do ensino fundamental (73,4 e 75,4%, respectivamente) e diminuiu (!) no ensino médio, de 76,2% em 2013 para 75,8% em 2019, conforme dados de monitoramento publicados pelo INEP (INEP, 2020b).</w:t>
      </w:r>
    </w:p>
    <w:p w14:paraId="551E905C" w14:textId="77777777" w:rsidR="00D3608B" w:rsidRPr="00EA16B0" w:rsidRDefault="00D3608B" w:rsidP="00A45DA5">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lastRenderedPageBreak/>
        <w:t>O relatório citado (INEP, 2020b) mostra também a situação dos municípios e foi feito um recorte do país, indicando apenas a região do DF e cidades próximas, boa parte delas pertencente à RIDE, conforme apresentado na figura 3.1.</w:t>
      </w:r>
    </w:p>
    <w:p w14:paraId="10950AA4" w14:textId="4FA27CDB" w:rsidR="00D3608B" w:rsidRPr="00EA16B0" w:rsidRDefault="00D3608B" w:rsidP="00A45DA5">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Figura 3.1 – Percentual de adequação da formação dos professores da educação infantil (15A), séries iniciais do ensino fundamental (15B), séries finais do ensino fundamental (15C) e ensino médio (15D) na área em que atuam no Distrito Federal e municípios de seu entorno.</w:t>
      </w:r>
    </w:p>
    <w:p w14:paraId="279CC184" w14:textId="77777777" w:rsidR="009C4E6E" w:rsidRPr="00EA16B0" w:rsidRDefault="009C4E6E" w:rsidP="009C4E6E">
      <w:pPr>
        <w:spacing w:line="360" w:lineRule="auto"/>
        <w:jc w:val="both"/>
        <w:rPr>
          <w:rFonts w:asciiTheme="majorHAnsi" w:hAnsiTheme="majorHAnsi" w:cstheme="majorHAnsi"/>
          <w:sz w:val="24"/>
          <w:szCs w:val="24"/>
        </w:rPr>
      </w:pPr>
    </w:p>
    <w:p w14:paraId="40C5FAAA" w14:textId="77777777" w:rsidR="00D3608B" w:rsidRPr="00EA16B0" w:rsidRDefault="00D3608B" w:rsidP="00D3608B">
      <w:pPr>
        <w:spacing w:after="0"/>
        <w:jc w:val="both"/>
        <w:rPr>
          <w:rFonts w:asciiTheme="majorHAnsi" w:hAnsiTheme="majorHAnsi" w:cstheme="majorHAnsi"/>
        </w:rPr>
      </w:pPr>
      <w:r w:rsidRPr="00EA16B0">
        <w:rPr>
          <w:rFonts w:asciiTheme="majorHAnsi" w:hAnsiTheme="majorHAnsi" w:cstheme="majorHAnsi"/>
          <w:noProof/>
          <w:lang w:eastAsia="pt-BR"/>
        </w:rPr>
        <w:drawing>
          <wp:inline distT="0" distB="0" distL="0" distR="0" wp14:anchorId="7CFCE3E0" wp14:editId="0CBF13D2">
            <wp:extent cx="6120130" cy="1539056"/>
            <wp:effectExtent l="0" t="0" r="0" b="444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1539056"/>
                    </a:xfrm>
                    <a:prstGeom prst="rect">
                      <a:avLst/>
                    </a:prstGeom>
                    <a:noFill/>
                    <a:ln>
                      <a:noFill/>
                    </a:ln>
                  </pic:spPr>
                </pic:pic>
              </a:graphicData>
            </a:graphic>
          </wp:inline>
        </w:drawing>
      </w:r>
    </w:p>
    <w:p w14:paraId="062E115F" w14:textId="77777777" w:rsidR="00D3608B" w:rsidRPr="00EA16B0" w:rsidRDefault="00D3608B" w:rsidP="00D3608B">
      <w:pPr>
        <w:jc w:val="both"/>
        <w:rPr>
          <w:rFonts w:asciiTheme="majorHAnsi" w:hAnsiTheme="majorHAnsi" w:cstheme="majorHAnsi"/>
          <w:sz w:val="18"/>
        </w:rPr>
      </w:pPr>
      <w:r w:rsidRPr="00EA16B0">
        <w:rPr>
          <w:rFonts w:asciiTheme="majorHAnsi" w:hAnsiTheme="majorHAnsi" w:cstheme="majorHAnsi"/>
          <w:sz w:val="18"/>
        </w:rPr>
        <w:t>Fonte: Extraído do Relatório INEP (2020b, p. 318-321) pelo autor.</w:t>
      </w:r>
    </w:p>
    <w:p w14:paraId="1D82B134" w14:textId="77777777" w:rsidR="009C4E6E" w:rsidRPr="00EA16B0" w:rsidRDefault="009C4E6E" w:rsidP="009C4E6E">
      <w:pPr>
        <w:spacing w:line="360" w:lineRule="auto"/>
        <w:ind w:firstLine="709"/>
        <w:jc w:val="both"/>
        <w:rPr>
          <w:rFonts w:asciiTheme="majorHAnsi" w:hAnsiTheme="majorHAnsi" w:cstheme="majorHAnsi"/>
          <w:sz w:val="24"/>
          <w:szCs w:val="24"/>
        </w:rPr>
      </w:pPr>
    </w:p>
    <w:p w14:paraId="305D132C" w14:textId="43B8A445"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Sabe-se que no início dos anos 2000 foram realizadas ações no Distrito Federal visando à formação de professores para a educação infantil e anos iniciais do ensino fundamental e pode-se citar duas delas como mais significativas: O Programa de Iniciação de Escolarização (PIE), da Universidade de Brasília (UnB) e o Programa Professor Nota 10 do Centro Universitário de Brasília (</w:t>
      </w:r>
      <w:proofErr w:type="spellStart"/>
      <w:r w:rsidRPr="00EA16B0">
        <w:rPr>
          <w:rFonts w:asciiTheme="majorHAnsi" w:hAnsiTheme="majorHAnsi" w:cstheme="majorHAnsi"/>
          <w:sz w:val="24"/>
          <w:szCs w:val="24"/>
        </w:rPr>
        <w:t>UniCeub</w:t>
      </w:r>
      <w:proofErr w:type="spellEnd"/>
      <w:r w:rsidRPr="00EA16B0">
        <w:rPr>
          <w:rFonts w:asciiTheme="majorHAnsi" w:hAnsiTheme="majorHAnsi" w:cstheme="majorHAnsi"/>
          <w:sz w:val="24"/>
          <w:szCs w:val="24"/>
        </w:rPr>
        <w:t>) que, juntos, possibilitaram a formação de cerca de cinco mil professores em exercício no DF em curso de Pedagogia (LIMA, PEIXOTO, SILVA, 2005; RIBEIRO, 2006). Assim, apesar das informações prestadas no 3.</w:t>
      </w:r>
      <w:r w:rsidRPr="00EA16B0">
        <w:rPr>
          <w:rFonts w:asciiTheme="majorHAnsi" w:hAnsiTheme="majorHAnsi" w:cstheme="majorHAnsi"/>
          <w:sz w:val="24"/>
          <w:szCs w:val="24"/>
          <w:vertAlign w:val="superscript"/>
        </w:rPr>
        <w:t>o</w:t>
      </w:r>
      <w:r w:rsidRPr="00EA16B0">
        <w:rPr>
          <w:rFonts w:asciiTheme="majorHAnsi" w:hAnsiTheme="majorHAnsi" w:cstheme="majorHAnsi"/>
          <w:sz w:val="24"/>
          <w:szCs w:val="24"/>
        </w:rPr>
        <w:t xml:space="preserve"> ciclo de monitoramento do PNE (INEP, 2020) de que a situação do DF chega a ser parecida ou até inferior àquela de alguns municípios de seu entorno, cujo desenvolvimento socioeconômico é bem menor, quando se trata da atuação de professores polivalentes (pedagogos), será importante confirmar, junto às Secretarias de Educação da região, a efetiva necessidade dessa formação inicial.</w:t>
      </w:r>
    </w:p>
    <w:p w14:paraId="7DB55885"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Mais do que essas providências, é necessário um refinamento que antes era realizado nos ciclos de monitoramento e que certamente apontará uma grande heterogeneidade formativa para algumas áreas, como Física e Filosofia, por exemplo, consideradas as mais críticas com relação a professores nessas etapas da educação.</w:t>
      </w:r>
    </w:p>
    <w:p w14:paraId="3111E8D8" w14:textId="7777777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pacing w:val="-4"/>
          <w:sz w:val="24"/>
          <w:szCs w:val="24"/>
        </w:rPr>
        <w:lastRenderedPageBreak/>
        <w:t>Prova disso, apesar do relatório de o terceiro ciclo de monitoramento não abordar o assunto no relatório anterior</w:t>
      </w:r>
      <w:r w:rsidRPr="00EA16B0">
        <w:rPr>
          <w:rFonts w:asciiTheme="majorHAnsi" w:hAnsiTheme="majorHAnsi" w:cstheme="majorHAnsi"/>
          <w:sz w:val="24"/>
          <w:szCs w:val="24"/>
        </w:rPr>
        <w:t xml:space="preserve">, publicado em 2018, com dados de 2016, ficava clara a heterogeneidade de distribuição dos professores dos anos finais do ensino fundamental e do ensino médio (INEP, 2018). Pelo Relatório, a falta de professores nessa etapa do ensino fundamental é mais homogênea e grave, com a área de Artes (descontada Religião) com apenas 32% de formados adequadamente e a de Língua Portuguesa, com 63,7%. No ensino médio, as maiores adequações encontram-se com Biologia (79,4%), Língua portuguesa (79,3%) e Educação Física (77,4%) e as menores, com Sociologia (25,8%), Artes (39,8%), Física (41,4%) e Filosofia (43,1%), o que </w:t>
      </w:r>
      <w:r w:rsidRPr="00EA16B0">
        <w:rPr>
          <w:rFonts w:asciiTheme="majorHAnsi" w:hAnsiTheme="majorHAnsi" w:cstheme="majorHAnsi"/>
          <w:spacing w:val="-2"/>
          <w:sz w:val="24"/>
          <w:szCs w:val="24"/>
        </w:rPr>
        <w:t>indica grandes esforços a serem realizados, apesar de não serem discriminados valores para o DF (INEP, 2018).</w:t>
      </w:r>
    </w:p>
    <w:p w14:paraId="171E6A22" w14:textId="39D4CBF7" w:rsidR="00D3608B" w:rsidRPr="00EA16B0" w:rsidRDefault="00D3608B" w:rsidP="009C4E6E">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Os dados do relatório do segundo ciclo de monitoramento encontram-se descritos na figura 3.2 e representam os valores percentuais da adesão formativa em nível nacional (INEP, 2018), mostrando forte heterogeneidade entre as diferentes disciplinas, especialmente no ensino médio.</w:t>
      </w:r>
    </w:p>
    <w:p w14:paraId="33A1A5C9" w14:textId="77777777" w:rsidR="009C4E6E" w:rsidRPr="00EA16B0" w:rsidRDefault="009C4E6E" w:rsidP="009C4E6E">
      <w:pPr>
        <w:spacing w:line="360" w:lineRule="auto"/>
        <w:ind w:firstLine="709"/>
        <w:jc w:val="both"/>
        <w:rPr>
          <w:rFonts w:asciiTheme="majorHAnsi" w:hAnsiTheme="majorHAnsi" w:cstheme="majorHAnsi"/>
          <w:sz w:val="24"/>
          <w:szCs w:val="24"/>
        </w:rPr>
      </w:pPr>
    </w:p>
    <w:p w14:paraId="04DA4EA8" w14:textId="77777777" w:rsidR="00D3608B" w:rsidRPr="00EA16B0" w:rsidRDefault="00D3608B" w:rsidP="00D3608B">
      <w:pPr>
        <w:jc w:val="both"/>
        <w:rPr>
          <w:rFonts w:asciiTheme="majorHAnsi" w:hAnsiTheme="majorHAnsi" w:cstheme="majorHAnsi"/>
          <w:sz w:val="20"/>
        </w:rPr>
      </w:pPr>
      <w:r w:rsidRPr="00EA16B0">
        <w:rPr>
          <w:rFonts w:asciiTheme="majorHAnsi" w:hAnsiTheme="majorHAnsi" w:cstheme="majorHAnsi"/>
          <w:sz w:val="20"/>
        </w:rPr>
        <w:t>Figura 3.2. Percentual de adequação da formação dos professores nas diferentes disciplinas das séries finais do ensino fundamental (15C) e ensino médio (15D) na área em que atuam no país.</w:t>
      </w:r>
    </w:p>
    <w:p w14:paraId="46082E44" w14:textId="77777777" w:rsidR="00D3608B" w:rsidRPr="00EA16B0" w:rsidRDefault="00D3608B" w:rsidP="00D3608B">
      <w:pPr>
        <w:spacing w:after="0"/>
        <w:jc w:val="both"/>
        <w:rPr>
          <w:rFonts w:asciiTheme="majorHAnsi" w:hAnsiTheme="majorHAnsi" w:cstheme="majorHAnsi"/>
        </w:rPr>
      </w:pPr>
      <w:r w:rsidRPr="00EA16B0">
        <w:rPr>
          <w:rFonts w:asciiTheme="majorHAnsi" w:hAnsiTheme="majorHAnsi" w:cstheme="majorHAnsi"/>
          <w:noProof/>
          <w:lang w:eastAsia="pt-BR"/>
        </w:rPr>
        <w:drawing>
          <wp:inline distT="0" distB="0" distL="0" distR="0" wp14:anchorId="1968141E" wp14:editId="48D8788C">
            <wp:extent cx="6118871" cy="2466975"/>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63" cy="2467496"/>
                    </a:xfrm>
                    <a:prstGeom prst="rect">
                      <a:avLst/>
                    </a:prstGeom>
                    <a:noFill/>
                    <a:ln>
                      <a:noFill/>
                    </a:ln>
                  </pic:spPr>
                </pic:pic>
              </a:graphicData>
            </a:graphic>
          </wp:inline>
        </w:drawing>
      </w:r>
    </w:p>
    <w:p w14:paraId="42E3B920" w14:textId="5B61EECD" w:rsidR="00D3608B" w:rsidRPr="00EA16B0" w:rsidRDefault="00D3608B" w:rsidP="00D3608B">
      <w:pPr>
        <w:spacing w:after="120"/>
        <w:jc w:val="both"/>
        <w:rPr>
          <w:rFonts w:asciiTheme="majorHAnsi" w:hAnsiTheme="majorHAnsi" w:cstheme="majorHAnsi"/>
          <w:sz w:val="16"/>
        </w:rPr>
      </w:pPr>
      <w:r w:rsidRPr="00EA16B0">
        <w:rPr>
          <w:rFonts w:asciiTheme="majorHAnsi" w:hAnsiTheme="majorHAnsi" w:cstheme="majorHAnsi"/>
          <w:sz w:val="16"/>
        </w:rPr>
        <w:t>Fonte: Relatório do segundo ciclo de monitoramento das metas do PNE (INEP, 2018).</w:t>
      </w:r>
    </w:p>
    <w:p w14:paraId="5713260F" w14:textId="77777777" w:rsidR="009C4E6E" w:rsidRPr="00EA16B0" w:rsidRDefault="009C4E6E" w:rsidP="00D3608B">
      <w:pPr>
        <w:spacing w:after="120"/>
        <w:jc w:val="both"/>
        <w:rPr>
          <w:rFonts w:asciiTheme="majorHAnsi" w:hAnsiTheme="majorHAnsi" w:cstheme="majorHAnsi"/>
          <w:sz w:val="16"/>
        </w:rPr>
      </w:pPr>
    </w:p>
    <w:p w14:paraId="3541D2F9" w14:textId="5AD10253" w:rsidR="00D3608B" w:rsidRPr="00EA16B0" w:rsidRDefault="00751777" w:rsidP="003A7871">
      <w:pPr>
        <w:pStyle w:val="Ttulo3"/>
        <w:numPr>
          <w:ilvl w:val="2"/>
          <w:numId w:val="1"/>
        </w:numPr>
        <w:ind w:left="709" w:hanging="709"/>
        <w:rPr>
          <w:rFonts w:asciiTheme="majorHAnsi" w:hAnsiTheme="majorHAnsi" w:cstheme="majorHAnsi"/>
        </w:rPr>
      </w:pPr>
      <w:bookmarkStart w:id="73" w:name="_Toc102319402"/>
      <w:r w:rsidRPr="00EA16B0">
        <w:rPr>
          <w:rFonts w:asciiTheme="majorHAnsi" w:hAnsiTheme="majorHAnsi" w:cstheme="majorHAnsi"/>
        </w:rPr>
        <w:t>DEMAIS ÁREAS</w:t>
      </w:r>
      <w:bookmarkEnd w:id="73"/>
    </w:p>
    <w:p w14:paraId="394765D6" w14:textId="77777777" w:rsidR="00D3608B" w:rsidRPr="00EA16B0" w:rsidRDefault="00D3608B" w:rsidP="009C4E6E">
      <w:pPr>
        <w:spacing w:after="120"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Estudos com esse mesmo perfil devem ser realizados para as demais áreas, permitindo uma expansão que atenda, de forma mais significativa, as necessidades sociais do DF e entorno. Apenas para citar alguns exemplos, pode-se pensar em formações nas diferentes áreas de atuação, com vistas também ao atendimento da BNCC pela educação básica, o que requererá uma expansão da </w:t>
      </w:r>
      <w:r w:rsidRPr="00EA16B0">
        <w:rPr>
          <w:rFonts w:asciiTheme="majorHAnsi" w:hAnsiTheme="majorHAnsi" w:cstheme="majorHAnsi"/>
          <w:sz w:val="24"/>
          <w:szCs w:val="24"/>
        </w:rPr>
        <w:lastRenderedPageBreak/>
        <w:t>oferta da formação técnica e, com isso, um quadro docente ligado à mesma muito maior e, preferencialmente, com atividade profissional também fora do âmbito escolar. Assim, espera-se que haja:</w:t>
      </w:r>
    </w:p>
    <w:p w14:paraId="031A923F" w14:textId="77777777" w:rsidR="00D3608B" w:rsidRPr="00EA16B0" w:rsidRDefault="00D3608B" w:rsidP="003A7871">
      <w:pPr>
        <w:pStyle w:val="PargrafodaLista"/>
        <w:numPr>
          <w:ilvl w:val="0"/>
          <w:numId w:val="7"/>
        </w:numPr>
        <w:spacing w:line="360" w:lineRule="auto"/>
        <w:jc w:val="both"/>
        <w:rPr>
          <w:rFonts w:asciiTheme="majorHAnsi" w:hAnsiTheme="majorHAnsi" w:cstheme="majorHAnsi"/>
          <w:sz w:val="24"/>
          <w:szCs w:val="24"/>
        </w:rPr>
      </w:pPr>
      <w:r w:rsidRPr="00EA16B0">
        <w:rPr>
          <w:rFonts w:asciiTheme="majorHAnsi" w:hAnsiTheme="majorHAnsi" w:cstheme="majorHAnsi"/>
          <w:sz w:val="24"/>
          <w:szCs w:val="24"/>
        </w:rPr>
        <w:t>Na área da Educação: formação de profissionais da educação para funções não docentes.</w:t>
      </w:r>
    </w:p>
    <w:p w14:paraId="2D6923A6" w14:textId="77777777" w:rsidR="00D3608B" w:rsidRPr="00EA16B0" w:rsidRDefault="00D3608B" w:rsidP="003A7871">
      <w:pPr>
        <w:pStyle w:val="PargrafodaLista"/>
        <w:numPr>
          <w:ilvl w:val="0"/>
          <w:numId w:val="7"/>
        </w:numPr>
        <w:spacing w:line="360" w:lineRule="auto"/>
        <w:jc w:val="both"/>
        <w:rPr>
          <w:rFonts w:asciiTheme="majorHAnsi" w:hAnsiTheme="majorHAnsi" w:cstheme="majorHAnsi"/>
          <w:sz w:val="24"/>
          <w:szCs w:val="24"/>
        </w:rPr>
      </w:pPr>
      <w:r w:rsidRPr="00EA16B0">
        <w:rPr>
          <w:rFonts w:asciiTheme="majorHAnsi" w:hAnsiTheme="majorHAnsi" w:cstheme="majorHAnsi"/>
          <w:sz w:val="24"/>
          <w:szCs w:val="24"/>
        </w:rPr>
        <w:t>Na área da Saúde: formação em Psicologia, Fisioterapia, Fonoaudiologia e Educação Física.</w:t>
      </w:r>
    </w:p>
    <w:p w14:paraId="358969F4" w14:textId="77777777" w:rsidR="00D3608B" w:rsidRPr="00EA16B0" w:rsidRDefault="00D3608B" w:rsidP="003A7871">
      <w:pPr>
        <w:pStyle w:val="PargrafodaLista"/>
        <w:numPr>
          <w:ilvl w:val="0"/>
          <w:numId w:val="7"/>
        </w:numPr>
        <w:spacing w:line="360" w:lineRule="auto"/>
        <w:jc w:val="both"/>
        <w:rPr>
          <w:rFonts w:asciiTheme="majorHAnsi" w:hAnsiTheme="majorHAnsi" w:cstheme="majorHAnsi"/>
          <w:sz w:val="24"/>
          <w:szCs w:val="24"/>
        </w:rPr>
      </w:pPr>
      <w:r w:rsidRPr="00EA16B0">
        <w:rPr>
          <w:rFonts w:asciiTheme="majorHAnsi" w:hAnsiTheme="majorHAnsi" w:cstheme="majorHAnsi"/>
          <w:sz w:val="24"/>
          <w:szCs w:val="24"/>
        </w:rPr>
        <w:t>Na área das Ciências Biológicas: Ecologia, Conservação e Desenvolvimento Sustentável.</w:t>
      </w:r>
    </w:p>
    <w:p w14:paraId="73B28D87" w14:textId="77777777" w:rsidR="00D3608B" w:rsidRPr="00EA16B0" w:rsidRDefault="00D3608B" w:rsidP="003A7871">
      <w:pPr>
        <w:pStyle w:val="PargrafodaLista"/>
        <w:numPr>
          <w:ilvl w:val="0"/>
          <w:numId w:val="7"/>
        </w:numPr>
        <w:spacing w:line="360" w:lineRule="auto"/>
        <w:jc w:val="both"/>
        <w:rPr>
          <w:rFonts w:asciiTheme="majorHAnsi" w:hAnsiTheme="majorHAnsi" w:cstheme="majorHAnsi"/>
          <w:sz w:val="24"/>
          <w:szCs w:val="24"/>
        </w:rPr>
      </w:pPr>
      <w:r w:rsidRPr="00EA16B0">
        <w:rPr>
          <w:rFonts w:asciiTheme="majorHAnsi" w:hAnsiTheme="majorHAnsi" w:cstheme="majorHAnsi"/>
          <w:sz w:val="24"/>
          <w:szCs w:val="24"/>
        </w:rPr>
        <w:t>Na área das Ciências Exatas: Matemática, Física, Química e Estatística.</w:t>
      </w:r>
    </w:p>
    <w:p w14:paraId="23EC76B8" w14:textId="29DFB311" w:rsidR="00D3608B" w:rsidRPr="00EA16B0" w:rsidRDefault="00D3608B" w:rsidP="003A7871">
      <w:pPr>
        <w:pStyle w:val="PargrafodaLista"/>
        <w:numPr>
          <w:ilvl w:val="0"/>
          <w:numId w:val="7"/>
        </w:numPr>
        <w:spacing w:line="360" w:lineRule="auto"/>
        <w:jc w:val="both"/>
        <w:rPr>
          <w:rFonts w:asciiTheme="majorHAnsi" w:hAnsiTheme="majorHAnsi" w:cstheme="majorHAnsi"/>
          <w:sz w:val="24"/>
          <w:szCs w:val="24"/>
        </w:rPr>
      </w:pPr>
      <w:r w:rsidRPr="00EA16B0">
        <w:rPr>
          <w:rFonts w:asciiTheme="majorHAnsi" w:hAnsiTheme="majorHAnsi" w:cstheme="majorHAnsi"/>
          <w:sz w:val="24"/>
          <w:szCs w:val="24"/>
        </w:rPr>
        <w:t>Na área das Ciências Humanas: Serviço Social, Ciência Social, Letras (em especial Língua Inglesa e Espanhola), e especialmente, Arte e Cultura.</w:t>
      </w:r>
    </w:p>
    <w:p w14:paraId="05E55C29" w14:textId="77777777" w:rsidR="009C4E6E" w:rsidRPr="00EA16B0" w:rsidRDefault="009C4E6E" w:rsidP="009C4E6E">
      <w:pPr>
        <w:pStyle w:val="PargrafodaLista"/>
        <w:spacing w:line="360" w:lineRule="auto"/>
        <w:jc w:val="both"/>
        <w:rPr>
          <w:rFonts w:asciiTheme="majorHAnsi" w:hAnsiTheme="majorHAnsi" w:cstheme="majorHAnsi"/>
          <w:sz w:val="24"/>
          <w:szCs w:val="24"/>
        </w:rPr>
      </w:pPr>
    </w:p>
    <w:p w14:paraId="07CB5A49" w14:textId="77777777" w:rsidR="009C4E6E" w:rsidRPr="00EA16B0" w:rsidRDefault="009C4E6E" w:rsidP="009C4E6E">
      <w:pPr>
        <w:pStyle w:val="PargrafodaLista"/>
        <w:jc w:val="both"/>
        <w:rPr>
          <w:rFonts w:asciiTheme="majorHAnsi" w:hAnsiTheme="majorHAnsi" w:cstheme="majorHAnsi"/>
        </w:rPr>
      </w:pPr>
    </w:p>
    <w:p w14:paraId="4193424B" w14:textId="5687F4ED" w:rsidR="00D3608B" w:rsidRPr="00EA16B0" w:rsidRDefault="00D3608B" w:rsidP="003A7871">
      <w:pPr>
        <w:pStyle w:val="Ttulo2"/>
        <w:numPr>
          <w:ilvl w:val="1"/>
          <w:numId w:val="1"/>
        </w:numPr>
        <w:tabs>
          <w:tab w:val="clear" w:pos="1615"/>
        </w:tabs>
        <w:spacing w:before="0" w:after="0" w:line="360" w:lineRule="auto"/>
        <w:ind w:left="993" w:hanging="576"/>
        <w:rPr>
          <w:rFonts w:asciiTheme="majorHAnsi" w:hAnsiTheme="majorHAnsi" w:cstheme="majorHAnsi"/>
        </w:rPr>
      </w:pPr>
      <w:bookmarkStart w:id="74" w:name="_Toc102319403"/>
      <w:r w:rsidRPr="00EA16B0">
        <w:rPr>
          <w:rFonts w:asciiTheme="majorHAnsi" w:hAnsiTheme="majorHAnsi" w:cstheme="majorHAnsi"/>
        </w:rPr>
        <w:t>POLÍTICAS ASSOCIADAS À EXPANSÃO DA GRADUAÇÃO</w:t>
      </w:r>
      <w:bookmarkEnd w:id="74"/>
    </w:p>
    <w:p w14:paraId="4962FBBB" w14:textId="27FFFB3E" w:rsidR="00D3608B" w:rsidRPr="00EA16B0" w:rsidRDefault="00751777" w:rsidP="003A7871">
      <w:pPr>
        <w:pStyle w:val="Ttulo3"/>
        <w:numPr>
          <w:ilvl w:val="2"/>
          <w:numId w:val="1"/>
        </w:numPr>
        <w:ind w:left="709" w:hanging="709"/>
        <w:rPr>
          <w:rFonts w:asciiTheme="majorHAnsi" w:hAnsiTheme="majorHAnsi" w:cstheme="majorHAnsi"/>
        </w:rPr>
      </w:pPr>
      <w:bookmarkStart w:id="75" w:name="_Toc102319404"/>
      <w:r w:rsidRPr="00EA16B0">
        <w:rPr>
          <w:rFonts w:asciiTheme="majorHAnsi" w:hAnsiTheme="majorHAnsi" w:cstheme="majorHAnsi"/>
        </w:rPr>
        <w:t>POLÍTICA: FORMAÇÃO DE PROFESSORES PARA A EDUCAÇÃO BÁSICA</w:t>
      </w:r>
      <w:bookmarkEnd w:id="75"/>
    </w:p>
    <w:p w14:paraId="75600F85" w14:textId="77777777" w:rsidR="00D3608B" w:rsidRPr="00EA16B0" w:rsidRDefault="00D3608B" w:rsidP="00A45DA5">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A estruturação e a oferta de cursos poderiam contemplar um desenvolvimento totalmente presencial, a distância, ou híbrido, conforme será mais explorado no relatório sobre as políticas para o ensino a distância a ser ministrado pela </w:t>
      </w:r>
      <w:proofErr w:type="spellStart"/>
      <w:r w:rsidRPr="00EA16B0">
        <w:rPr>
          <w:rFonts w:asciiTheme="majorHAnsi" w:hAnsiTheme="majorHAnsi" w:cstheme="majorHAnsi"/>
          <w:sz w:val="24"/>
          <w:szCs w:val="24"/>
        </w:rPr>
        <w:t>UnDF</w:t>
      </w:r>
      <w:proofErr w:type="spellEnd"/>
      <w:r w:rsidRPr="00EA16B0">
        <w:rPr>
          <w:rFonts w:asciiTheme="majorHAnsi" w:hAnsiTheme="majorHAnsi" w:cstheme="majorHAnsi"/>
          <w:sz w:val="24"/>
          <w:szCs w:val="24"/>
        </w:rPr>
        <w:t>.</w:t>
      </w:r>
    </w:p>
    <w:p w14:paraId="01405250" w14:textId="6AFAB765"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t>Ação 1: Abertura de curso de Pedagogia</w:t>
      </w:r>
    </w:p>
    <w:p w14:paraId="1BA2773E" w14:textId="77777777" w:rsidR="00D3608B" w:rsidRPr="00EA16B0" w:rsidRDefault="00D3608B" w:rsidP="00A45DA5">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Conforme mostram os dados de acompanhamento das metas do PNE, a falta de profissionais para o ensino infantil e séries iniciais do ensino fundamental no DF justificam essa abertura. A formação, seguindo o que determinam as DCN para a área, poderia privilegiar as ações formativas para o pessoal da gestão escolar, aí incluídos diretores, coordenadores e orientadores pedagógicos.</w:t>
      </w:r>
    </w:p>
    <w:p w14:paraId="42C5577F" w14:textId="4033B996"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t>Ação 2: Abertura de cursos de licenciatura</w:t>
      </w:r>
    </w:p>
    <w:p w14:paraId="27BA7D8A" w14:textId="77777777" w:rsidR="00D3608B" w:rsidRPr="00EA16B0" w:rsidRDefault="00D3608B" w:rsidP="00A45DA5">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Conforme já ocorre em diferentes universidades, poderiam ser pensadas licenciaturas interdisciplinares que pudessem contribuir para a diminuição das desigualdades formativas dos professores que atuam nas séries finais do ensino fundamental e do ensino médio. As formações interdisciplinares (a exemplo do que ocorre na UFABC, por exemplo), poderiam ser seguidas de formações específicas, aí privilegiando as áreas de Artes, Sociologia, Filosofia e Física.</w:t>
      </w:r>
    </w:p>
    <w:p w14:paraId="386EE38F" w14:textId="022B6569"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lastRenderedPageBreak/>
        <w:t>Ação 3: Abertura de Cursos para uma segunda licenciatura</w:t>
      </w:r>
    </w:p>
    <w:p w14:paraId="111CC948" w14:textId="77777777" w:rsidR="00D3608B" w:rsidRPr="00EA16B0" w:rsidRDefault="00D3608B" w:rsidP="00A45DA5">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Poderiam ser estruturados, de modo a permitir que licenciados que já atuam em alguma área pudessem realizar essa segunda formação, a partir da oferta de cursos específicos nas áreas de menor existência de profissionais, de forma presencial ou </w:t>
      </w:r>
      <w:proofErr w:type="spellStart"/>
      <w:r w:rsidRPr="00EA16B0">
        <w:rPr>
          <w:rFonts w:asciiTheme="majorHAnsi" w:hAnsiTheme="majorHAnsi" w:cstheme="majorHAnsi"/>
          <w:sz w:val="24"/>
          <w:szCs w:val="24"/>
        </w:rPr>
        <w:t>EaD</w:t>
      </w:r>
      <w:proofErr w:type="spellEnd"/>
      <w:r w:rsidRPr="00EA16B0">
        <w:rPr>
          <w:rFonts w:asciiTheme="majorHAnsi" w:hAnsiTheme="majorHAnsi" w:cstheme="majorHAnsi"/>
          <w:sz w:val="24"/>
          <w:szCs w:val="24"/>
        </w:rPr>
        <w:t>.</w:t>
      </w:r>
    </w:p>
    <w:p w14:paraId="18628AF4" w14:textId="31F68C13" w:rsidR="00D3608B" w:rsidRPr="00EA16B0" w:rsidRDefault="00D3608B" w:rsidP="003A7871">
      <w:pPr>
        <w:pStyle w:val="Ttulo4"/>
        <w:numPr>
          <w:ilvl w:val="3"/>
          <w:numId w:val="1"/>
        </w:numPr>
        <w:rPr>
          <w:rFonts w:asciiTheme="majorHAnsi" w:hAnsiTheme="majorHAnsi" w:cstheme="majorHAnsi"/>
        </w:rPr>
      </w:pPr>
      <w:r w:rsidRPr="00EA16B0">
        <w:rPr>
          <w:rFonts w:asciiTheme="majorHAnsi" w:hAnsiTheme="majorHAnsi" w:cstheme="majorHAnsi"/>
        </w:rPr>
        <w:t>Ação 4: Abertura de cursos para complementação pedagógica</w:t>
      </w:r>
    </w:p>
    <w:p w14:paraId="1779642C" w14:textId="77777777" w:rsidR="00D3608B" w:rsidRPr="00EA16B0" w:rsidRDefault="00D3608B" w:rsidP="00A45DA5">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Estruturados para permitir que formados em cursos de bacharelado ou de tecnologia aderentes às áreas das atividades curriculares da educação básica pudessem realizar a complementação pedagógica necessária para a atuação docente. Ganham importância em função da possibilidade de formação técnica assegurada pela BNCC, em implantação no ensino médio.</w:t>
      </w:r>
    </w:p>
    <w:p w14:paraId="2704A1EF" w14:textId="3577376E" w:rsidR="00D3608B" w:rsidRPr="00EA16B0" w:rsidRDefault="00751777" w:rsidP="003A7871">
      <w:pPr>
        <w:pStyle w:val="Ttulo3"/>
        <w:numPr>
          <w:ilvl w:val="2"/>
          <w:numId w:val="1"/>
        </w:numPr>
        <w:ind w:left="709" w:hanging="709"/>
        <w:rPr>
          <w:rFonts w:asciiTheme="majorHAnsi" w:hAnsiTheme="majorHAnsi" w:cstheme="majorHAnsi"/>
        </w:rPr>
      </w:pPr>
      <w:bookmarkStart w:id="76" w:name="_Toc102319405"/>
      <w:r w:rsidRPr="00EA16B0">
        <w:rPr>
          <w:rFonts w:asciiTheme="majorHAnsi" w:hAnsiTheme="majorHAnsi" w:cstheme="majorHAnsi"/>
        </w:rPr>
        <w:t>POLÍTICA: FORMAÇÃO DE OUTROS PROFISSIONAIS PARA O DF E REGIÃO</w:t>
      </w:r>
      <w:bookmarkEnd w:id="76"/>
    </w:p>
    <w:p w14:paraId="77C51F45" w14:textId="77777777" w:rsidR="00D3608B" w:rsidRPr="00EA16B0" w:rsidRDefault="00D3608B" w:rsidP="00A45DA5">
      <w:pPr>
        <w:spacing w:line="360" w:lineRule="auto"/>
        <w:ind w:firstLine="709"/>
        <w:jc w:val="both"/>
        <w:rPr>
          <w:rFonts w:asciiTheme="majorHAnsi" w:hAnsiTheme="majorHAnsi" w:cstheme="majorHAnsi"/>
          <w:sz w:val="24"/>
          <w:szCs w:val="24"/>
        </w:rPr>
      </w:pPr>
      <w:r w:rsidRPr="00EA16B0">
        <w:rPr>
          <w:rFonts w:asciiTheme="majorHAnsi" w:hAnsiTheme="majorHAnsi" w:cstheme="majorHAnsi"/>
          <w:spacing w:val="-4"/>
          <w:sz w:val="24"/>
          <w:szCs w:val="24"/>
        </w:rPr>
        <w:t>Com a mesma lógica e levantamento das necessidades locais e regionais, a estruturação de novos cursos poderia</w:t>
      </w:r>
      <w:r w:rsidRPr="00EA16B0">
        <w:rPr>
          <w:rFonts w:asciiTheme="majorHAnsi" w:hAnsiTheme="majorHAnsi" w:cstheme="majorHAnsi"/>
          <w:sz w:val="24"/>
          <w:szCs w:val="24"/>
        </w:rPr>
        <w:t xml:space="preserve"> contemplar, em um primeiro momento, a ideia de formações disciplinares em área de maior carência de modo a permitir, de forma muito mais eficiente, a formação de quadros especializados para essas áreas.</w:t>
      </w:r>
    </w:p>
    <w:p w14:paraId="604D84EA" w14:textId="3CB7CFED" w:rsidR="00D3608B" w:rsidRPr="00EA16B0" w:rsidRDefault="00D3608B" w:rsidP="00A45DA5">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Um levantamento sobre essa falta de profissionais poderia ser realizado com o setor produtivo local e com órgãos públicos presentes no DF, contribuindo assim com uma interação mais estreita e eficaz da instituição com seu entorno.</w:t>
      </w:r>
    </w:p>
    <w:p w14:paraId="72B09DF9" w14:textId="77777777" w:rsidR="00A45DA5" w:rsidRPr="00EA16B0" w:rsidRDefault="00A45DA5" w:rsidP="00A45DA5">
      <w:pPr>
        <w:spacing w:line="360" w:lineRule="auto"/>
        <w:ind w:firstLine="709"/>
        <w:jc w:val="both"/>
        <w:rPr>
          <w:rFonts w:asciiTheme="majorHAnsi" w:hAnsiTheme="majorHAnsi" w:cstheme="majorHAnsi"/>
          <w:sz w:val="24"/>
          <w:szCs w:val="24"/>
        </w:rPr>
      </w:pPr>
    </w:p>
    <w:p w14:paraId="18F0DFC0" w14:textId="72B567AF" w:rsidR="00D3608B" w:rsidRPr="00EA16B0" w:rsidRDefault="00D3608B" w:rsidP="003A7871">
      <w:pPr>
        <w:pStyle w:val="Ttulo2"/>
        <w:numPr>
          <w:ilvl w:val="1"/>
          <w:numId w:val="1"/>
        </w:numPr>
        <w:tabs>
          <w:tab w:val="clear" w:pos="1615"/>
        </w:tabs>
        <w:spacing w:before="0" w:after="0" w:line="360" w:lineRule="auto"/>
        <w:ind w:left="993" w:hanging="576"/>
        <w:rPr>
          <w:rFonts w:asciiTheme="majorHAnsi" w:hAnsiTheme="majorHAnsi" w:cstheme="majorHAnsi"/>
        </w:rPr>
      </w:pPr>
      <w:bookmarkStart w:id="77" w:name="_Toc102319406"/>
      <w:r w:rsidRPr="00EA16B0">
        <w:rPr>
          <w:rFonts w:asciiTheme="majorHAnsi" w:hAnsiTheme="majorHAnsi" w:cstheme="majorHAnsi"/>
        </w:rPr>
        <w:t>PÓS-GRADUAÇÃO</w:t>
      </w:r>
      <w:bookmarkEnd w:id="77"/>
    </w:p>
    <w:p w14:paraId="6BC47AF3" w14:textId="77777777" w:rsidR="00D3608B" w:rsidRPr="00EA16B0" w:rsidRDefault="00D3608B" w:rsidP="00A45DA5">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A Pós-graduação se desenvolve a partir de uma outra lógica e motivação, seja para a participação de cursos de aperfeiçoamento ou especialização, seja nos programas de mestrado e doutorado.</w:t>
      </w:r>
    </w:p>
    <w:p w14:paraId="6BADB0F0" w14:textId="77777777" w:rsidR="00D3608B" w:rsidRPr="00EA16B0" w:rsidRDefault="00D3608B" w:rsidP="00A45DA5">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De uma certa forma, quando um estudante ingressa em curso de especialização, deve desenvolver um projeto que será seu trabalho de conclusão ou monografia. No mestrado esse papel é feito pela dissertação e, no doutorado, pela tese. Assim, fica muito mais tranquila a realização de metodologias que privilegiem o protagonismo do aluno na produção do seu próprio conhecimento, já que isso é mais “permitido” e esperado nas atividades de pós-graduação.</w:t>
      </w:r>
    </w:p>
    <w:p w14:paraId="0169E05A" w14:textId="77777777" w:rsidR="00D3608B" w:rsidRPr="00EA16B0" w:rsidRDefault="00D3608B" w:rsidP="00A45DA5">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lastRenderedPageBreak/>
        <w:t xml:space="preserve">Muitos programas </w:t>
      </w:r>
      <w:r w:rsidRPr="00EA16B0">
        <w:rPr>
          <w:rFonts w:asciiTheme="majorHAnsi" w:hAnsiTheme="majorHAnsi" w:cstheme="majorHAnsi"/>
          <w:i/>
          <w:sz w:val="24"/>
          <w:szCs w:val="24"/>
        </w:rPr>
        <w:t>stricto sensu</w:t>
      </w:r>
      <w:r w:rsidRPr="00EA16B0">
        <w:rPr>
          <w:rFonts w:asciiTheme="majorHAnsi" w:hAnsiTheme="majorHAnsi" w:cstheme="majorHAnsi"/>
          <w:sz w:val="24"/>
          <w:szCs w:val="24"/>
        </w:rPr>
        <w:t xml:space="preserve"> utilizam o que comumente é denominado “exame de qualificação” para que uma banca possa questionar o projeto e contribuir para seu enriquecimento e viabilização, o que corresponderia à avaliação intermediária que está sendo sugerida para os projetos nos cursos de graduação. Nas disciplinas obrigatórias também se utiliza Metodologias Ativas de Aprendizagem, seja na realização de seminários, seja na revisão de temas aderentes ao projeto de dissertação ou tese.</w:t>
      </w:r>
    </w:p>
    <w:p w14:paraId="55D0853B" w14:textId="77777777" w:rsidR="00D3608B" w:rsidRPr="00EA16B0" w:rsidRDefault="00D3608B" w:rsidP="00A45DA5">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Desse modo, um estudante formado em curso de graduação nos moldes em que está sendo proposto para a </w:t>
      </w:r>
      <w:proofErr w:type="spellStart"/>
      <w:r w:rsidRPr="00EA16B0">
        <w:rPr>
          <w:rFonts w:asciiTheme="majorHAnsi" w:hAnsiTheme="majorHAnsi" w:cstheme="majorHAnsi"/>
          <w:sz w:val="24"/>
          <w:szCs w:val="24"/>
        </w:rPr>
        <w:t>UnDF</w:t>
      </w:r>
      <w:proofErr w:type="spellEnd"/>
      <w:r w:rsidRPr="00EA16B0">
        <w:rPr>
          <w:rFonts w:asciiTheme="majorHAnsi" w:hAnsiTheme="majorHAnsi" w:cstheme="majorHAnsi"/>
          <w:sz w:val="24"/>
          <w:szCs w:val="24"/>
        </w:rPr>
        <w:t xml:space="preserve"> não terá a menor dificuldade para acompanhar um programa dessa natureza e poderá, em vários casos, aproveitar parte do que desenvolveu em seu(s) projeto(s) de curso para o desenvolvimento de sua dissertação, por exemplo. Com isso, o próprio programa poderá ficar mais focado no desenvolvimento de outras habilidades menos trabalhadas na graduação, como a liderança de equipes, a comunicação e </w:t>
      </w:r>
      <w:proofErr w:type="spellStart"/>
      <w:r w:rsidRPr="00EA16B0">
        <w:rPr>
          <w:rFonts w:asciiTheme="majorHAnsi" w:hAnsiTheme="majorHAnsi" w:cstheme="majorHAnsi"/>
          <w:sz w:val="24"/>
          <w:szCs w:val="24"/>
        </w:rPr>
        <w:t>a</w:t>
      </w:r>
      <w:proofErr w:type="spellEnd"/>
      <w:r w:rsidRPr="00EA16B0">
        <w:rPr>
          <w:rFonts w:asciiTheme="majorHAnsi" w:hAnsiTheme="majorHAnsi" w:cstheme="majorHAnsi"/>
          <w:sz w:val="24"/>
          <w:szCs w:val="24"/>
        </w:rPr>
        <w:t xml:space="preserve"> docência, que são competências esperadas para esses profissionais, mesmo que sua atuação não seja voltada para o ensino. Isso é ainda mais reforçado quando a aprendizagem e a produção de conhecimento se dão a partir de projetos, cujo desenvolvimento deverá ser realizado numa instituição de ensino, num órgão público, privado ou em uma empresa, qualquer que seja seu porte ou finalidade.</w:t>
      </w:r>
    </w:p>
    <w:p w14:paraId="3B940C8A" w14:textId="67DA5409" w:rsidR="00D3608B" w:rsidRPr="00EA16B0" w:rsidRDefault="00D3608B" w:rsidP="00A45DA5">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Assim, essa mesma concepção deverá permear os projetos pedagógicos dos demais cursos oferecidos pela Instituição, como os de aperfeiçoamento ou especialização na pós-graduação </w:t>
      </w:r>
      <w:r w:rsidRPr="00EA16B0">
        <w:rPr>
          <w:rFonts w:asciiTheme="majorHAnsi" w:hAnsiTheme="majorHAnsi" w:cstheme="majorHAnsi"/>
          <w:i/>
          <w:sz w:val="24"/>
          <w:szCs w:val="24"/>
        </w:rPr>
        <w:t xml:space="preserve">lato sensu, </w:t>
      </w:r>
      <w:r w:rsidRPr="00EA16B0">
        <w:rPr>
          <w:rFonts w:asciiTheme="majorHAnsi" w:hAnsiTheme="majorHAnsi" w:cstheme="majorHAnsi"/>
          <w:sz w:val="24"/>
          <w:szCs w:val="24"/>
        </w:rPr>
        <w:t>e para os programas de mestrado e doutorado, conforme já salientado. Para isso, a estruturação das atividades curriculares deve ser feita de modo a permitir o desenvolvimento por projetos ou levar a problematizações que possam gerar esse desenvolvimento.</w:t>
      </w:r>
    </w:p>
    <w:p w14:paraId="3DD6DCCC" w14:textId="77777777" w:rsidR="00A45DA5" w:rsidRPr="00EA16B0" w:rsidRDefault="00A45DA5" w:rsidP="00A45DA5">
      <w:pPr>
        <w:spacing w:line="360" w:lineRule="auto"/>
        <w:ind w:firstLine="709"/>
        <w:jc w:val="both"/>
        <w:rPr>
          <w:rFonts w:asciiTheme="majorHAnsi" w:hAnsiTheme="majorHAnsi" w:cstheme="majorHAnsi"/>
          <w:sz w:val="24"/>
          <w:szCs w:val="24"/>
        </w:rPr>
      </w:pPr>
    </w:p>
    <w:p w14:paraId="39B1E2D9" w14:textId="76E15DCA" w:rsidR="00D3608B" w:rsidRPr="00EA16B0" w:rsidRDefault="00A45DA5" w:rsidP="003A7871">
      <w:pPr>
        <w:pStyle w:val="Ttulo2"/>
        <w:numPr>
          <w:ilvl w:val="1"/>
          <w:numId w:val="1"/>
        </w:numPr>
        <w:tabs>
          <w:tab w:val="clear" w:pos="1615"/>
        </w:tabs>
        <w:spacing w:before="0" w:after="0" w:line="360" w:lineRule="auto"/>
        <w:ind w:left="993" w:hanging="576"/>
        <w:rPr>
          <w:rFonts w:asciiTheme="majorHAnsi" w:hAnsiTheme="majorHAnsi" w:cstheme="majorHAnsi"/>
        </w:rPr>
      </w:pPr>
      <w:bookmarkStart w:id="78" w:name="_Toc102319407"/>
      <w:r w:rsidRPr="00EA16B0">
        <w:rPr>
          <w:rFonts w:asciiTheme="majorHAnsi" w:hAnsiTheme="majorHAnsi" w:cstheme="majorHAnsi"/>
        </w:rPr>
        <w:t xml:space="preserve"> </w:t>
      </w:r>
      <w:r w:rsidR="00D3608B" w:rsidRPr="00EA16B0">
        <w:rPr>
          <w:rFonts w:asciiTheme="majorHAnsi" w:hAnsiTheme="majorHAnsi" w:cstheme="majorHAnsi"/>
        </w:rPr>
        <w:t xml:space="preserve">ORGANIZAÇÃO DAS POLÍTICAS DE PÓS-GRADUAÇÃO DA </w:t>
      </w:r>
      <w:proofErr w:type="spellStart"/>
      <w:r w:rsidR="00D3608B" w:rsidRPr="00EA16B0">
        <w:rPr>
          <w:rFonts w:asciiTheme="majorHAnsi" w:hAnsiTheme="majorHAnsi" w:cstheme="majorHAnsi"/>
        </w:rPr>
        <w:t>UnDF</w:t>
      </w:r>
      <w:bookmarkEnd w:id="78"/>
      <w:proofErr w:type="spellEnd"/>
    </w:p>
    <w:p w14:paraId="78587B11" w14:textId="77777777" w:rsidR="00D3608B" w:rsidRPr="00EA16B0" w:rsidRDefault="00D3608B" w:rsidP="00A45DA5">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A </w:t>
      </w:r>
      <w:proofErr w:type="spellStart"/>
      <w:r w:rsidRPr="00EA16B0">
        <w:rPr>
          <w:rFonts w:asciiTheme="majorHAnsi" w:hAnsiTheme="majorHAnsi" w:cstheme="majorHAnsi"/>
          <w:sz w:val="24"/>
          <w:szCs w:val="24"/>
        </w:rPr>
        <w:t>UnDF</w:t>
      </w:r>
      <w:proofErr w:type="spellEnd"/>
      <w:r w:rsidRPr="00EA16B0">
        <w:rPr>
          <w:rFonts w:asciiTheme="majorHAnsi" w:hAnsiTheme="majorHAnsi" w:cstheme="majorHAnsi"/>
          <w:sz w:val="24"/>
          <w:szCs w:val="24"/>
        </w:rPr>
        <w:t xml:space="preserve"> já conta com algumas especializações e com três programas de mestrado na área da saúde. O desafio, portanto, é estabelecer ações que possibilitem o desenvolvimento de cursos e de programas em outras áreas do conhecimento como determina a Lei de Criação da Universidade, aprofundando também a abrangência da oferta atual para a formação de doutores.</w:t>
      </w:r>
    </w:p>
    <w:p w14:paraId="75762C04" w14:textId="77777777" w:rsidR="00D3608B" w:rsidRPr="00EA16B0" w:rsidRDefault="00D3608B" w:rsidP="00A45DA5">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Mais do que estabelecer se os programas serão estruturados para credenciamento como mestrados e doutorados profissionais ou acadêmicos, é importante garantir uma concepção </w:t>
      </w:r>
      <w:proofErr w:type="spellStart"/>
      <w:r w:rsidRPr="00EA16B0">
        <w:rPr>
          <w:rFonts w:asciiTheme="majorHAnsi" w:hAnsiTheme="majorHAnsi" w:cstheme="majorHAnsi"/>
          <w:sz w:val="24"/>
          <w:szCs w:val="24"/>
        </w:rPr>
        <w:t>inter</w:t>
      </w:r>
      <w:proofErr w:type="spellEnd"/>
      <w:r w:rsidRPr="00EA16B0">
        <w:rPr>
          <w:rFonts w:asciiTheme="majorHAnsi" w:hAnsiTheme="majorHAnsi" w:cstheme="majorHAnsi"/>
          <w:sz w:val="24"/>
          <w:szCs w:val="24"/>
        </w:rPr>
        <w:t xml:space="preserve"> e transdisciplinar de sua abrangência, em conformidade com o que se espera também na graduação.</w:t>
      </w:r>
    </w:p>
    <w:p w14:paraId="51838492" w14:textId="77777777" w:rsidR="00D3608B" w:rsidRPr="00EA16B0" w:rsidRDefault="00D3608B" w:rsidP="00A45DA5">
      <w:pPr>
        <w:spacing w:line="360" w:lineRule="auto"/>
        <w:ind w:firstLine="709"/>
        <w:jc w:val="both"/>
        <w:rPr>
          <w:rFonts w:asciiTheme="majorHAnsi" w:eastAsia="Times New Roman" w:hAnsiTheme="majorHAnsi" w:cstheme="majorHAnsi"/>
          <w:color w:val="000000"/>
          <w:sz w:val="24"/>
          <w:lang w:eastAsia="pt-BR"/>
        </w:rPr>
      </w:pPr>
      <w:r w:rsidRPr="00EA16B0">
        <w:rPr>
          <w:rFonts w:asciiTheme="majorHAnsi" w:hAnsiTheme="majorHAnsi" w:cstheme="majorHAnsi"/>
          <w:sz w:val="24"/>
          <w:szCs w:val="24"/>
        </w:rPr>
        <w:lastRenderedPageBreak/>
        <w:t>Conforme estabelecido no inciso VII do Art. 2.</w:t>
      </w:r>
      <w:r w:rsidRPr="00EA16B0">
        <w:rPr>
          <w:rFonts w:asciiTheme="majorHAnsi" w:hAnsiTheme="majorHAnsi" w:cstheme="majorHAnsi"/>
          <w:sz w:val="24"/>
          <w:szCs w:val="24"/>
          <w:vertAlign w:val="superscript"/>
        </w:rPr>
        <w:t>o</w:t>
      </w:r>
      <w:r w:rsidRPr="00EA16B0">
        <w:rPr>
          <w:rFonts w:asciiTheme="majorHAnsi" w:hAnsiTheme="majorHAnsi" w:cstheme="majorHAnsi"/>
          <w:sz w:val="24"/>
          <w:szCs w:val="24"/>
        </w:rPr>
        <w:t xml:space="preserve"> da Lei n. 987/2021, a Universidade deverá “</w:t>
      </w:r>
      <w:r w:rsidRPr="00EA16B0">
        <w:rPr>
          <w:rFonts w:asciiTheme="majorHAnsi" w:eastAsia="Times New Roman" w:hAnsiTheme="majorHAnsi" w:cstheme="majorHAnsi"/>
          <w:color w:val="000000"/>
          <w:sz w:val="24"/>
          <w:lang w:eastAsia="pt-BR"/>
        </w:rPr>
        <w:t>colaborar na elaboração, planejamento e avaliação das políticas de desenvolvimento regionais, inclusive com a prestação de serviços de consultoria, assessoria e correlatos”.</w:t>
      </w:r>
    </w:p>
    <w:p w14:paraId="3D81BD44" w14:textId="77777777" w:rsidR="00D3608B" w:rsidRPr="00EA16B0" w:rsidRDefault="00D3608B" w:rsidP="00A45DA5">
      <w:pPr>
        <w:spacing w:line="360" w:lineRule="auto"/>
        <w:ind w:firstLine="709"/>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color w:val="000000"/>
          <w:sz w:val="24"/>
          <w:lang w:eastAsia="pt-BR"/>
        </w:rPr>
        <w:t>No PNE, o assunto é tratado diretamente nas metas 13, 14 e 16.</w:t>
      </w:r>
    </w:p>
    <w:p w14:paraId="3546A695" w14:textId="2A460D1E" w:rsidR="00D3608B" w:rsidRPr="00EA16B0" w:rsidRDefault="00751777" w:rsidP="003A7871">
      <w:pPr>
        <w:pStyle w:val="Ttulo3"/>
        <w:numPr>
          <w:ilvl w:val="2"/>
          <w:numId w:val="1"/>
        </w:numPr>
        <w:ind w:left="709" w:hanging="709"/>
        <w:rPr>
          <w:rFonts w:asciiTheme="majorHAnsi" w:hAnsiTheme="majorHAnsi" w:cstheme="majorHAnsi"/>
        </w:rPr>
      </w:pPr>
      <w:bookmarkStart w:id="79" w:name="_Toc102319408"/>
      <w:r w:rsidRPr="00EA16B0">
        <w:rPr>
          <w:rFonts w:asciiTheme="majorHAnsi" w:hAnsiTheme="majorHAnsi" w:cstheme="majorHAnsi"/>
        </w:rPr>
        <w:t>PARA O EXERCÍCIO DOCENTE NA PRÓPRIA INSTITUIÇÃO</w:t>
      </w:r>
      <w:bookmarkEnd w:id="79"/>
    </w:p>
    <w:p w14:paraId="7271638A" w14:textId="77777777" w:rsidR="00D3608B" w:rsidRPr="00EA16B0" w:rsidRDefault="00D3608B" w:rsidP="00A45DA5">
      <w:pPr>
        <w:spacing w:line="360" w:lineRule="auto"/>
        <w:ind w:firstLine="709"/>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color w:val="000000"/>
          <w:sz w:val="24"/>
          <w:lang w:eastAsia="pt-BR"/>
        </w:rPr>
        <w:t>O Relatório do 3.</w:t>
      </w:r>
      <w:r w:rsidRPr="00EA16B0">
        <w:rPr>
          <w:rFonts w:asciiTheme="majorHAnsi" w:eastAsia="Times New Roman" w:hAnsiTheme="majorHAnsi" w:cstheme="majorHAnsi"/>
          <w:color w:val="000000"/>
          <w:sz w:val="24"/>
          <w:vertAlign w:val="superscript"/>
          <w:lang w:eastAsia="pt-BR"/>
        </w:rPr>
        <w:t>o</w:t>
      </w:r>
      <w:r w:rsidRPr="00EA16B0">
        <w:rPr>
          <w:rFonts w:asciiTheme="majorHAnsi" w:eastAsia="Times New Roman" w:hAnsiTheme="majorHAnsi" w:cstheme="majorHAnsi"/>
          <w:color w:val="000000"/>
          <w:sz w:val="24"/>
          <w:lang w:eastAsia="pt-BR"/>
        </w:rPr>
        <w:t xml:space="preserve"> Ciclo de Monitoramento para cumprimento das metas do Plano informa que:</w:t>
      </w:r>
    </w:p>
    <w:p w14:paraId="3706FBB6" w14:textId="77777777" w:rsidR="00A45DA5" w:rsidRPr="00EA16B0" w:rsidRDefault="00A45DA5" w:rsidP="00D3608B">
      <w:pPr>
        <w:tabs>
          <w:tab w:val="clear" w:pos="1615"/>
        </w:tabs>
        <w:autoSpaceDE w:val="0"/>
        <w:autoSpaceDN w:val="0"/>
        <w:adjustRightInd w:val="0"/>
        <w:spacing w:after="60"/>
        <w:ind w:left="2268"/>
        <w:jc w:val="both"/>
        <w:rPr>
          <w:rFonts w:asciiTheme="majorHAnsi" w:hAnsiTheme="majorHAnsi" w:cstheme="majorHAnsi"/>
          <w:sz w:val="20"/>
          <w:szCs w:val="20"/>
        </w:rPr>
      </w:pPr>
    </w:p>
    <w:p w14:paraId="030494EE" w14:textId="02A60B2A" w:rsidR="00D3608B" w:rsidRPr="00EA16B0" w:rsidRDefault="00D3608B" w:rsidP="00D3608B">
      <w:pPr>
        <w:tabs>
          <w:tab w:val="clear" w:pos="1615"/>
        </w:tabs>
        <w:autoSpaceDE w:val="0"/>
        <w:autoSpaceDN w:val="0"/>
        <w:adjustRightInd w:val="0"/>
        <w:spacing w:after="60"/>
        <w:ind w:left="2268"/>
        <w:jc w:val="both"/>
        <w:rPr>
          <w:rFonts w:asciiTheme="majorHAnsi" w:hAnsiTheme="majorHAnsi" w:cstheme="majorHAnsi"/>
          <w:sz w:val="20"/>
          <w:szCs w:val="20"/>
        </w:rPr>
      </w:pPr>
      <w:r w:rsidRPr="00EA16B0">
        <w:rPr>
          <w:rFonts w:asciiTheme="majorHAnsi" w:hAnsiTheme="majorHAnsi" w:cstheme="majorHAnsi"/>
          <w:sz w:val="20"/>
          <w:szCs w:val="20"/>
        </w:rPr>
        <w:t>A Meta 13 do Plano Nacional de Educação (PNE) tem como objetivo elevar a qualidade da educação superior e ampliar a proporção de mestres e doutores em efetivo exercício na docência de nível superior, que deve atingir 75% até 2014, sendo que, no mínimo, 35% dos docentes deverão ter concluído o curso de doutorado.</w:t>
      </w:r>
    </w:p>
    <w:p w14:paraId="61D2223C" w14:textId="77777777" w:rsidR="00D3608B" w:rsidRPr="00EA16B0" w:rsidRDefault="00D3608B" w:rsidP="00D3608B">
      <w:pPr>
        <w:tabs>
          <w:tab w:val="clear" w:pos="1615"/>
        </w:tabs>
        <w:autoSpaceDE w:val="0"/>
        <w:autoSpaceDN w:val="0"/>
        <w:adjustRightInd w:val="0"/>
        <w:spacing w:after="60"/>
        <w:ind w:left="2268"/>
        <w:rPr>
          <w:rFonts w:asciiTheme="majorHAnsi" w:hAnsiTheme="majorHAnsi" w:cstheme="majorHAnsi"/>
          <w:sz w:val="20"/>
          <w:szCs w:val="20"/>
        </w:rPr>
      </w:pPr>
      <w:r w:rsidRPr="00EA16B0">
        <w:rPr>
          <w:rFonts w:asciiTheme="majorHAnsi" w:hAnsiTheme="majorHAnsi" w:cstheme="majorHAnsi"/>
          <w:sz w:val="20"/>
          <w:szCs w:val="20"/>
        </w:rPr>
        <w:t>Para o monitoramento dessa meta, definiram-se dois indicadores:</w:t>
      </w:r>
    </w:p>
    <w:p w14:paraId="55784558" w14:textId="77777777" w:rsidR="00D3608B" w:rsidRPr="00EA16B0" w:rsidRDefault="00D3608B" w:rsidP="00D3608B">
      <w:pPr>
        <w:tabs>
          <w:tab w:val="clear" w:pos="1615"/>
        </w:tabs>
        <w:autoSpaceDE w:val="0"/>
        <w:autoSpaceDN w:val="0"/>
        <w:adjustRightInd w:val="0"/>
        <w:spacing w:after="60"/>
        <w:ind w:left="2268"/>
        <w:jc w:val="both"/>
        <w:rPr>
          <w:rFonts w:asciiTheme="majorHAnsi" w:hAnsiTheme="majorHAnsi" w:cstheme="majorHAnsi"/>
          <w:spacing w:val="-2"/>
          <w:sz w:val="20"/>
          <w:szCs w:val="20"/>
        </w:rPr>
      </w:pPr>
      <w:r w:rsidRPr="00EA16B0">
        <w:rPr>
          <w:rFonts w:asciiTheme="majorHAnsi" w:hAnsiTheme="majorHAnsi" w:cstheme="majorHAnsi"/>
          <w:spacing w:val="-2"/>
          <w:sz w:val="20"/>
          <w:szCs w:val="20"/>
        </w:rPr>
        <w:t>– Indicador 13A: Percentual de docentes com mestrado ou doutorado na educação superior.</w:t>
      </w:r>
    </w:p>
    <w:p w14:paraId="020920E2" w14:textId="21F34A77" w:rsidR="00D3608B" w:rsidRPr="00EA16B0" w:rsidRDefault="00D3608B" w:rsidP="00D3608B">
      <w:pPr>
        <w:spacing w:after="120"/>
        <w:ind w:left="2268"/>
        <w:jc w:val="both"/>
        <w:rPr>
          <w:rFonts w:asciiTheme="majorHAnsi" w:hAnsiTheme="majorHAnsi" w:cstheme="majorHAnsi"/>
          <w:sz w:val="20"/>
          <w:szCs w:val="20"/>
        </w:rPr>
      </w:pPr>
      <w:r w:rsidRPr="00EA16B0">
        <w:rPr>
          <w:rFonts w:asciiTheme="majorHAnsi" w:hAnsiTheme="majorHAnsi" w:cstheme="majorHAnsi"/>
          <w:sz w:val="20"/>
          <w:szCs w:val="20"/>
        </w:rPr>
        <w:t>– Indicador 13B: Percentual de docentes com doutorado na educação superior. (INEP, 2020, p. 281).</w:t>
      </w:r>
    </w:p>
    <w:p w14:paraId="0D7C7D71" w14:textId="77777777" w:rsidR="00A45DA5" w:rsidRPr="00EA16B0" w:rsidRDefault="00A45DA5" w:rsidP="00D3608B">
      <w:pPr>
        <w:spacing w:after="120"/>
        <w:ind w:left="2268"/>
        <w:jc w:val="both"/>
        <w:rPr>
          <w:rFonts w:asciiTheme="majorHAnsi" w:eastAsia="Times New Roman" w:hAnsiTheme="majorHAnsi" w:cstheme="majorHAnsi"/>
          <w:color w:val="000000"/>
          <w:sz w:val="20"/>
          <w:szCs w:val="20"/>
          <w:lang w:eastAsia="pt-BR"/>
        </w:rPr>
      </w:pPr>
    </w:p>
    <w:p w14:paraId="333F1E66" w14:textId="77777777" w:rsidR="00D3608B" w:rsidRPr="00EA16B0" w:rsidRDefault="00D3608B" w:rsidP="00A45DA5">
      <w:pPr>
        <w:spacing w:line="360" w:lineRule="auto"/>
        <w:ind w:firstLine="709"/>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color w:val="000000"/>
          <w:sz w:val="24"/>
          <w:lang w:eastAsia="pt-BR"/>
        </w:rPr>
        <w:t xml:space="preserve">Os dados apresentados mostraram, com relação ao indicador 13ª, que o país o atingiu essa meta no ano de 2015. Apesar disso, a tabela, que contempla todos os estados e o Distrito Federal, mostra que apesar, de esse </w:t>
      </w:r>
      <w:r w:rsidRPr="00EA16B0">
        <w:rPr>
          <w:rFonts w:asciiTheme="majorHAnsi" w:eastAsia="Times New Roman" w:hAnsiTheme="majorHAnsi" w:cstheme="majorHAnsi"/>
          <w:color w:val="000000"/>
          <w:spacing w:val="-2"/>
          <w:sz w:val="24"/>
          <w:lang w:eastAsia="pt-BR"/>
        </w:rPr>
        <w:t>indicador ter atingido 81,4% no Brasil, em 2018 (dados do Censo de 2019 publicado em 2020), havia sete estados</w:t>
      </w:r>
      <w:r w:rsidRPr="00EA16B0">
        <w:rPr>
          <w:rFonts w:asciiTheme="majorHAnsi" w:eastAsia="Times New Roman" w:hAnsiTheme="majorHAnsi" w:cstheme="majorHAnsi"/>
          <w:color w:val="000000"/>
          <w:sz w:val="24"/>
          <w:lang w:eastAsia="pt-BR"/>
        </w:rPr>
        <w:t xml:space="preserve"> sem atingir o valor mínimo estabelecido (75%): Acre (68,8%), Amapá (58,5%), Rondônia (65,6%) e Tocantins </w:t>
      </w:r>
      <w:r w:rsidRPr="00EA16B0">
        <w:rPr>
          <w:rFonts w:asciiTheme="majorHAnsi" w:eastAsia="Times New Roman" w:hAnsiTheme="majorHAnsi" w:cstheme="majorHAnsi"/>
          <w:color w:val="000000"/>
          <w:spacing w:val="-2"/>
          <w:sz w:val="24"/>
          <w:lang w:eastAsia="pt-BR"/>
        </w:rPr>
        <w:t>(66,4%) na Região Norte; Maranhão (70,0%) e Alagoas (74,8%) no Nordeste; e Mato Grosso (70,8%) no Centro</w:t>
      </w:r>
      <w:r w:rsidRPr="00EA16B0">
        <w:rPr>
          <w:rFonts w:asciiTheme="majorHAnsi" w:eastAsia="Times New Roman" w:hAnsiTheme="majorHAnsi" w:cstheme="majorHAnsi"/>
          <w:color w:val="000000"/>
          <w:sz w:val="24"/>
          <w:lang w:eastAsia="pt-BR"/>
        </w:rPr>
        <w:t>-</w:t>
      </w:r>
      <w:r w:rsidRPr="00EA16B0">
        <w:rPr>
          <w:rFonts w:asciiTheme="majorHAnsi" w:eastAsia="Times New Roman" w:hAnsiTheme="majorHAnsi" w:cstheme="majorHAnsi"/>
          <w:color w:val="000000"/>
          <w:spacing w:val="-2"/>
          <w:sz w:val="24"/>
          <w:lang w:eastAsia="pt-BR"/>
        </w:rPr>
        <w:t>Oeste. No painel de indicadores (INEP, 2021), Alagoas aparece com 77,4% e, portanto, há seis estados que ainda</w:t>
      </w:r>
      <w:r w:rsidRPr="00EA16B0">
        <w:rPr>
          <w:rFonts w:asciiTheme="majorHAnsi" w:eastAsia="Times New Roman" w:hAnsiTheme="majorHAnsi" w:cstheme="majorHAnsi"/>
          <w:color w:val="000000"/>
          <w:sz w:val="24"/>
          <w:lang w:eastAsia="pt-BR"/>
        </w:rPr>
        <w:t xml:space="preserve"> </w:t>
      </w:r>
      <w:r w:rsidRPr="00EA16B0">
        <w:rPr>
          <w:rFonts w:asciiTheme="majorHAnsi" w:eastAsia="Times New Roman" w:hAnsiTheme="majorHAnsi" w:cstheme="majorHAnsi"/>
          <w:color w:val="000000"/>
          <w:spacing w:val="-2"/>
          <w:sz w:val="24"/>
          <w:lang w:eastAsia="pt-BR"/>
        </w:rPr>
        <w:t>precisam avançar para cumprimento do indicador 13A, com a média nacional atingindo 82,5% (INEP, 2021). O</w:t>
      </w:r>
      <w:r w:rsidRPr="00EA16B0">
        <w:rPr>
          <w:rFonts w:asciiTheme="majorHAnsi" w:eastAsia="Times New Roman" w:hAnsiTheme="majorHAnsi" w:cstheme="majorHAnsi"/>
          <w:color w:val="000000"/>
          <w:sz w:val="24"/>
          <w:lang w:eastAsia="pt-BR"/>
        </w:rPr>
        <w:t xml:space="preserve"> </w:t>
      </w:r>
      <w:r w:rsidRPr="00EA16B0">
        <w:rPr>
          <w:rFonts w:asciiTheme="majorHAnsi" w:eastAsia="Times New Roman" w:hAnsiTheme="majorHAnsi" w:cstheme="majorHAnsi"/>
          <w:color w:val="000000"/>
          <w:spacing w:val="-4"/>
          <w:sz w:val="24"/>
          <w:lang w:eastAsia="pt-BR"/>
        </w:rPr>
        <w:t>DF aparece nas publicações, respectivamente com 82,7% e com 82,4% e, portanto, com leve redução nesse valor.</w:t>
      </w:r>
    </w:p>
    <w:p w14:paraId="177DED8D" w14:textId="77777777" w:rsidR="00D3608B" w:rsidRPr="00EA16B0" w:rsidRDefault="00D3608B" w:rsidP="00A45DA5">
      <w:pPr>
        <w:spacing w:line="360" w:lineRule="auto"/>
        <w:ind w:firstLine="709"/>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color w:val="000000"/>
          <w:sz w:val="24"/>
          <w:lang w:eastAsia="pt-BR"/>
        </w:rPr>
        <w:t>Com relação ao Indicador 13B, do mesmo modo, o país já atingiu a meta estabelecida, mas ainda existem estados em que isso não ocorreu: Acre (33,8%), Amapá (20,8%), Amazonas (33,4%), Rondônia (23,9%) e Tocantins (31,2%) na Região Norte; Maranhão (31,0%) no Nordeste; e Mato Grosso (34,7%) no Centro-Oeste. Um ano depois, apesar de não terem sido divulgados os dados detalhados do Censo de 2020, apenas Amapá e Rondônia aparecem com valores inferiores a 35%. O DF, apresentou valores de 48,7% e 49,2% em 2018 e 2019, respectivamente (INEP 2020; 2021).</w:t>
      </w:r>
    </w:p>
    <w:p w14:paraId="550EF112" w14:textId="7BE51317" w:rsidR="00D3608B" w:rsidRPr="00EA16B0" w:rsidRDefault="00D3608B" w:rsidP="00A45DA5">
      <w:pPr>
        <w:spacing w:line="360" w:lineRule="auto"/>
        <w:ind w:firstLine="709"/>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color w:val="000000"/>
          <w:sz w:val="24"/>
          <w:lang w:eastAsia="pt-BR"/>
        </w:rPr>
        <w:lastRenderedPageBreak/>
        <w:t>Conforme esperado, esses percentuais foram maiores nas IES públicas, especialmente nas federais e estaduais, conforme mostra o item 5 do Ciclo de Monitoramento (INEP, 2020):</w:t>
      </w:r>
    </w:p>
    <w:p w14:paraId="1E1A5EA8" w14:textId="77777777" w:rsidR="00A45DA5" w:rsidRPr="00EA16B0" w:rsidRDefault="00A45DA5" w:rsidP="00A45DA5">
      <w:pPr>
        <w:spacing w:line="360" w:lineRule="auto"/>
        <w:ind w:firstLine="709"/>
        <w:jc w:val="both"/>
        <w:rPr>
          <w:rFonts w:asciiTheme="majorHAnsi" w:eastAsia="Times New Roman" w:hAnsiTheme="majorHAnsi" w:cstheme="majorHAnsi"/>
          <w:color w:val="000000"/>
          <w:sz w:val="24"/>
          <w:lang w:eastAsia="pt-BR"/>
        </w:rPr>
      </w:pPr>
    </w:p>
    <w:p w14:paraId="394317E1" w14:textId="74AE0BE6" w:rsidR="00D3608B" w:rsidRPr="00EA16B0" w:rsidRDefault="00D3608B" w:rsidP="00D3608B">
      <w:pPr>
        <w:tabs>
          <w:tab w:val="clear" w:pos="1615"/>
        </w:tabs>
        <w:autoSpaceDE w:val="0"/>
        <w:autoSpaceDN w:val="0"/>
        <w:adjustRightInd w:val="0"/>
        <w:spacing w:after="240"/>
        <w:ind w:left="2268" w:right="849"/>
        <w:jc w:val="both"/>
        <w:rPr>
          <w:rFonts w:asciiTheme="majorHAnsi" w:hAnsiTheme="majorHAnsi" w:cstheme="majorHAnsi"/>
          <w:sz w:val="20"/>
          <w:szCs w:val="20"/>
        </w:rPr>
      </w:pPr>
      <w:r w:rsidRPr="00EA16B0">
        <w:rPr>
          <w:rFonts w:asciiTheme="majorHAnsi" w:hAnsiTheme="majorHAnsi" w:cstheme="majorHAnsi"/>
          <w:sz w:val="20"/>
          <w:szCs w:val="20"/>
        </w:rPr>
        <w:t xml:space="preserve">Os maiores percentuais de docentes com mestrado ou doutorado da educação superior estavam, em 2018, nas instituições de educação superior públicas federais e estaduais e nas privadas sem fins lucrativos: 91,8%, 87,4% e 77,0%, respectivamente. Nas IES públicas municipais, privadas com fins lucrativos e especiais, esse percentual era de 73,1%, 69,0% e 63,2%, respectivamente. No percentual de docentes com doutorado, destacam-se as IES públicas federais (68,4%) e estaduais (61,2%), com resultados superiores a 30 </w:t>
      </w:r>
      <w:proofErr w:type="spellStart"/>
      <w:r w:rsidRPr="00EA16B0">
        <w:rPr>
          <w:rFonts w:asciiTheme="majorHAnsi" w:hAnsiTheme="majorHAnsi" w:cstheme="majorHAnsi"/>
          <w:sz w:val="20"/>
          <w:szCs w:val="20"/>
        </w:rPr>
        <w:t>p.p</w:t>
      </w:r>
      <w:proofErr w:type="spellEnd"/>
      <w:r w:rsidRPr="00EA16B0">
        <w:rPr>
          <w:rFonts w:asciiTheme="majorHAnsi" w:hAnsiTheme="majorHAnsi" w:cstheme="majorHAnsi"/>
          <w:sz w:val="20"/>
          <w:szCs w:val="20"/>
        </w:rPr>
        <w:t>. em relação às demais categorias: privadas sem fins lucrativos (28,6%), públicas municipais (27,0%), privadas com fins lucrativos (19,0%) e especiais (16,1%). (INEP, 2020).</w:t>
      </w:r>
    </w:p>
    <w:p w14:paraId="540B7196" w14:textId="77777777" w:rsidR="00A45DA5" w:rsidRPr="00EA16B0" w:rsidRDefault="00A45DA5" w:rsidP="00D3608B">
      <w:pPr>
        <w:tabs>
          <w:tab w:val="clear" w:pos="1615"/>
        </w:tabs>
        <w:autoSpaceDE w:val="0"/>
        <w:autoSpaceDN w:val="0"/>
        <w:adjustRightInd w:val="0"/>
        <w:spacing w:after="240"/>
        <w:ind w:left="2268" w:right="849"/>
        <w:jc w:val="both"/>
        <w:rPr>
          <w:rFonts w:asciiTheme="majorHAnsi" w:eastAsia="Times New Roman" w:hAnsiTheme="majorHAnsi" w:cstheme="majorHAnsi"/>
          <w:color w:val="000000"/>
          <w:sz w:val="20"/>
          <w:szCs w:val="20"/>
          <w:lang w:eastAsia="pt-BR"/>
        </w:rPr>
      </w:pPr>
    </w:p>
    <w:p w14:paraId="5DF7F27F" w14:textId="77777777" w:rsidR="00D3608B" w:rsidRPr="00EA16B0" w:rsidRDefault="00D3608B" w:rsidP="00A45DA5">
      <w:pPr>
        <w:spacing w:line="360" w:lineRule="auto"/>
        <w:ind w:firstLine="709"/>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color w:val="000000"/>
          <w:sz w:val="24"/>
          <w:lang w:eastAsia="pt-BR"/>
        </w:rPr>
        <w:t xml:space="preserve">Para fins de análise neste relatório, será considerado que o dado presente no Censo de Educação Superior de 2019 e que discrimina docentes do sistema distrital superior, será incorporado ao futuro quadro de docentes da </w:t>
      </w:r>
      <w:proofErr w:type="spellStart"/>
      <w:r w:rsidRPr="00EA16B0">
        <w:rPr>
          <w:rFonts w:asciiTheme="majorHAnsi" w:eastAsia="Times New Roman" w:hAnsiTheme="majorHAnsi" w:cstheme="majorHAnsi"/>
          <w:color w:val="000000"/>
          <w:sz w:val="24"/>
          <w:lang w:eastAsia="pt-BR"/>
        </w:rPr>
        <w:t>UnDF</w:t>
      </w:r>
      <w:proofErr w:type="spellEnd"/>
      <w:r w:rsidRPr="00EA16B0">
        <w:rPr>
          <w:rFonts w:asciiTheme="majorHAnsi" w:eastAsia="Times New Roman" w:hAnsiTheme="majorHAnsi" w:cstheme="majorHAnsi"/>
          <w:color w:val="000000"/>
          <w:sz w:val="24"/>
          <w:lang w:eastAsia="pt-BR"/>
        </w:rPr>
        <w:t>. Obviamente isso poderá não ocorrer, mas é importante, conforme será salientado à frente, que se tenha em mente a constituição de um corpo docente único, em carreira comum para todos os cursos superiores ministrados pela Instituição.</w:t>
      </w:r>
    </w:p>
    <w:p w14:paraId="0C1ED139" w14:textId="56116B39" w:rsidR="00D3608B" w:rsidRPr="00EA16B0" w:rsidRDefault="00D3608B" w:rsidP="00A45DA5">
      <w:pPr>
        <w:spacing w:line="360" w:lineRule="auto"/>
        <w:ind w:firstLine="709"/>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color w:val="000000"/>
          <w:sz w:val="24"/>
          <w:lang w:eastAsia="pt-BR"/>
        </w:rPr>
        <w:t xml:space="preserve">Assim, para que a </w:t>
      </w:r>
      <w:proofErr w:type="spellStart"/>
      <w:r w:rsidRPr="00EA16B0">
        <w:rPr>
          <w:rFonts w:asciiTheme="majorHAnsi" w:eastAsia="Times New Roman" w:hAnsiTheme="majorHAnsi" w:cstheme="majorHAnsi"/>
          <w:color w:val="000000"/>
          <w:sz w:val="24"/>
          <w:lang w:eastAsia="pt-BR"/>
        </w:rPr>
        <w:t>UnDF</w:t>
      </w:r>
      <w:proofErr w:type="spellEnd"/>
      <w:r w:rsidRPr="00EA16B0">
        <w:rPr>
          <w:rFonts w:asciiTheme="majorHAnsi" w:eastAsia="Times New Roman" w:hAnsiTheme="majorHAnsi" w:cstheme="majorHAnsi"/>
          <w:color w:val="000000"/>
          <w:sz w:val="24"/>
          <w:lang w:eastAsia="pt-BR"/>
        </w:rPr>
        <w:t xml:space="preserve"> não contribua negativamente com os esforços realizados no DF relativos à titulação docente, espera-se que ela estabeleça, em seus editais de concurso, um número máximo de especialistas e mestres, ultrapassado apenas no caso de não existirem doutores para o preenchimento daqueles claros docentes, ao menos com relação à média das IES distritais. O ideal, entretanto, é o cumprimento dos valores das outras IES públicas ali instaladas e cujos valores também são destacados na tabela 3.7, onde percebe-se que os valores do Distrito Federal são apenas um pouco superiores à média nacional para o total de docentes. Entretanto, talvez associado à natureza dos cursos atualmente ofertados (Medicina e Enfermagem), há preponderância de especialistas (quase metade do corpo docente) no setor público estadual e uma baixíssima porcentagem de doutores (14,7%), muito inferior ao estabelecido na meta 13 do PNE. Percebe-se que faltam titulados em pós-graduação </w:t>
      </w:r>
      <w:r w:rsidRPr="00EA16B0">
        <w:rPr>
          <w:rFonts w:asciiTheme="majorHAnsi" w:eastAsia="Times New Roman" w:hAnsiTheme="majorHAnsi" w:cstheme="majorHAnsi"/>
          <w:i/>
          <w:iCs/>
          <w:color w:val="000000"/>
          <w:sz w:val="24"/>
          <w:lang w:eastAsia="pt-BR"/>
        </w:rPr>
        <w:t>stricto sensu</w:t>
      </w:r>
      <w:r w:rsidRPr="00EA16B0">
        <w:rPr>
          <w:rFonts w:asciiTheme="majorHAnsi" w:eastAsia="Times New Roman" w:hAnsiTheme="majorHAnsi" w:cstheme="majorHAnsi"/>
          <w:color w:val="000000"/>
          <w:sz w:val="24"/>
          <w:lang w:eastAsia="pt-BR"/>
        </w:rPr>
        <w:t xml:space="preserve"> para atingir a meta de 75% (Indicador 13A), bem como o percentual mínimo de 35% de doutores (indicador 13B).</w:t>
      </w:r>
    </w:p>
    <w:p w14:paraId="754B3A7A" w14:textId="620F532E" w:rsidR="00A45DA5" w:rsidRPr="00EA16B0" w:rsidRDefault="00A45DA5" w:rsidP="00A45DA5">
      <w:pPr>
        <w:spacing w:line="360" w:lineRule="auto"/>
        <w:ind w:firstLine="709"/>
        <w:jc w:val="both"/>
        <w:rPr>
          <w:rFonts w:asciiTheme="majorHAnsi" w:eastAsia="Times New Roman" w:hAnsiTheme="majorHAnsi" w:cstheme="majorHAnsi"/>
          <w:color w:val="000000"/>
          <w:sz w:val="24"/>
          <w:lang w:eastAsia="pt-BR"/>
        </w:rPr>
      </w:pPr>
    </w:p>
    <w:p w14:paraId="00F6E51B" w14:textId="1ABFE4AC" w:rsidR="00A45DA5" w:rsidRPr="00EA16B0" w:rsidRDefault="00A45DA5" w:rsidP="00A45DA5">
      <w:pPr>
        <w:spacing w:line="360" w:lineRule="auto"/>
        <w:ind w:firstLine="709"/>
        <w:jc w:val="both"/>
        <w:rPr>
          <w:rFonts w:asciiTheme="majorHAnsi" w:eastAsia="Times New Roman" w:hAnsiTheme="majorHAnsi" w:cstheme="majorHAnsi"/>
          <w:color w:val="000000"/>
          <w:sz w:val="24"/>
          <w:lang w:eastAsia="pt-BR"/>
        </w:rPr>
      </w:pPr>
    </w:p>
    <w:p w14:paraId="4EB4663D" w14:textId="77777777" w:rsidR="00A45DA5" w:rsidRPr="00EA16B0" w:rsidRDefault="00A45DA5" w:rsidP="00A45DA5">
      <w:pPr>
        <w:spacing w:line="360" w:lineRule="auto"/>
        <w:ind w:firstLine="709"/>
        <w:jc w:val="both"/>
        <w:rPr>
          <w:rFonts w:asciiTheme="majorHAnsi" w:eastAsia="Times New Roman" w:hAnsiTheme="majorHAnsi" w:cstheme="majorHAnsi"/>
          <w:color w:val="000000"/>
          <w:sz w:val="24"/>
          <w:lang w:eastAsia="pt-BR"/>
        </w:rPr>
      </w:pPr>
    </w:p>
    <w:p w14:paraId="154D3E71" w14:textId="77777777" w:rsidR="00D3608B" w:rsidRPr="00EA16B0" w:rsidRDefault="00D3608B" w:rsidP="00A45DA5">
      <w:pPr>
        <w:rPr>
          <w:rFonts w:asciiTheme="majorHAnsi" w:eastAsia="Times New Roman" w:hAnsiTheme="majorHAnsi" w:cstheme="majorHAnsi"/>
          <w:color w:val="000000"/>
          <w:sz w:val="20"/>
          <w:szCs w:val="21"/>
          <w:lang w:eastAsia="pt-BR"/>
        </w:rPr>
      </w:pPr>
      <w:r w:rsidRPr="00EA16B0">
        <w:rPr>
          <w:rFonts w:asciiTheme="majorHAnsi" w:eastAsia="Times New Roman" w:hAnsiTheme="majorHAnsi" w:cstheme="majorHAnsi"/>
          <w:color w:val="000000"/>
          <w:sz w:val="20"/>
          <w:szCs w:val="21"/>
          <w:lang w:eastAsia="pt-BR"/>
        </w:rPr>
        <w:lastRenderedPageBreak/>
        <w:t>Tabela 3.7: Percentual médio de especialistas, mestres e doutores nas IES brasileiras e do DF.</w:t>
      </w:r>
    </w:p>
    <w:p w14:paraId="4F613A82" w14:textId="77777777" w:rsidR="00D3608B" w:rsidRPr="00EA16B0" w:rsidRDefault="00D3608B" w:rsidP="00D3608B">
      <w:pPr>
        <w:spacing w:after="0"/>
        <w:jc w:val="both"/>
        <w:rPr>
          <w:rFonts w:asciiTheme="majorHAnsi" w:eastAsia="Times New Roman" w:hAnsiTheme="majorHAnsi" w:cstheme="majorHAnsi"/>
          <w:color w:val="000000"/>
          <w:sz w:val="20"/>
          <w:szCs w:val="21"/>
          <w:lang w:eastAsia="pt-BR"/>
        </w:rPr>
      </w:pPr>
      <w:r w:rsidRPr="00EA16B0">
        <w:rPr>
          <w:rFonts w:asciiTheme="majorHAnsi" w:hAnsiTheme="majorHAnsi" w:cstheme="majorHAnsi"/>
          <w:noProof/>
          <w:lang w:eastAsia="pt-BR"/>
        </w:rPr>
        <w:drawing>
          <wp:inline distT="0" distB="0" distL="0" distR="0" wp14:anchorId="33956ECC" wp14:editId="06C85D15">
            <wp:extent cx="6120130" cy="2338977"/>
            <wp:effectExtent l="0" t="0" r="0" b="444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2338977"/>
                    </a:xfrm>
                    <a:prstGeom prst="rect">
                      <a:avLst/>
                    </a:prstGeom>
                    <a:noFill/>
                    <a:ln>
                      <a:noFill/>
                    </a:ln>
                  </pic:spPr>
                </pic:pic>
              </a:graphicData>
            </a:graphic>
          </wp:inline>
        </w:drawing>
      </w:r>
    </w:p>
    <w:p w14:paraId="600E75AD" w14:textId="77777777" w:rsidR="00D3608B" w:rsidRPr="00EA16B0" w:rsidRDefault="00D3608B" w:rsidP="00A45DA5">
      <w:pPr>
        <w:spacing w:after="240"/>
        <w:rPr>
          <w:rFonts w:asciiTheme="majorHAnsi" w:eastAsia="Times New Roman" w:hAnsiTheme="majorHAnsi" w:cstheme="majorHAnsi"/>
          <w:color w:val="000000"/>
          <w:sz w:val="16"/>
          <w:szCs w:val="21"/>
          <w:lang w:eastAsia="pt-BR"/>
        </w:rPr>
      </w:pPr>
      <w:r w:rsidRPr="00EA16B0">
        <w:rPr>
          <w:rFonts w:asciiTheme="majorHAnsi" w:eastAsia="Times New Roman" w:hAnsiTheme="majorHAnsi" w:cstheme="majorHAnsi"/>
          <w:color w:val="000000"/>
          <w:sz w:val="16"/>
          <w:szCs w:val="21"/>
          <w:lang w:eastAsia="pt-BR"/>
        </w:rPr>
        <w:t>Fonte: Elaborado pelo Autor, a partir dos dados do Censo de Educação Superior de 2019 (INEP, 2020).</w:t>
      </w:r>
    </w:p>
    <w:p w14:paraId="25C54FA2" w14:textId="77777777" w:rsidR="00D3608B" w:rsidRPr="00EA16B0" w:rsidRDefault="00D3608B" w:rsidP="00A45DA5">
      <w:pPr>
        <w:spacing w:before="120" w:line="360" w:lineRule="auto"/>
        <w:ind w:firstLine="709"/>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color w:val="000000"/>
          <w:sz w:val="24"/>
          <w:lang w:eastAsia="pt-BR"/>
        </w:rPr>
        <w:t xml:space="preserve">Os dados da tabela mostram que será necessário um esforço acentuado para que a IES alcance os percentuais </w:t>
      </w:r>
      <w:r w:rsidRPr="00EA16B0">
        <w:rPr>
          <w:rFonts w:asciiTheme="majorHAnsi" w:eastAsia="Times New Roman" w:hAnsiTheme="majorHAnsi" w:cstheme="majorHAnsi"/>
          <w:color w:val="000000"/>
          <w:spacing w:val="-2"/>
          <w:sz w:val="24"/>
          <w:lang w:eastAsia="pt-BR"/>
        </w:rPr>
        <w:t>mínimos estabelecidos pelo PNE até 2024 e para que preveja ações para atingir os patamares de titulação média do DF</w:t>
      </w:r>
      <w:r w:rsidRPr="00EA16B0">
        <w:rPr>
          <w:rFonts w:asciiTheme="majorHAnsi" w:eastAsia="Times New Roman" w:hAnsiTheme="majorHAnsi" w:cstheme="majorHAnsi"/>
          <w:color w:val="000000"/>
          <w:sz w:val="24"/>
          <w:lang w:eastAsia="pt-BR"/>
        </w:rPr>
        <w:t xml:space="preserve"> para, em um segundo momento, atingir os valores médios das instituições federais do DF, excluídos os </w:t>
      </w:r>
      <w:r w:rsidRPr="00EA16B0">
        <w:rPr>
          <w:rFonts w:asciiTheme="majorHAnsi" w:eastAsia="Times New Roman" w:hAnsiTheme="majorHAnsi" w:cstheme="majorHAnsi"/>
          <w:color w:val="000000"/>
          <w:spacing w:val="-4"/>
          <w:sz w:val="24"/>
          <w:lang w:eastAsia="pt-BR"/>
        </w:rPr>
        <w:t>graduados, pois isso vai de encontro ao disposto no Art. 66 da LDB e hoje, portanto, configura situação irregular.</w:t>
      </w:r>
    </w:p>
    <w:p w14:paraId="1D8CAEE7" w14:textId="77777777" w:rsidR="00D3608B" w:rsidRPr="00EA16B0" w:rsidRDefault="00D3608B" w:rsidP="00A45DA5">
      <w:pPr>
        <w:spacing w:line="360" w:lineRule="auto"/>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color w:val="000000"/>
          <w:sz w:val="24"/>
          <w:lang w:eastAsia="pt-BR"/>
        </w:rPr>
        <w:t xml:space="preserve">Nas IES públicas, se alguns dos concursos realizados para a contratação de docentes que hoje não cumprem </w:t>
      </w:r>
      <w:r w:rsidRPr="00EA16B0">
        <w:rPr>
          <w:rFonts w:asciiTheme="majorHAnsi" w:eastAsia="Times New Roman" w:hAnsiTheme="majorHAnsi" w:cstheme="majorHAnsi"/>
          <w:color w:val="000000"/>
          <w:spacing w:val="-4"/>
          <w:sz w:val="24"/>
          <w:lang w:eastAsia="pt-BR"/>
        </w:rPr>
        <w:t xml:space="preserve">o determinado na LDB tiver ocorrido antes de 1996, eles (no caso da </w:t>
      </w:r>
      <w:proofErr w:type="spellStart"/>
      <w:r w:rsidRPr="00EA16B0">
        <w:rPr>
          <w:rFonts w:asciiTheme="majorHAnsi" w:eastAsia="Times New Roman" w:hAnsiTheme="majorHAnsi" w:cstheme="majorHAnsi"/>
          <w:color w:val="000000"/>
          <w:spacing w:val="-4"/>
          <w:sz w:val="24"/>
          <w:lang w:eastAsia="pt-BR"/>
        </w:rPr>
        <w:t>UnDF</w:t>
      </w:r>
      <w:proofErr w:type="spellEnd"/>
      <w:r w:rsidRPr="00EA16B0">
        <w:rPr>
          <w:rFonts w:asciiTheme="majorHAnsi" w:eastAsia="Times New Roman" w:hAnsiTheme="majorHAnsi" w:cstheme="majorHAnsi"/>
          <w:color w:val="000000"/>
          <w:spacing w:val="-4"/>
          <w:sz w:val="24"/>
          <w:lang w:eastAsia="pt-BR"/>
        </w:rPr>
        <w:t>, aparentemente há um único docente)</w:t>
      </w:r>
      <w:r w:rsidRPr="00EA16B0">
        <w:rPr>
          <w:rFonts w:asciiTheme="majorHAnsi" w:eastAsia="Times New Roman" w:hAnsiTheme="majorHAnsi" w:cstheme="majorHAnsi"/>
          <w:color w:val="000000"/>
          <w:sz w:val="24"/>
          <w:lang w:eastAsia="pt-BR"/>
        </w:rPr>
        <w:t xml:space="preserve"> poderão permanecer no exercício do cargo em que foram concursados, mas apenas com a carga horária e a disciplina do referido concurso. Qualquer ampliação posterior a 1996 se configura, </w:t>
      </w:r>
      <w:proofErr w:type="spellStart"/>
      <w:r w:rsidRPr="00EA16B0">
        <w:rPr>
          <w:rFonts w:asciiTheme="majorHAnsi" w:eastAsia="Times New Roman" w:hAnsiTheme="majorHAnsi" w:cstheme="majorHAnsi"/>
          <w:color w:val="000000"/>
          <w:sz w:val="24"/>
          <w:lang w:eastAsia="pt-BR"/>
        </w:rPr>
        <w:t>s.m.j</w:t>
      </w:r>
      <w:proofErr w:type="spellEnd"/>
      <w:r w:rsidRPr="00EA16B0">
        <w:rPr>
          <w:rFonts w:asciiTheme="majorHAnsi" w:eastAsia="Times New Roman" w:hAnsiTheme="majorHAnsi" w:cstheme="majorHAnsi"/>
          <w:color w:val="000000"/>
          <w:sz w:val="24"/>
          <w:lang w:eastAsia="pt-BR"/>
        </w:rPr>
        <w:t>, como irregular.</w:t>
      </w:r>
    </w:p>
    <w:p w14:paraId="391E9E79" w14:textId="79C309A3" w:rsidR="00D3608B" w:rsidRPr="00EA16B0" w:rsidRDefault="00D3608B" w:rsidP="00A45DA5">
      <w:pPr>
        <w:spacing w:line="360" w:lineRule="auto"/>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color w:val="000000"/>
          <w:sz w:val="24"/>
          <w:lang w:eastAsia="pt-BR"/>
        </w:rPr>
        <w:t xml:space="preserve">A tabela a seguir retrata numericamente o tamanho do esforço para cumprimento do PNE até 2024 e prevê, para um segundo momento, igualar os percentuais da </w:t>
      </w:r>
      <w:proofErr w:type="spellStart"/>
      <w:r w:rsidRPr="00EA16B0">
        <w:rPr>
          <w:rFonts w:asciiTheme="majorHAnsi" w:eastAsia="Times New Roman" w:hAnsiTheme="majorHAnsi" w:cstheme="majorHAnsi"/>
          <w:color w:val="000000"/>
          <w:sz w:val="24"/>
          <w:lang w:eastAsia="pt-BR"/>
        </w:rPr>
        <w:t>UnDF</w:t>
      </w:r>
      <w:proofErr w:type="spellEnd"/>
      <w:r w:rsidRPr="00EA16B0">
        <w:rPr>
          <w:rFonts w:asciiTheme="majorHAnsi" w:eastAsia="Times New Roman" w:hAnsiTheme="majorHAnsi" w:cstheme="majorHAnsi"/>
          <w:color w:val="000000"/>
          <w:sz w:val="24"/>
          <w:lang w:eastAsia="pt-BR"/>
        </w:rPr>
        <w:t xml:space="preserve"> àqueles de todas as IES do DF em 2018 (públicas e privadas). Em um segundo momento, o cálculo propõe atingir percentuais das federais do DF que apresentam percentuais um pouco superiores à média nacional para esse tipo de IES. </w:t>
      </w:r>
    </w:p>
    <w:p w14:paraId="4A55A1B5" w14:textId="4F610146" w:rsidR="00A45DA5" w:rsidRPr="00EA16B0" w:rsidRDefault="00A45DA5" w:rsidP="00D3608B">
      <w:pPr>
        <w:jc w:val="both"/>
        <w:rPr>
          <w:rFonts w:asciiTheme="majorHAnsi" w:eastAsia="Times New Roman" w:hAnsiTheme="majorHAnsi" w:cstheme="majorHAnsi"/>
          <w:color w:val="000000"/>
          <w:szCs w:val="21"/>
          <w:lang w:eastAsia="pt-BR"/>
        </w:rPr>
      </w:pPr>
    </w:p>
    <w:p w14:paraId="577AC14E" w14:textId="77262C3A" w:rsidR="00A45DA5" w:rsidRPr="00EA16B0" w:rsidRDefault="00A45DA5" w:rsidP="00D3608B">
      <w:pPr>
        <w:jc w:val="both"/>
        <w:rPr>
          <w:rFonts w:asciiTheme="majorHAnsi" w:eastAsia="Times New Roman" w:hAnsiTheme="majorHAnsi" w:cstheme="majorHAnsi"/>
          <w:color w:val="000000"/>
          <w:szCs w:val="21"/>
          <w:lang w:eastAsia="pt-BR"/>
        </w:rPr>
      </w:pPr>
    </w:p>
    <w:p w14:paraId="0E7BA03D" w14:textId="37BEFEAE" w:rsidR="00A45DA5" w:rsidRPr="00EA16B0" w:rsidRDefault="00A45DA5" w:rsidP="00D3608B">
      <w:pPr>
        <w:jc w:val="both"/>
        <w:rPr>
          <w:rFonts w:asciiTheme="majorHAnsi" w:eastAsia="Times New Roman" w:hAnsiTheme="majorHAnsi" w:cstheme="majorHAnsi"/>
          <w:color w:val="000000"/>
          <w:szCs w:val="21"/>
          <w:lang w:eastAsia="pt-BR"/>
        </w:rPr>
      </w:pPr>
    </w:p>
    <w:p w14:paraId="353D2DBB" w14:textId="07103495" w:rsidR="00A45DA5" w:rsidRPr="00EA16B0" w:rsidRDefault="00A45DA5" w:rsidP="00D3608B">
      <w:pPr>
        <w:jc w:val="both"/>
        <w:rPr>
          <w:rFonts w:asciiTheme="majorHAnsi" w:eastAsia="Times New Roman" w:hAnsiTheme="majorHAnsi" w:cstheme="majorHAnsi"/>
          <w:color w:val="000000"/>
          <w:szCs w:val="21"/>
          <w:lang w:eastAsia="pt-BR"/>
        </w:rPr>
      </w:pPr>
    </w:p>
    <w:p w14:paraId="13BDDCD9" w14:textId="77777777" w:rsidR="00A45DA5" w:rsidRPr="00EA16B0" w:rsidRDefault="00A45DA5" w:rsidP="00D3608B">
      <w:pPr>
        <w:jc w:val="both"/>
        <w:rPr>
          <w:rFonts w:asciiTheme="majorHAnsi" w:eastAsia="Times New Roman" w:hAnsiTheme="majorHAnsi" w:cstheme="majorHAnsi"/>
          <w:color w:val="000000"/>
          <w:szCs w:val="21"/>
          <w:lang w:eastAsia="pt-BR"/>
        </w:rPr>
      </w:pPr>
    </w:p>
    <w:p w14:paraId="66B25787" w14:textId="77777777" w:rsidR="00D3608B" w:rsidRPr="00EA16B0" w:rsidRDefault="00D3608B" w:rsidP="00D3608B">
      <w:pPr>
        <w:jc w:val="both"/>
        <w:rPr>
          <w:rFonts w:asciiTheme="majorHAnsi" w:eastAsia="Times New Roman" w:hAnsiTheme="majorHAnsi" w:cstheme="majorHAnsi"/>
          <w:color w:val="000000"/>
          <w:sz w:val="20"/>
          <w:szCs w:val="20"/>
          <w:lang w:eastAsia="pt-BR"/>
        </w:rPr>
      </w:pPr>
      <w:r w:rsidRPr="00EA16B0">
        <w:rPr>
          <w:rFonts w:asciiTheme="majorHAnsi" w:eastAsia="Times New Roman" w:hAnsiTheme="majorHAnsi" w:cstheme="majorHAnsi"/>
          <w:color w:val="000000"/>
          <w:sz w:val="20"/>
          <w:szCs w:val="20"/>
          <w:lang w:eastAsia="pt-BR"/>
        </w:rPr>
        <w:lastRenderedPageBreak/>
        <w:t xml:space="preserve">Tabela 3.8: Quadro da </w:t>
      </w:r>
      <w:proofErr w:type="spellStart"/>
      <w:r w:rsidRPr="00EA16B0">
        <w:rPr>
          <w:rFonts w:asciiTheme="majorHAnsi" w:eastAsia="Times New Roman" w:hAnsiTheme="majorHAnsi" w:cstheme="majorHAnsi"/>
          <w:color w:val="000000"/>
          <w:sz w:val="20"/>
          <w:szCs w:val="20"/>
          <w:lang w:eastAsia="pt-BR"/>
        </w:rPr>
        <w:t>UnDF</w:t>
      </w:r>
      <w:proofErr w:type="spellEnd"/>
      <w:r w:rsidRPr="00EA16B0">
        <w:rPr>
          <w:rFonts w:asciiTheme="majorHAnsi" w:eastAsia="Times New Roman" w:hAnsiTheme="majorHAnsi" w:cstheme="majorHAnsi"/>
          <w:color w:val="000000"/>
          <w:sz w:val="20"/>
          <w:szCs w:val="20"/>
          <w:lang w:eastAsia="pt-BR"/>
        </w:rPr>
        <w:t xml:space="preserve"> para atendimento da meta 13 do PNE até 2024, supondo dobrar o número atual de docentes, de 238 (dados do Censo 2019) para 476.</w:t>
      </w:r>
    </w:p>
    <w:p w14:paraId="62D4D27F" w14:textId="77777777" w:rsidR="00D3608B" w:rsidRPr="00EA16B0" w:rsidRDefault="00D3608B" w:rsidP="00D3608B">
      <w:pPr>
        <w:spacing w:after="0"/>
        <w:jc w:val="both"/>
        <w:rPr>
          <w:rFonts w:asciiTheme="majorHAnsi" w:eastAsia="Times New Roman" w:hAnsiTheme="majorHAnsi" w:cstheme="majorHAnsi"/>
          <w:color w:val="000000"/>
          <w:szCs w:val="21"/>
          <w:lang w:eastAsia="pt-BR"/>
        </w:rPr>
      </w:pPr>
      <w:r w:rsidRPr="00EA16B0">
        <w:rPr>
          <w:rFonts w:asciiTheme="majorHAnsi" w:hAnsiTheme="majorHAnsi" w:cstheme="majorHAnsi"/>
          <w:noProof/>
          <w:lang w:eastAsia="pt-BR"/>
        </w:rPr>
        <w:drawing>
          <wp:inline distT="0" distB="0" distL="0" distR="0" wp14:anchorId="4FA7A15B" wp14:editId="6CE5F8C5">
            <wp:extent cx="6120130" cy="1818817"/>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1818817"/>
                    </a:xfrm>
                    <a:prstGeom prst="rect">
                      <a:avLst/>
                    </a:prstGeom>
                    <a:noFill/>
                    <a:ln>
                      <a:noFill/>
                    </a:ln>
                  </pic:spPr>
                </pic:pic>
              </a:graphicData>
            </a:graphic>
          </wp:inline>
        </w:drawing>
      </w:r>
    </w:p>
    <w:p w14:paraId="199C4707" w14:textId="77777777" w:rsidR="00D3608B" w:rsidRPr="00EA16B0" w:rsidRDefault="00D3608B" w:rsidP="00D3608B">
      <w:pPr>
        <w:spacing w:after="240"/>
        <w:jc w:val="both"/>
        <w:rPr>
          <w:rFonts w:asciiTheme="majorHAnsi" w:eastAsia="Times New Roman" w:hAnsiTheme="majorHAnsi" w:cstheme="majorHAnsi"/>
          <w:color w:val="000000"/>
          <w:sz w:val="16"/>
          <w:szCs w:val="21"/>
          <w:lang w:eastAsia="pt-BR"/>
        </w:rPr>
      </w:pPr>
      <w:r w:rsidRPr="00EA16B0">
        <w:rPr>
          <w:rFonts w:asciiTheme="majorHAnsi" w:eastAsia="Times New Roman" w:hAnsiTheme="majorHAnsi" w:cstheme="majorHAnsi"/>
          <w:noProof/>
          <w:sz w:val="16"/>
          <w:szCs w:val="21"/>
          <w:lang w:eastAsia="pt-BR"/>
        </w:rPr>
        <mc:AlternateContent>
          <mc:Choice Requires="wps">
            <w:drawing>
              <wp:anchor distT="0" distB="0" distL="114300" distR="114300" simplePos="0" relativeHeight="251659264" behindDoc="0" locked="0" layoutInCell="1" allowOverlap="1" wp14:anchorId="4D85A02A" wp14:editId="1A5E5C2D">
                <wp:simplePos x="0" y="0"/>
                <wp:positionH relativeFrom="column">
                  <wp:posOffset>351790</wp:posOffset>
                </wp:positionH>
                <wp:positionV relativeFrom="paragraph">
                  <wp:posOffset>148590</wp:posOffset>
                </wp:positionV>
                <wp:extent cx="160655" cy="80645"/>
                <wp:effectExtent l="0" t="0" r="17145" b="8255"/>
                <wp:wrapNone/>
                <wp:docPr id="59" name="Retângulo 59"/>
                <wp:cNvGraphicFramePr/>
                <a:graphic xmlns:a="http://schemas.openxmlformats.org/drawingml/2006/main">
                  <a:graphicData uri="http://schemas.microsoft.com/office/word/2010/wordprocessingShape">
                    <wps:wsp>
                      <wps:cNvSpPr/>
                      <wps:spPr>
                        <a:xfrm>
                          <a:off x="0" y="0"/>
                          <a:ext cx="160655" cy="80645"/>
                        </a:xfrm>
                        <a:prstGeom prst="rect">
                          <a:avLst/>
                        </a:prstGeom>
                        <a:solidFill>
                          <a:srgbClr val="FFC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7E1CB" id="Retângulo 59" o:spid="_x0000_s1026" style="position:absolute;margin-left:27.7pt;margin-top:11.7pt;width:12.65pt;height: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" fillcolor="#ffc000" strokecolor="#0e194a [3215]" strokeweight="1pt"/>
            </w:pict>
          </mc:Fallback>
        </mc:AlternateContent>
      </w:r>
      <w:r w:rsidRPr="00EA16B0">
        <w:rPr>
          <w:rFonts w:asciiTheme="majorHAnsi" w:eastAsia="Times New Roman" w:hAnsiTheme="majorHAnsi" w:cstheme="majorHAnsi"/>
          <w:noProof/>
          <w:sz w:val="16"/>
          <w:szCs w:val="21"/>
          <w:lang w:eastAsia="pt-BR"/>
        </w:rPr>
        <mc:AlternateContent>
          <mc:Choice Requires="wps">
            <w:drawing>
              <wp:anchor distT="0" distB="0" distL="114300" distR="114300" simplePos="0" relativeHeight="251660288" behindDoc="0" locked="0" layoutInCell="1" allowOverlap="1" wp14:anchorId="3102F9EC" wp14:editId="5A3AA8D3">
                <wp:simplePos x="0" y="0"/>
                <wp:positionH relativeFrom="column">
                  <wp:posOffset>4641215</wp:posOffset>
                </wp:positionH>
                <wp:positionV relativeFrom="paragraph">
                  <wp:posOffset>146050</wp:posOffset>
                </wp:positionV>
                <wp:extent cx="161059" cy="80645"/>
                <wp:effectExtent l="0" t="0" r="10795" b="14605"/>
                <wp:wrapNone/>
                <wp:docPr id="60" name="Retângulo 60"/>
                <wp:cNvGraphicFramePr/>
                <a:graphic xmlns:a="http://schemas.openxmlformats.org/drawingml/2006/main">
                  <a:graphicData uri="http://schemas.microsoft.com/office/word/2010/wordprocessingShape">
                    <wps:wsp>
                      <wps:cNvSpPr/>
                      <wps:spPr>
                        <a:xfrm>
                          <a:off x="0" y="0"/>
                          <a:ext cx="161059" cy="80645"/>
                        </a:xfrm>
                        <a:prstGeom prst="rect">
                          <a:avLst/>
                        </a:prstGeom>
                        <a:solidFill>
                          <a:srgbClr val="FFFF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295CF" id="Retângulo 60" o:spid="_x0000_s1026" style="position:absolute;margin-left:365.45pt;margin-top:11.5pt;width:12.7pt;height: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" fillcolor="yellow" strokecolor="#0e194a [3215]" strokeweight="1pt"/>
            </w:pict>
          </mc:Fallback>
        </mc:AlternateContent>
      </w:r>
      <w:r w:rsidRPr="00EA16B0">
        <w:rPr>
          <w:rFonts w:asciiTheme="majorHAnsi" w:eastAsia="Times New Roman" w:hAnsiTheme="majorHAnsi" w:cstheme="majorHAnsi"/>
          <w:noProof/>
          <w:sz w:val="16"/>
          <w:szCs w:val="21"/>
          <w:lang w:eastAsia="pt-BR"/>
        </w:rPr>
        <mc:AlternateContent>
          <mc:Choice Requires="wps">
            <w:drawing>
              <wp:anchor distT="0" distB="0" distL="114300" distR="114300" simplePos="0" relativeHeight="251661312" behindDoc="0" locked="0" layoutInCell="1" allowOverlap="1" wp14:anchorId="176B9B8B" wp14:editId="163AE4C3">
                <wp:simplePos x="0" y="0"/>
                <wp:positionH relativeFrom="column">
                  <wp:posOffset>4620895</wp:posOffset>
                </wp:positionH>
                <wp:positionV relativeFrom="paragraph">
                  <wp:posOffset>31750</wp:posOffset>
                </wp:positionV>
                <wp:extent cx="177165" cy="80645"/>
                <wp:effectExtent l="0" t="0" r="13335" b="14605"/>
                <wp:wrapNone/>
                <wp:docPr id="58" name="Retângulo 58"/>
                <wp:cNvGraphicFramePr/>
                <a:graphic xmlns:a="http://schemas.openxmlformats.org/drawingml/2006/main">
                  <a:graphicData uri="http://schemas.microsoft.com/office/word/2010/wordprocessingShape">
                    <wps:wsp>
                      <wps:cNvSpPr/>
                      <wps:spPr>
                        <a:xfrm>
                          <a:off x="0" y="0"/>
                          <a:ext cx="177165" cy="80645"/>
                        </a:xfrm>
                        <a:prstGeom prst="rect">
                          <a:avLst/>
                        </a:prstGeom>
                        <a:solidFill>
                          <a:srgbClr val="FF9999"/>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D0B1E" id="Retângulo 58" o:spid="_x0000_s1026" style="position:absolute;margin-left:363.85pt;margin-top:2.5pt;width:13.95pt;height: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" fillcolor="#f99" strokecolor="#0e194a [3215]" strokeweight="1pt"/>
            </w:pict>
          </mc:Fallback>
        </mc:AlternateContent>
      </w:r>
      <w:r w:rsidRPr="00EA16B0">
        <w:rPr>
          <w:rFonts w:asciiTheme="majorHAnsi" w:eastAsia="Times New Roman" w:hAnsiTheme="majorHAnsi" w:cstheme="majorHAnsi"/>
          <w:color w:val="000000"/>
          <w:sz w:val="16"/>
          <w:szCs w:val="21"/>
          <w:lang w:eastAsia="pt-BR"/>
        </w:rPr>
        <w:t xml:space="preserve">Fonte: Elaborado pelo autor a partir dos dados presentes no Censo da Educação Superior de 2019 (INEP, 2020).             Situação que contraria Art. 66 da </w:t>
      </w:r>
      <w:proofErr w:type="gramStart"/>
      <w:r w:rsidRPr="00EA16B0">
        <w:rPr>
          <w:rFonts w:asciiTheme="majorHAnsi" w:eastAsia="Times New Roman" w:hAnsiTheme="majorHAnsi" w:cstheme="majorHAnsi"/>
          <w:color w:val="000000"/>
          <w:sz w:val="16"/>
          <w:szCs w:val="21"/>
          <w:lang w:eastAsia="pt-BR"/>
        </w:rPr>
        <w:t xml:space="preserve">LDB;   </w:t>
      </w:r>
      <w:proofErr w:type="gramEnd"/>
      <w:r w:rsidRPr="00EA16B0">
        <w:rPr>
          <w:rFonts w:asciiTheme="majorHAnsi" w:eastAsia="Times New Roman" w:hAnsiTheme="majorHAnsi" w:cstheme="majorHAnsi"/>
          <w:color w:val="000000"/>
          <w:sz w:val="16"/>
          <w:szCs w:val="21"/>
          <w:lang w:eastAsia="pt-BR"/>
        </w:rPr>
        <w:t xml:space="preserve">     Situação que excede o percentual máximo possível para cumprimento da meta 13 do PNE;            Situação inferior ao mínimo estabelecido pela meta 13 do PNE. a. abertura de concurso público, com média de 60 ingressos anuais em 2022, 2023 e 2024; b. último concurso previsto para dobrar o número de docentes, com oferta de 58 vagas; c. final do PNE em 2024, quando o exercício prevê que a IES atenda a meta 13 (indicadores A e B), explicitados no texto.</w:t>
      </w:r>
    </w:p>
    <w:p w14:paraId="00597C1E" w14:textId="77777777" w:rsidR="00A45DA5" w:rsidRPr="00EA16B0" w:rsidRDefault="00A45DA5" w:rsidP="00A45DA5">
      <w:pPr>
        <w:spacing w:line="360" w:lineRule="auto"/>
        <w:ind w:firstLine="709"/>
        <w:jc w:val="both"/>
        <w:rPr>
          <w:rFonts w:asciiTheme="majorHAnsi" w:eastAsia="Times New Roman" w:hAnsiTheme="majorHAnsi" w:cstheme="majorHAnsi"/>
          <w:color w:val="000000"/>
          <w:sz w:val="24"/>
          <w:lang w:eastAsia="pt-BR"/>
        </w:rPr>
      </w:pPr>
    </w:p>
    <w:p w14:paraId="1B5D98CF" w14:textId="75CE2474" w:rsidR="00D3608B" w:rsidRPr="00EA16B0" w:rsidRDefault="00D3608B" w:rsidP="00A45DA5">
      <w:pPr>
        <w:spacing w:line="360" w:lineRule="auto"/>
        <w:ind w:firstLine="709"/>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color w:val="000000"/>
          <w:sz w:val="24"/>
          <w:lang w:eastAsia="pt-BR"/>
        </w:rPr>
        <w:t xml:space="preserve">Percebe-se que deverá ser feito um esforço muito grande para que sejam atingidas as quantidades mínimas de docentes para cumprimento da meta 13 do PNE até 2024 se o que se pretende é fazer com que os atuais docentes passem a fazer parte integrante da carreira docente da </w:t>
      </w:r>
      <w:proofErr w:type="spellStart"/>
      <w:r w:rsidRPr="00EA16B0">
        <w:rPr>
          <w:rFonts w:asciiTheme="majorHAnsi" w:eastAsia="Times New Roman" w:hAnsiTheme="majorHAnsi" w:cstheme="majorHAnsi"/>
          <w:color w:val="000000"/>
          <w:sz w:val="24"/>
          <w:lang w:eastAsia="pt-BR"/>
        </w:rPr>
        <w:t>UnDF</w:t>
      </w:r>
      <w:proofErr w:type="spellEnd"/>
      <w:r w:rsidRPr="00EA16B0">
        <w:rPr>
          <w:rFonts w:asciiTheme="majorHAnsi" w:eastAsia="Times New Roman" w:hAnsiTheme="majorHAnsi" w:cstheme="majorHAnsi"/>
          <w:color w:val="000000"/>
          <w:sz w:val="24"/>
          <w:lang w:eastAsia="pt-BR"/>
        </w:rPr>
        <w:t xml:space="preserve">. Se isso não for desejado, pode-se estabelecer um quadro em extinção que agregue os professores que foram contratados antes da criação da </w:t>
      </w:r>
      <w:proofErr w:type="spellStart"/>
      <w:r w:rsidRPr="00EA16B0">
        <w:rPr>
          <w:rFonts w:asciiTheme="majorHAnsi" w:eastAsia="Times New Roman" w:hAnsiTheme="majorHAnsi" w:cstheme="majorHAnsi"/>
          <w:color w:val="000000"/>
          <w:sz w:val="24"/>
          <w:lang w:eastAsia="pt-BR"/>
        </w:rPr>
        <w:t>UnDF</w:t>
      </w:r>
      <w:proofErr w:type="spellEnd"/>
      <w:r w:rsidRPr="00EA16B0">
        <w:rPr>
          <w:rFonts w:asciiTheme="majorHAnsi" w:eastAsia="Times New Roman" w:hAnsiTheme="majorHAnsi" w:cstheme="majorHAnsi"/>
          <w:color w:val="000000"/>
          <w:sz w:val="24"/>
          <w:lang w:eastAsia="pt-BR"/>
        </w:rPr>
        <w:t xml:space="preserve"> e, com isso, iniciar as contratações do quadro aprovado com respeito aos percentuais de titulação considerados adequados e previstos nas metas do PNE para as IES públicas e privadas do país. </w:t>
      </w:r>
    </w:p>
    <w:p w14:paraId="70BBF8B1" w14:textId="77777777" w:rsidR="00D3608B" w:rsidRPr="00EA16B0" w:rsidRDefault="00D3608B" w:rsidP="00A45DA5">
      <w:pPr>
        <w:spacing w:line="360" w:lineRule="auto"/>
        <w:ind w:firstLine="709"/>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color w:val="000000"/>
          <w:sz w:val="24"/>
          <w:lang w:eastAsia="pt-BR"/>
        </w:rPr>
        <w:t xml:space="preserve">Caso sejam mantidos todos os docentes no mesmo quadro, como o primeiro indicador pretende garantir pelo menos 75% de professores com titulação em programa de pós-graduação </w:t>
      </w:r>
      <w:r w:rsidRPr="00EA16B0">
        <w:rPr>
          <w:rFonts w:asciiTheme="majorHAnsi" w:eastAsia="Times New Roman" w:hAnsiTheme="majorHAnsi" w:cstheme="majorHAnsi"/>
          <w:i/>
          <w:iCs/>
          <w:color w:val="000000"/>
          <w:sz w:val="24"/>
          <w:lang w:eastAsia="pt-BR"/>
        </w:rPr>
        <w:t>stricto sensu,</w:t>
      </w:r>
      <w:r w:rsidRPr="00EA16B0">
        <w:rPr>
          <w:rFonts w:asciiTheme="majorHAnsi" w:eastAsia="Times New Roman" w:hAnsiTheme="majorHAnsi" w:cstheme="majorHAnsi"/>
          <w:color w:val="000000"/>
          <w:sz w:val="24"/>
          <w:lang w:eastAsia="pt-BR"/>
        </w:rPr>
        <w:t xml:space="preserve"> será necessário que dez dos 113 atuais especialistas obtenham seu título de mestre até 2024 e que os concursos realizados garantam pelo menos 111 novos doutores e 69 novos mestres para a Instituição, sem o ingresso de nenhum especialista. Para dobrar o número de docentes até 2025, as 58 vagas restantes para esse ano poderiam contemplar até 14 especialistas, mas pelo menos 23 mestres e pelo menos 21 doutores, para garantir que a meta 13, mesmo um ano depois, continuasse atendendo ao mínimo estabelecido no PNE.</w:t>
      </w:r>
    </w:p>
    <w:p w14:paraId="764080AE" w14:textId="77777777" w:rsidR="00D3608B" w:rsidRPr="00EA16B0" w:rsidRDefault="00D3608B" w:rsidP="00A45DA5">
      <w:pPr>
        <w:spacing w:line="360" w:lineRule="auto"/>
        <w:ind w:firstLine="709"/>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color w:val="000000"/>
          <w:sz w:val="24"/>
          <w:lang w:eastAsia="pt-BR"/>
        </w:rPr>
        <w:t xml:space="preserve">As duas metas propostas em seguida, para igualar a </w:t>
      </w:r>
      <w:proofErr w:type="spellStart"/>
      <w:r w:rsidRPr="00EA16B0">
        <w:rPr>
          <w:rFonts w:asciiTheme="majorHAnsi" w:eastAsia="Times New Roman" w:hAnsiTheme="majorHAnsi" w:cstheme="majorHAnsi"/>
          <w:color w:val="000000"/>
          <w:sz w:val="24"/>
          <w:lang w:eastAsia="pt-BR"/>
        </w:rPr>
        <w:t>UnDF</w:t>
      </w:r>
      <w:proofErr w:type="spellEnd"/>
      <w:r w:rsidRPr="00EA16B0">
        <w:rPr>
          <w:rFonts w:asciiTheme="majorHAnsi" w:eastAsia="Times New Roman" w:hAnsiTheme="majorHAnsi" w:cstheme="majorHAnsi"/>
          <w:color w:val="000000"/>
          <w:sz w:val="24"/>
          <w:lang w:eastAsia="pt-BR"/>
        </w:rPr>
        <w:t xml:space="preserve"> à média atual de todas as IES (públicas e privadas, faculdades, centros universitários e universidades) do DF, requereria, caso se pretenda que isso ocorra até 2025, que haja outras 34 defesas de mestrado (ou nenhuma nova contratação de especialistas e 20 defesas dos atuais), além de 61 defesas de doutorado dentre os </w:t>
      </w:r>
      <w:r w:rsidRPr="00EA16B0">
        <w:rPr>
          <w:rFonts w:asciiTheme="majorHAnsi" w:eastAsia="Times New Roman" w:hAnsiTheme="majorHAnsi" w:cstheme="majorHAnsi"/>
          <w:color w:val="000000"/>
          <w:sz w:val="24"/>
          <w:lang w:eastAsia="pt-BR"/>
        </w:rPr>
        <w:lastRenderedPageBreak/>
        <w:t>mestres atual ou futuramente contratados. Finalmente, para se igualar ao percentual de titulados do IFB e da UnB, seria necessário que a IES tivesse apenas 21 especialistas dente os seus futuros 476 docentes, 81 mestres e 374 doutores, o que levaria à necessidade de outras 63 dissertações de mestrado para os especialistas e novas 146 defesas de doutorado dentre os atuais e futuros mestres da Instituição.</w:t>
      </w:r>
    </w:p>
    <w:p w14:paraId="23958015" w14:textId="77777777" w:rsidR="00D3608B" w:rsidRPr="00EA16B0" w:rsidRDefault="00D3608B" w:rsidP="00A45DA5">
      <w:pPr>
        <w:spacing w:line="360" w:lineRule="auto"/>
        <w:ind w:firstLine="709"/>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color w:val="000000"/>
          <w:sz w:val="24"/>
          <w:lang w:eastAsia="pt-BR"/>
        </w:rPr>
        <w:t>Uma outra maneira (e há várias possibilidades, obviamente), é restringir os concursos que serão realizados apenas ao preenchimento por doutores, o que levaria os esforços para titular 101 doutores do atual quadro, e não 207, caso sejam admitidos mestres e especialistas.</w:t>
      </w:r>
    </w:p>
    <w:p w14:paraId="395F7C9F" w14:textId="77777777" w:rsidR="00D3608B" w:rsidRPr="00EA16B0" w:rsidRDefault="00D3608B" w:rsidP="00A45DA5">
      <w:pPr>
        <w:spacing w:line="360" w:lineRule="auto"/>
        <w:ind w:firstLine="709"/>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color w:val="000000"/>
          <w:sz w:val="24"/>
          <w:lang w:eastAsia="pt-BR"/>
        </w:rPr>
        <w:t xml:space="preserve">Esses dados referem-se a um esforço interno da </w:t>
      </w:r>
      <w:proofErr w:type="spellStart"/>
      <w:r w:rsidRPr="00EA16B0">
        <w:rPr>
          <w:rFonts w:asciiTheme="majorHAnsi" w:eastAsia="Times New Roman" w:hAnsiTheme="majorHAnsi" w:cstheme="majorHAnsi"/>
          <w:color w:val="000000"/>
          <w:sz w:val="24"/>
          <w:lang w:eastAsia="pt-BR"/>
        </w:rPr>
        <w:t>UnDF</w:t>
      </w:r>
      <w:proofErr w:type="spellEnd"/>
      <w:r w:rsidRPr="00EA16B0">
        <w:rPr>
          <w:rFonts w:asciiTheme="majorHAnsi" w:eastAsia="Times New Roman" w:hAnsiTheme="majorHAnsi" w:cstheme="majorHAnsi"/>
          <w:color w:val="000000"/>
          <w:sz w:val="24"/>
          <w:lang w:eastAsia="pt-BR"/>
        </w:rPr>
        <w:t xml:space="preserve"> para se adequar ao que preveem as metas do PNE e deve ser destacado, finalmente, que os percentuais encontrados têm tido crescimento constante e os valores aqui considerados se referem àqueles do censo de 2019 e, portanto, à situação existente em abril de 2019 e o exercício aqui realizado prevê que os esforços para titulação ocorram até 2030, o que pode, com certeza, ser considerado pouco ambicioso e ser revisto para prazos mais curtos.</w:t>
      </w:r>
    </w:p>
    <w:p w14:paraId="1F3CB52F" w14:textId="14BFD7D5" w:rsidR="00D3608B" w:rsidRPr="00EA16B0" w:rsidRDefault="00751777" w:rsidP="003A7871">
      <w:pPr>
        <w:pStyle w:val="Ttulo3"/>
        <w:numPr>
          <w:ilvl w:val="2"/>
          <w:numId w:val="1"/>
        </w:numPr>
        <w:ind w:left="709" w:hanging="709"/>
        <w:rPr>
          <w:rFonts w:asciiTheme="majorHAnsi" w:hAnsiTheme="majorHAnsi" w:cstheme="majorHAnsi"/>
        </w:rPr>
      </w:pPr>
      <w:bookmarkStart w:id="80" w:name="_Toc102319409"/>
      <w:r w:rsidRPr="00EA16B0">
        <w:rPr>
          <w:rFonts w:asciiTheme="majorHAnsi" w:hAnsiTheme="majorHAnsi" w:cstheme="majorHAnsi"/>
        </w:rPr>
        <w:t>PARA O DESENVOLVIMENTO CIENTÍFICO E TECNOLÓGICO DAS IES E DO PAÍS</w:t>
      </w:r>
      <w:bookmarkEnd w:id="80"/>
    </w:p>
    <w:p w14:paraId="76FF823F" w14:textId="508B949B" w:rsidR="00D3608B" w:rsidRPr="00EA16B0" w:rsidRDefault="00D3608B" w:rsidP="00A45DA5">
      <w:pPr>
        <w:spacing w:line="360" w:lineRule="auto"/>
        <w:jc w:val="both"/>
        <w:rPr>
          <w:rFonts w:asciiTheme="majorHAnsi" w:hAnsiTheme="majorHAnsi" w:cstheme="majorHAnsi"/>
          <w:sz w:val="24"/>
          <w:szCs w:val="24"/>
          <w:lang w:eastAsia="pt-BR"/>
        </w:rPr>
      </w:pPr>
      <w:r w:rsidRPr="00EA16B0">
        <w:rPr>
          <w:rFonts w:asciiTheme="majorHAnsi" w:hAnsiTheme="majorHAnsi" w:cstheme="majorHAnsi"/>
          <w:sz w:val="24"/>
          <w:szCs w:val="24"/>
          <w:lang w:eastAsia="pt-BR"/>
        </w:rPr>
        <w:t>Visando a uma melhoria dos quadros de nível superior com pós-graduação, não apenas decorrente da meta anterior, mas também para atender o setor produtivo, a meta 14 assim está descrita no relatório de acompanhamento já citado (INEP, 2020):</w:t>
      </w:r>
    </w:p>
    <w:p w14:paraId="15D0F140" w14:textId="77777777" w:rsidR="00A45DA5" w:rsidRPr="00EA16B0" w:rsidRDefault="00A45DA5" w:rsidP="00D3608B">
      <w:pPr>
        <w:jc w:val="both"/>
        <w:rPr>
          <w:rFonts w:asciiTheme="majorHAnsi" w:hAnsiTheme="majorHAnsi" w:cstheme="majorHAnsi"/>
          <w:lang w:eastAsia="pt-BR"/>
        </w:rPr>
      </w:pPr>
    </w:p>
    <w:p w14:paraId="4334913D" w14:textId="77777777" w:rsidR="00D3608B" w:rsidRPr="00EA16B0" w:rsidRDefault="00D3608B" w:rsidP="00D3608B">
      <w:pPr>
        <w:tabs>
          <w:tab w:val="clear" w:pos="1615"/>
        </w:tabs>
        <w:autoSpaceDE w:val="0"/>
        <w:autoSpaceDN w:val="0"/>
        <w:adjustRightInd w:val="0"/>
        <w:spacing w:after="60"/>
        <w:ind w:left="2268"/>
        <w:jc w:val="both"/>
        <w:rPr>
          <w:rFonts w:asciiTheme="majorHAnsi" w:hAnsiTheme="majorHAnsi" w:cstheme="majorHAnsi"/>
          <w:sz w:val="20"/>
          <w:szCs w:val="20"/>
        </w:rPr>
      </w:pPr>
      <w:r w:rsidRPr="00EA16B0">
        <w:rPr>
          <w:rFonts w:asciiTheme="majorHAnsi" w:hAnsiTheme="majorHAnsi" w:cstheme="majorHAnsi"/>
          <w:sz w:val="20"/>
          <w:szCs w:val="20"/>
        </w:rPr>
        <w:t>Meta 14 do Plano Nacional de Educação (PNE) trata da evolução da pós-graduação stricto sensu brasileira e tem por objetivo elevar o número de títulos em cursos de mestrado e doutorado concedidos em todo o Brasil, atingindo 60 mil títulos de mestres e 25 mil títulos de doutores anualmente. Para o monitoramento da meta, são utilizados dois indicadores:</w:t>
      </w:r>
    </w:p>
    <w:p w14:paraId="52B4AFCB" w14:textId="77777777" w:rsidR="00D3608B" w:rsidRPr="00EA16B0" w:rsidRDefault="00D3608B" w:rsidP="00D3608B">
      <w:pPr>
        <w:tabs>
          <w:tab w:val="clear" w:pos="1615"/>
        </w:tabs>
        <w:autoSpaceDE w:val="0"/>
        <w:autoSpaceDN w:val="0"/>
        <w:adjustRightInd w:val="0"/>
        <w:spacing w:after="60"/>
        <w:ind w:left="2268"/>
        <w:rPr>
          <w:rFonts w:asciiTheme="majorHAnsi" w:hAnsiTheme="majorHAnsi" w:cstheme="majorHAnsi"/>
          <w:sz w:val="20"/>
          <w:szCs w:val="20"/>
        </w:rPr>
      </w:pPr>
      <w:r w:rsidRPr="00EA16B0">
        <w:rPr>
          <w:rFonts w:asciiTheme="majorHAnsi" w:hAnsiTheme="majorHAnsi" w:cstheme="majorHAnsi"/>
          <w:sz w:val="20"/>
          <w:szCs w:val="20"/>
        </w:rPr>
        <w:t>– Indicador 14A: Títulos de mestrado concedidos por ano no País.</w:t>
      </w:r>
    </w:p>
    <w:p w14:paraId="78C8E864" w14:textId="0BC3F028" w:rsidR="00D3608B" w:rsidRPr="00EA16B0" w:rsidRDefault="00D3608B" w:rsidP="00D3608B">
      <w:pPr>
        <w:ind w:left="2268" w:right="-1"/>
        <w:jc w:val="both"/>
        <w:rPr>
          <w:rFonts w:asciiTheme="majorHAnsi" w:hAnsiTheme="majorHAnsi" w:cstheme="majorHAnsi"/>
          <w:szCs w:val="20"/>
        </w:rPr>
      </w:pPr>
      <w:r w:rsidRPr="00EA16B0">
        <w:rPr>
          <w:rFonts w:asciiTheme="majorHAnsi" w:hAnsiTheme="majorHAnsi" w:cstheme="majorHAnsi"/>
          <w:sz w:val="20"/>
          <w:szCs w:val="20"/>
        </w:rPr>
        <w:t>– Indicador 14B: Títulos de doutorado concedidos por ano no</w:t>
      </w:r>
      <w:r w:rsidRPr="00EA16B0">
        <w:rPr>
          <w:rFonts w:asciiTheme="majorHAnsi" w:hAnsiTheme="majorHAnsi" w:cstheme="majorHAnsi"/>
          <w:szCs w:val="20"/>
        </w:rPr>
        <w:t xml:space="preserve"> País.</w:t>
      </w:r>
    </w:p>
    <w:p w14:paraId="76E0E214" w14:textId="77777777" w:rsidR="00A45DA5" w:rsidRPr="00EA16B0" w:rsidRDefault="00A45DA5" w:rsidP="00D3608B">
      <w:pPr>
        <w:ind w:left="2268" w:right="-1"/>
        <w:jc w:val="both"/>
        <w:rPr>
          <w:rFonts w:asciiTheme="majorHAnsi" w:hAnsiTheme="majorHAnsi" w:cstheme="majorHAnsi"/>
          <w:szCs w:val="20"/>
        </w:rPr>
      </w:pPr>
    </w:p>
    <w:p w14:paraId="4E8848E0" w14:textId="77777777" w:rsidR="00D3608B" w:rsidRPr="00EA16B0" w:rsidRDefault="00D3608B" w:rsidP="00A45DA5">
      <w:pPr>
        <w:spacing w:line="360" w:lineRule="auto"/>
        <w:ind w:right="-1" w:firstLine="709"/>
        <w:jc w:val="both"/>
        <w:rPr>
          <w:rFonts w:asciiTheme="majorHAnsi" w:hAnsiTheme="majorHAnsi" w:cstheme="majorHAnsi"/>
          <w:sz w:val="24"/>
          <w:szCs w:val="24"/>
        </w:rPr>
      </w:pPr>
      <w:r w:rsidRPr="00EA16B0">
        <w:rPr>
          <w:rFonts w:asciiTheme="majorHAnsi" w:hAnsiTheme="majorHAnsi" w:cstheme="majorHAnsi"/>
          <w:sz w:val="24"/>
          <w:szCs w:val="24"/>
        </w:rPr>
        <w:t>Esses valores, em 2013, eram da ordem de 50 mil mestrados/ano e 15 mil doutorados, mostrando que o esforço maior para o cumprimento da meta foi concentrado na titulação de doutores.</w:t>
      </w:r>
    </w:p>
    <w:p w14:paraId="5D609FA7" w14:textId="77777777" w:rsidR="00D3608B" w:rsidRPr="00EA16B0" w:rsidRDefault="00D3608B" w:rsidP="00A45DA5">
      <w:pPr>
        <w:spacing w:line="360" w:lineRule="auto"/>
        <w:ind w:right="-1" w:firstLine="709"/>
        <w:jc w:val="both"/>
        <w:rPr>
          <w:rFonts w:asciiTheme="majorHAnsi" w:hAnsiTheme="majorHAnsi" w:cstheme="majorHAnsi"/>
          <w:sz w:val="24"/>
          <w:szCs w:val="24"/>
        </w:rPr>
      </w:pPr>
      <w:r w:rsidRPr="00EA16B0">
        <w:rPr>
          <w:rFonts w:asciiTheme="majorHAnsi" w:hAnsiTheme="majorHAnsi" w:cstheme="majorHAnsi"/>
          <w:sz w:val="24"/>
          <w:szCs w:val="24"/>
        </w:rPr>
        <w:lastRenderedPageBreak/>
        <w:t>Em 2018, o número de mestrados defendidos foi 64.432 e de doutorados foi 22.901 — portanto, com o indicador 14A ultrapassado e com o 14B com possibilidades reais de também ser atingido e ultrapassado até 2024.</w:t>
      </w:r>
    </w:p>
    <w:p w14:paraId="5ED9A12F" w14:textId="77777777" w:rsidR="00D3608B" w:rsidRPr="00EA16B0" w:rsidRDefault="00D3608B" w:rsidP="00A45DA5">
      <w:pPr>
        <w:spacing w:line="360" w:lineRule="auto"/>
        <w:ind w:right="-1" w:firstLine="709"/>
        <w:jc w:val="both"/>
        <w:rPr>
          <w:rFonts w:asciiTheme="majorHAnsi" w:hAnsiTheme="majorHAnsi" w:cstheme="majorHAnsi"/>
          <w:sz w:val="24"/>
          <w:szCs w:val="24"/>
        </w:rPr>
      </w:pPr>
      <w:r w:rsidRPr="00EA16B0">
        <w:rPr>
          <w:rFonts w:asciiTheme="majorHAnsi" w:hAnsiTheme="majorHAnsi" w:cstheme="majorHAnsi"/>
          <w:sz w:val="24"/>
          <w:szCs w:val="24"/>
        </w:rPr>
        <w:t>A figura 3.3 mostra o número de dissertações por 100.000 habitantes em cada unidade federativa e a média nacional, o mesmo ocorrendo com a figura 3.4 com relação ao número de doutorados.</w:t>
      </w:r>
    </w:p>
    <w:p w14:paraId="5E0967E8" w14:textId="179EF744" w:rsidR="00D3608B" w:rsidRPr="00EA16B0" w:rsidRDefault="00D3608B" w:rsidP="00A45DA5">
      <w:pPr>
        <w:spacing w:line="360" w:lineRule="auto"/>
        <w:ind w:right="-1" w:firstLine="709"/>
        <w:jc w:val="both"/>
        <w:rPr>
          <w:rFonts w:asciiTheme="majorHAnsi" w:hAnsiTheme="majorHAnsi" w:cstheme="majorHAnsi"/>
          <w:sz w:val="24"/>
          <w:szCs w:val="24"/>
        </w:rPr>
      </w:pPr>
      <w:r w:rsidRPr="00EA16B0">
        <w:rPr>
          <w:rFonts w:asciiTheme="majorHAnsi" w:hAnsiTheme="majorHAnsi" w:cstheme="majorHAnsi"/>
          <w:sz w:val="24"/>
          <w:szCs w:val="24"/>
        </w:rPr>
        <w:t>Figura 3.3 Número de dissertações de mestrado por 100 mil habitantes nas diferentes unidades da federação em 2018.</w:t>
      </w:r>
    </w:p>
    <w:p w14:paraId="4880BAC1" w14:textId="77777777" w:rsidR="00A45DA5" w:rsidRPr="00EA16B0" w:rsidRDefault="00A45DA5" w:rsidP="00A45DA5">
      <w:pPr>
        <w:spacing w:line="360" w:lineRule="auto"/>
        <w:ind w:right="-1" w:firstLine="709"/>
        <w:jc w:val="both"/>
        <w:rPr>
          <w:rFonts w:asciiTheme="majorHAnsi" w:hAnsiTheme="majorHAnsi" w:cstheme="majorHAnsi"/>
          <w:sz w:val="24"/>
          <w:szCs w:val="24"/>
        </w:rPr>
      </w:pPr>
    </w:p>
    <w:p w14:paraId="29E41556" w14:textId="77777777" w:rsidR="00D3608B" w:rsidRPr="00EA16B0" w:rsidRDefault="00D3608B" w:rsidP="00D3608B">
      <w:pPr>
        <w:spacing w:after="0"/>
        <w:ind w:right="-1"/>
        <w:jc w:val="center"/>
        <w:rPr>
          <w:rFonts w:asciiTheme="majorHAnsi" w:hAnsiTheme="majorHAnsi" w:cstheme="majorHAnsi"/>
          <w:sz w:val="16"/>
          <w:szCs w:val="20"/>
        </w:rPr>
      </w:pPr>
      <w:r w:rsidRPr="00EA16B0">
        <w:rPr>
          <w:rFonts w:asciiTheme="majorHAnsi" w:hAnsiTheme="majorHAnsi" w:cstheme="majorHAnsi"/>
          <w:noProof/>
          <w:lang w:eastAsia="pt-BR"/>
        </w:rPr>
        <w:drawing>
          <wp:inline distT="0" distB="0" distL="0" distR="0" wp14:anchorId="6C66C855" wp14:editId="7835770C">
            <wp:extent cx="4244454" cy="2553903"/>
            <wp:effectExtent l="0" t="0" r="381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60806" cy="2563742"/>
                    </a:xfrm>
                    <a:prstGeom prst="rect">
                      <a:avLst/>
                    </a:prstGeom>
                    <a:noFill/>
                    <a:ln>
                      <a:noFill/>
                    </a:ln>
                  </pic:spPr>
                </pic:pic>
              </a:graphicData>
            </a:graphic>
          </wp:inline>
        </w:drawing>
      </w:r>
    </w:p>
    <w:p w14:paraId="2E1346DB" w14:textId="0D8949CB" w:rsidR="00D3608B" w:rsidRPr="00EA16B0" w:rsidRDefault="00D3608B" w:rsidP="00A45DA5">
      <w:pPr>
        <w:ind w:right="-1"/>
        <w:rPr>
          <w:rFonts w:asciiTheme="majorHAnsi" w:hAnsiTheme="majorHAnsi" w:cstheme="majorHAnsi"/>
          <w:sz w:val="16"/>
          <w:szCs w:val="20"/>
        </w:rPr>
      </w:pPr>
      <w:r w:rsidRPr="00EA16B0">
        <w:rPr>
          <w:rFonts w:asciiTheme="majorHAnsi" w:hAnsiTheme="majorHAnsi" w:cstheme="majorHAnsi"/>
          <w:sz w:val="16"/>
          <w:szCs w:val="20"/>
        </w:rPr>
        <w:t>Fonte: Organizado pelo autor, a partir do Relatório do 3.</w:t>
      </w:r>
      <w:r w:rsidRPr="00EA16B0">
        <w:rPr>
          <w:rFonts w:asciiTheme="majorHAnsi" w:hAnsiTheme="majorHAnsi" w:cstheme="majorHAnsi"/>
          <w:sz w:val="16"/>
          <w:szCs w:val="20"/>
          <w:vertAlign w:val="superscript"/>
        </w:rPr>
        <w:t>o</w:t>
      </w:r>
      <w:r w:rsidRPr="00EA16B0">
        <w:rPr>
          <w:rFonts w:asciiTheme="majorHAnsi" w:hAnsiTheme="majorHAnsi" w:cstheme="majorHAnsi"/>
          <w:sz w:val="16"/>
          <w:szCs w:val="20"/>
        </w:rPr>
        <w:t xml:space="preserve"> ciclo de acompanhamento das metas do PNE – INEP (2020)</w:t>
      </w:r>
    </w:p>
    <w:p w14:paraId="66E0B5C1" w14:textId="77777777" w:rsidR="00A45DA5" w:rsidRPr="00EA16B0" w:rsidRDefault="00A45DA5" w:rsidP="00A45DA5">
      <w:pPr>
        <w:ind w:right="-1"/>
        <w:rPr>
          <w:rFonts w:asciiTheme="majorHAnsi" w:hAnsiTheme="majorHAnsi" w:cstheme="majorHAnsi"/>
          <w:sz w:val="16"/>
          <w:szCs w:val="20"/>
        </w:rPr>
      </w:pPr>
    </w:p>
    <w:p w14:paraId="34920565" w14:textId="77777777" w:rsidR="00D3608B" w:rsidRPr="00EA16B0" w:rsidRDefault="00D3608B" w:rsidP="00D3608B">
      <w:pPr>
        <w:ind w:right="-1"/>
        <w:jc w:val="both"/>
        <w:rPr>
          <w:rFonts w:asciiTheme="majorHAnsi" w:hAnsiTheme="majorHAnsi" w:cstheme="majorHAnsi"/>
          <w:sz w:val="20"/>
          <w:szCs w:val="20"/>
        </w:rPr>
      </w:pPr>
      <w:r w:rsidRPr="00EA16B0">
        <w:rPr>
          <w:rFonts w:asciiTheme="majorHAnsi" w:hAnsiTheme="majorHAnsi" w:cstheme="majorHAnsi"/>
          <w:sz w:val="20"/>
          <w:szCs w:val="20"/>
        </w:rPr>
        <w:t>Figura 3.4 Número de teses de doutorado por 100 mil habitantes nas diferentes unidades da federação em 2018.</w:t>
      </w:r>
    </w:p>
    <w:p w14:paraId="60E5B241" w14:textId="77777777" w:rsidR="00D3608B" w:rsidRPr="00EA16B0" w:rsidRDefault="00D3608B" w:rsidP="00D3608B">
      <w:pPr>
        <w:spacing w:after="0"/>
        <w:jc w:val="center"/>
        <w:rPr>
          <w:rFonts w:asciiTheme="majorHAnsi" w:hAnsiTheme="majorHAnsi" w:cstheme="majorHAnsi"/>
          <w:sz w:val="16"/>
          <w:szCs w:val="20"/>
        </w:rPr>
      </w:pPr>
      <w:r w:rsidRPr="00EA16B0">
        <w:rPr>
          <w:rFonts w:asciiTheme="majorHAnsi" w:hAnsiTheme="majorHAnsi" w:cstheme="majorHAnsi"/>
          <w:sz w:val="16"/>
          <w:szCs w:val="20"/>
        </w:rPr>
        <w:t xml:space="preserve"> </w:t>
      </w:r>
      <w:r w:rsidRPr="00EA16B0">
        <w:rPr>
          <w:rFonts w:asciiTheme="majorHAnsi" w:hAnsiTheme="majorHAnsi" w:cstheme="majorHAnsi"/>
          <w:noProof/>
          <w:lang w:eastAsia="pt-BR"/>
        </w:rPr>
        <w:drawing>
          <wp:inline distT="0" distB="0" distL="0" distR="0" wp14:anchorId="775A9BD8" wp14:editId="09133F89">
            <wp:extent cx="4244454" cy="2489780"/>
            <wp:effectExtent l="0" t="0" r="3810" b="635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76577" cy="2508623"/>
                    </a:xfrm>
                    <a:prstGeom prst="rect">
                      <a:avLst/>
                    </a:prstGeom>
                    <a:noFill/>
                    <a:ln>
                      <a:noFill/>
                    </a:ln>
                  </pic:spPr>
                </pic:pic>
              </a:graphicData>
            </a:graphic>
          </wp:inline>
        </w:drawing>
      </w:r>
    </w:p>
    <w:p w14:paraId="66F45B27" w14:textId="77777777" w:rsidR="00D3608B" w:rsidRPr="00EA16B0" w:rsidRDefault="00D3608B" w:rsidP="00A45DA5">
      <w:pPr>
        <w:rPr>
          <w:rFonts w:asciiTheme="majorHAnsi" w:hAnsiTheme="majorHAnsi" w:cstheme="majorHAnsi"/>
          <w:sz w:val="16"/>
          <w:szCs w:val="20"/>
        </w:rPr>
      </w:pPr>
      <w:r w:rsidRPr="00EA16B0">
        <w:rPr>
          <w:rFonts w:asciiTheme="majorHAnsi" w:hAnsiTheme="majorHAnsi" w:cstheme="majorHAnsi"/>
          <w:sz w:val="16"/>
          <w:szCs w:val="20"/>
        </w:rPr>
        <w:t>Fonte: Organizado pelo autor, a partir do Relatório do 3.</w:t>
      </w:r>
      <w:r w:rsidRPr="00EA16B0">
        <w:rPr>
          <w:rFonts w:asciiTheme="majorHAnsi" w:hAnsiTheme="majorHAnsi" w:cstheme="majorHAnsi"/>
          <w:sz w:val="16"/>
          <w:szCs w:val="20"/>
          <w:vertAlign w:val="superscript"/>
        </w:rPr>
        <w:t>o</w:t>
      </w:r>
      <w:r w:rsidRPr="00EA16B0">
        <w:rPr>
          <w:rFonts w:asciiTheme="majorHAnsi" w:hAnsiTheme="majorHAnsi" w:cstheme="majorHAnsi"/>
          <w:sz w:val="16"/>
          <w:szCs w:val="20"/>
        </w:rPr>
        <w:t xml:space="preserve"> ciclo de acompanhamento das metas do PNE – INEP (2020)</w:t>
      </w:r>
    </w:p>
    <w:p w14:paraId="4759C474" w14:textId="77777777" w:rsidR="00D3608B" w:rsidRPr="00EA16B0" w:rsidRDefault="00D3608B" w:rsidP="00A45DA5">
      <w:pPr>
        <w:spacing w:line="360" w:lineRule="auto"/>
        <w:ind w:right="-1"/>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color w:val="000000"/>
          <w:sz w:val="24"/>
          <w:lang w:eastAsia="pt-BR"/>
        </w:rPr>
        <w:lastRenderedPageBreak/>
        <w:t>Percebe-se que as unidades da federação com os menores valores são as mesmas e que, a despeito de São Paulo apresentar os maiores valores absolutos, em função de sua população, contribui para a média nacional de forma maior e se situa próximo a ela, especialmente no mestrado.</w:t>
      </w:r>
    </w:p>
    <w:p w14:paraId="59D27573" w14:textId="77777777" w:rsidR="00D3608B" w:rsidRPr="00EA16B0" w:rsidRDefault="00D3608B" w:rsidP="00A45DA5">
      <w:pPr>
        <w:spacing w:line="360" w:lineRule="auto"/>
        <w:ind w:right="-1"/>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color w:val="000000"/>
          <w:sz w:val="24"/>
          <w:lang w:eastAsia="pt-BR"/>
        </w:rPr>
        <w:t>A destacar, ainda, que os programas de mestrado e de doutorado são mais nacionais do que as graduações e, portanto, as teses defendidas referem-se aos matriculados naquela unidade da federação e não obrigatoriamente a sua origem ou destino dos estudantes após o término da formação.</w:t>
      </w:r>
    </w:p>
    <w:p w14:paraId="79F09869" w14:textId="77777777" w:rsidR="00D3608B" w:rsidRPr="00EA16B0" w:rsidRDefault="00D3608B" w:rsidP="00A45DA5">
      <w:pPr>
        <w:spacing w:line="360" w:lineRule="auto"/>
        <w:ind w:right="-1"/>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color w:val="000000"/>
          <w:sz w:val="24"/>
          <w:lang w:eastAsia="pt-BR"/>
        </w:rPr>
        <w:t>Está cada vez mais comum a exigência, por parte de algumas empresas, de titulação de mestrado para seus cargos de chefia e direção, o que reforça a ideia de que a formação tende a ser exigida para além dos limites das IES.</w:t>
      </w:r>
    </w:p>
    <w:p w14:paraId="1E13F9F8" w14:textId="77777777" w:rsidR="00D3608B" w:rsidRPr="00EA16B0" w:rsidRDefault="00D3608B" w:rsidP="00A45DA5">
      <w:pPr>
        <w:spacing w:line="360" w:lineRule="auto"/>
        <w:ind w:right="-1"/>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color w:val="000000"/>
          <w:sz w:val="24"/>
          <w:lang w:eastAsia="pt-BR"/>
        </w:rPr>
        <w:t>Com isso, a distribuição das áreas em que os títulos são obtidos também poderá sofrer alterações, esperando-se que as áreas de Engenharias e de Ciências Sociais aplicadas tenham maiores aumentos. A distribuição em 2018 está mostrada na Figura 3.5.</w:t>
      </w:r>
    </w:p>
    <w:p w14:paraId="7F696273" w14:textId="77777777" w:rsidR="00D3608B" w:rsidRPr="00EA16B0" w:rsidRDefault="00D3608B" w:rsidP="00D3608B">
      <w:pPr>
        <w:ind w:right="-1"/>
        <w:jc w:val="both"/>
        <w:rPr>
          <w:rFonts w:asciiTheme="majorHAnsi" w:eastAsia="Times New Roman" w:hAnsiTheme="majorHAnsi" w:cstheme="majorHAnsi"/>
          <w:color w:val="000000"/>
          <w:sz w:val="20"/>
          <w:szCs w:val="21"/>
          <w:lang w:eastAsia="pt-BR"/>
        </w:rPr>
      </w:pPr>
      <w:r w:rsidRPr="00EA16B0">
        <w:rPr>
          <w:rFonts w:asciiTheme="majorHAnsi" w:eastAsia="Times New Roman" w:hAnsiTheme="majorHAnsi" w:cstheme="majorHAnsi"/>
          <w:color w:val="000000"/>
          <w:sz w:val="20"/>
          <w:szCs w:val="21"/>
          <w:lang w:eastAsia="pt-BR"/>
        </w:rPr>
        <w:t>Figura 3.5. Distribuição das formações em Mestrado e Doutorado por área estabelecida pela CAPES, em 2018.</w:t>
      </w:r>
    </w:p>
    <w:p w14:paraId="08F2E14C" w14:textId="77777777" w:rsidR="00D3608B" w:rsidRPr="00EA16B0" w:rsidRDefault="00D3608B" w:rsidP="00D3608B">
      <w:pPr>
        <w:spacing w:after="0"/>
        <w:ind w:right="851"/>
        <w:jc w:val="both"/>
        <w:rPr>
          <w:rFonts w:asciiTheme="majorHAnsi" w:eastAsia="Times New Roman" w:hAnsiTheme="majorHAnsi" w:cstheme="majorHAnsi"/>
          <w:color w:val="000000"/>
          <w:sz w:val="20"/>
          <w:szCs w:val="21"/>
          <w:lang w:eastAsia="pt-BR"/>
        </w:rPr>
      </w:pPr>
      <w:r w:rsidRPr="00EA16B0">
        <w:rPr>
          <w:rFonts w:asciiTheme="majorHAnsi" w:hAnsiTheme="majorHAnsi" w:cstheme="majorHAnsi"/>
          <w:noProof/>
          <w:lang w:eastAsia="pt-BR"/>
        </w:rPr>
        <w:drawing>
          <wp:inline distT="0" distB="0" distL="0" distR="0" wp14:anchorId="75B85632" wp14:editId="3BCFC32F">
            <wp:extent cx="6092899" cy="2238375"/>
            <wp:effectExtent l="0" t="0" r="317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94388" cy="2238922"/>
                    </a:xfrm>
                    <a:prstGeom prst="rect">
                      <a:avLst/>
                    </a:prstGeom>
                    <a:noFill/>
                    <a:ln>
                      <a:noFill/>
                    </a:ln>
                  </pic:spPr>
                </pic:pic>
              </a:graphicData>
            </a:graphic>
          </wp:inline>
        </w:drawing>
      </w:r>
    </w:p>
    <w:p w14:paraId="68B9DC7A" w14:textId="77777777" w:rsidR="00D3608B" w:rsidRPr="00EA16B0" w:rsidRDefault="00D3608B" w:rsidP="00D3608B">
      <w:pPr>
        <w:jc w:val="center"/>
        <w:rPr>
          <w:rFonts w:asciiTheme="majorHAnsi" w:hAnsiTheme="majorHAnsi" w:cstheme="majorHAnsi"/>
          <w:sz w:val="16"/>
          <w:szCs w:val="16"/>
        </w:rPr>
      </w:pPr>
      <w:r w:rsidRPr="00EA16B0">
        <w:rPr>
          <w:rFonts w:asciiTheme="majorHAnsi" w:hAnsiTheme="majorHAnsi" w:cstheme="majorHAnsi"/>
          <w:sz w:val="16"/>
          <w:szCs w:val="16"/>
        </w:rPr>
        <w:t xml:space="preserve">Fonte: Elaborado pela </w:t>
      </w:r>
      <w:proofErr w:type="spellStart"/>
      <w:r w:rsidRPr="00EA16B0">
        <w:rPr>
          <w:rFonts w:asciiTheme="majorHAnsi" w:hAnsiTheme="majorHAnsi" w:cstheme="majorHAnsi"/>
          <w:sz w:val="16"/>
          <w:szCs w:val="16"/>
        </w:rPr>
        <w:t>Dired</w:t>
      </w:r>
      <w:proofErr w:type="spellEnd"/>
      <w:r w:rsidRPr="00EA16B0">
        <w:rPr>
          <w:rFonts w:asciiTheme="majorHAnsi" w:hAnsiTheme="majorHAnsi" w:cstheme="majorHAnsi"/>
          <w:sz w:val="16"/>
          <w:szCs w:val="16"/>
        </w:rPr>
        <w:t xml:space="preserve">/Inep com base em dados do Sistema de Informações Georreferenciadas – </w:t>
      </w:r>
      <w:proofErr w:type="spellStart"/>
      <w:r w:rsidRPr="00EA16B0">
        <w:rPr>
          <w:rFonts w:asciiTheme="majorHAnsi" w:hAnsiTheme="majorHAnsi" w:cstheme="majorHAnsi"/>
          <w:sz w:val="16"/>
          <w:szCs w:val="16"/>
        </w:rPr>
        <w:t>GeoCapes</w:t>
      </w:r>
      <w:proofErr w:type="spellEnd"/>
      <w:r w:rsidRPr="00EA16B0">
        <w:rPr>
          <w:rFonts w:asciiTheme="majorHAnsi" w:hAnsiTheme="majorHAnsi" w:cstheme="majorHAnsi"/>
          <w:sz w:val="16"/>
          <w:szCs w:val="16"/>
        </w:rPr>
        <w:t xml:space="preserve"> (2018) e presente no Relatório de 3.</w:t>
      </w:r>
      <w:r w:rsidRPr="00EA16B0">
        <w:rPr>
          <w:rFonts w:asciiTheme="majorHAnsi" w:hAnsiTheme="majorHAnsi" w:cstheme="majorHAnsi"/>
          <w:sz w:val="16"/>
          <w:szCs w:val="16"/>
          <w:vertAlign w:val="superscript"/>
        </w:rPr>
        <w:t>o</w:t>
      </w:r>
      <w:r w:rsidRPr="00EA16B0">
        <w:rPr>
          <w:rFonts w:asciiTheme="majorHAnsi" w:hAnsiTheme="majorHAnsi" w:cstheme="majorHAnsi"/>
          <w:sz w:val="16"/>
          <w:szCs w:val="16"/>
        </w:rPr>
        <w:t xml:space="preserve"> ciclo de acompanhamento das metas do PNE, p.301 (NEP, 2020)</w:t>
      </w:r>
    </w:p>
    <w:p w14:paraId="1BD9EC7B" w14:textId="77777777" w:rsidR="00A45DA5" w:rsidRPr="00EA16B0" w:rsidRDefault="00A45DA5" w:rsidP="00A45DA5">
      <w:pPr>
        <w:spacing w:line="360" w:lineRule="auto"/>
        <w:ind w:firstLine="709"/>
        <w:jc w:val="both"/>
        <w:rPr>
          <w:rFonts w:asciiTheme="majorHAnsi" w:eastAsia="Times New Roman" w:hAnsiTheme="majorHAnsi" w:cstheme="majorHAnsi"/>
          <w:color w:val="000000"/>
          <w:sz w:val="24"/>
          <w:lang w:eastAsia="pt-BR"/>
        </w:rPr>
      </w:pPr>
    </w:p>
    <w:p w14:paraId="3D4C132E" w14:textId="13FE3F95" w:rsidR="00D3608B" w:rsidRPr="00EA16B0" w:rsidRDefault="00D3608B" w:rsidP="00A45DA5">
      <w:pPr>
        <w:spacing w:line="360" w:lineRule="auto"/>
        <w:ind w:firstLine="709"/>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color w:val="000000"/>
          <w:sz w:val="24"/>
          <w:lang w:eastAsia="pt-BR"/>
        </w:rPr>
        <w:t xml:space="preserve">Com relação às áreas, os dados revelam uma tendência de aumento das áreas multidisciplinares que, em 2013, representavam 10,5% e 6% para mestrados e doutorados e, em 2018, eram de 14% e 10%, o que significa aumentos de 1/3 e 2/3, respectivamente. </w:t>
      </w:r>
    </w:p>
    <w:p w14:paraId="2A88A3E7" w14:textId="77777777" w:rsidR="00D3608B" w:rsidRPr="00EA16B0" w:rsidRDefault="00D3608B" w:rsidP="00A45DA5">
      <w:pPr>
        <w:spacing w:line="360" w:lineRule="auto"/>
        <w:ind w:firstLine="709"/>
        <w:jc w:val="both"/>
        <w:rPr>
          <w:rFonts w:asciiTheme="majorHAnsi" w:eastAsia="Times New Roman" w:hAnsiTheme="majorHAnsi" w:cstheme="majorHAnsi"/>
          <w:color w:val="000000"/>
          <w:sz w:val="24"/>
          <w:lang w:eastAsia="pt-BR"/>
        </w:rPr>
      </w:pPr>
      <w:r w:rsidRPr="00EA16B0">
        <w:rPr>
          <w:rFonts w:asciiTheme="majorHAnsi" w:eastAsia="Times New Roman" w:hAnsiTheme="majorHAnsi" w:cstheme="majorHAnsi"/>
          <w:color w:val="000000"/>
          <w:sz w:val="24"/>
          <w:lang w:eastAsia="pt-BR"/>
        </w:rPr>
        <w:t xml:space="preserve">Assim, a despeito de o Distrito Federal ter valores expressivamente maiores que a média nacional no que diz respeito ao número de formados/100 mil habitantes, um refinamento da </w:t>
      </w:r>
      <w:r w:rsidRPr="00EA16B0">
        <w:rPr>
          <w:rFonts w:asciiTheme="majorHAnsi" w:eastAsia="Times New Roman" w:hAnsiTheme="majorHAnsi" w:cstheme="majorHAnsi"/>
          <w:color w:val="000000"/>
          <w:sz w:val="24"/>
          <w:lang w:eastAsia="pt-BR"/>
        </w:rPr>
        <w:lastRenderedPageBreak/>
        <w:t xml:space="preserve">abrangência das diferentes áreas aliado a um aumento de formações voltadas para as empresas locais, em especial na área das TICs, deve ser uma aposta que leve ao desenvolvimento diferenciado </w:t>
      </w:r>
      <w:proofErr w:type="gramStart"/>
      <w:r w:rsidRPr="00EA16B0">
        <w:rPr>
          <w:rFonts w:asciiTheme="majorHAnsi" w:eastAsia="Times New Roman" w:hAnsiTheme="majorHAnsi" w:cstheme="majorHAnsi"/>
          <w:color w:val="000000"/>
          <w:sz w:val="24"/>
          <w:lang w:eastAsia="pt-BR"/>
        </w:rPr>
        <w:t>da mesma</w:t>
      </w:r>
      <w:proofErr w:type="gramEnd"/>
      <w:r w:rsidRPr="00EA16B0">
        <w:rPr>
          <w:rFonts w:asciiTheme="majorHAnsi" w:eastAsia="Times New Roman" w:hAnsiTheme="majorHAnsi" w:cstheme="majorHAnsi"/>
          <w:color w:val="000000"/>
          <w:sz w:val="24"/>
          <w:lang w:eastAsia="pt-BR"/>
        </w:rPr>
        <w:t xml:space="preserve"> na região.</w:t>
      </w:r>
    </w:p>
    <w:p w14:paraId="5704A6BD" w14:textId="77777777" w:rsidR="00D3608B" w:rsidRPr="00EA16B0" w:rsidRDefault="00D3608B" w:rsidP="00A45DA5">
      <w:pPr>
        <w:spacing w:after="120" w:line="360" w:lineRule="auto"/>
        <w:ind w:firstLine="709"/>
        <w:jc w:val="both"/>
        <w:rPr>
          <w:rFonts w:asciiTheme="majorHAnsi" w:hAnsiTheme="majorHAnsi" w:cstheme="majorHAnsi"/>
          <w:sz w:val="24"/>
          <w:szCs w:val="24"/>
        </w:rPr>
      </w:pPr>
      <w:r w:rsidRPr="00EA16B0">
        <w:rPr>
          <w:rFonts w:asciiTheme="majorHAnsi" w:hAnsiTheme="majorHAnsi" w:cstheme="majorHAnsi"/>
          <w:spacing w:val="-4"/>
          <w:sz w:val="24"/>
          <w:szCs w:val="24"/>
        </w:rPr>
        <w:t>Nesse cenário, os cursos de especialização também poderão compor parcela importante da formação ministrada</w:t>
      </w:r>
      <w:r w:rsidRPr="00EA16B0">
        <w:rPr>
          <w:rFonts w:asciiTheme="majorHAnsi" w:hAnsiTheme="majorHAnsi" w:cstheme="majorHAnsi"/>
          <w:sz w:val="24"/>
          <w:szCs w:val="24"/>
        </w:rPr>
        <w:t xml:space="preserve"> </w:t>
      </w:r>
      <w:r w:rsidRPr="00EA16B0">
        <w:rPr>
          <w:rFonts w:asciiTheme="majorHAnsi" w:hAnsiTheme="majorHAnsi" w:cstheme="majorHAnsi"/>
          <w:spacing w:val="-2"/>
          <w:sz w:val="24"/>
          <w:szCs w:val="24"/>
        </w:rPr>
        <w:t xml:space="preserve">pela </w:t>
      </w:r>
      <w:proofErr w:type="spellStart"/>
      <w:r w:rsidRPr="00EA16B0">
        <w:rPr>
          <w:rFonts w:asciiTheme="majorHAnsi" w:hAnsiTheme="majorHAnsi" w:cstheme="majorHAnsi"/>
          <w:spacing w:val="-2"/>
          <w:sz w:val="24"/>
          <w:szCs w:val="24"/>
        </w:rPr>
        <w:t>UnDF</w:t>
      </w:r>
      <w:proofErr w:type="spellEnd"/>
      <w:r w:rsidRPr="00EA16B0">
        <w:rPr>
          <w:rFonts w:asciiTheme="majorHAnsi" w:hAnsiTheme="majorHAnsi" w:cstheme="majorHAnsi"/>
          <w:spacing w:val="-2"/>
          <w:sz w:val="24"/>
          <w:szCs w:val="24"/>
        </w:rPr>
        <w:t>, aliando-se à Residência Médica na formação de especialistas para o país. Além disso, como podem</w:t>
      </w:r>
      <w:r w:rsidRPr="00EA16B0">
        <w:rPr>
          <w:rFonts w:asciiTheme="majorHAnsi" w:hAnsiTheme="majorHAnsi" w:cstheme="majorHAnsi"/>
          <w:sz w:val="24"/>
          <w:szCs w:val="24"/>
        </w:rPr>
        <w:t xml:space="preserve"> ser certificados quando da realização de programas de mestrado e de doutorado, conforme disposto no Art. 10 </w:t>
      </w:r>
      <w:r w:rsidRPr="00EA16B0">
        <w:rPr>
          <w:rFonts w:asciiTheme="majorHAnsi" w:hAnsiTheme="majorHAnsi" w:cstheme="majorHAnsi"/>
          <w:spacing w:val="-2"/>
          <w:sz w:val="24"/>
          <w:szCs w:val="24"/>
        </w:rPr>
        <w:t>da Resolução CNE n. 1/2018 (CNE, 2018) e já tratado neste relatório, poderão compor com esses programas, a</w:t>
      </w:r>
      <w:r w:rsidRPr="00EA16B0">
        <w:rPr>
          <w:rFonts w:asciiTheme="majorHAnsi" w:hAnsiTheme="majorHAnsi" w:cstheme="majorHAnsi"/>
          <w:sz w:val="24"/>
          <w:szCs w:val="24"/>
        </w:rPr>
        <w:t xml:space="preserve"> </w:t>
      </w:r>
      <w:r w:rsidRPr="00EA16B0">
        <w:rPr>
          <w:rFonts w:asciiTheme="majorHAnsi" w:hAnsiTheme="majorHAnsi" w:cstheme="majorHAnsi"/>
          <w:spacing w:val="-4"/>
          <w:sz w:val="24"/>
          <w:szCs w:val="24"/>
        </w:rPr>
        <w:t>mesma lógica que está proposta para os cursos sequenciais com relação aos cursos de graduação, especialmente</w:t>
      </w:r>
      <w:r w:rsidRPr="00EA16B0">
        <w:rPr>
          <w:rFonts w:asciiTheme="majorHAnsi" w:hAnsiTheme="majorHAnsi" w:cstheme="majorHAnsi"/>
          <w:sz w:val="24"/>
          <w:szCs w:val="24"/>
        </w:rPr>
        <w:t xml:space="preserve"> para profissionais que não dispõem de tempo exclusivo para a realização de suas dissertações ou de teses.</w:t>
      </w:r>
    </w:p>
    <w:p w14:paraId="687D87FC" w14:textId="241338F0" w:rsidR="00D3608B" w:rsidRPr="00EA16B0" w:rsidRDefault="00751777" w:rsidP="003A7871">
      <w:pPr>
        <w:pStyle w:val="Ttulo3"/>
        <w:numPr>
          <w:ilvl w:val="2"/>
          <w:numId w:val="1"/>
        </w:numPr>
        <w:ind w:left="709" w:hanging="709"/>
        <w:rPr>
          <w:rFonts w:asciiTheme="majorHAnsi" w:hAnsiTheme="majorHAnsi" w:cstheme="majorHAnsi"/>
        </w:rPr>
      </w:pPr>
      <w:bookmarkStart w:id="81" w:name="_Toc102319410"/>
      <w:r w:rsidRPr="00EA16B0">
        <w:rPr>
          <w:rFonts w:asciiTheme="majorHAnsi" w:hAnsiTheme="majorHAnsi" w:cstheme="majorHAnsi"/>
        </w:rPr>
        <w:t>PARA OS PROFESSORES DA EDUCAÇÃO BÁSICA</w:t>
      </w:r>
      <w:bookmarkEnd w:id="81"/>
    </w:p>
    <w:p w14:paraId="32D6BAE5" w14:textId="77777777" w:rsidR="00D3608B" w:rsidRPr="00EA16B0" w:rsidRDefault="00D3608B" w:rsidP="00A45DA5">
      <w:pPr>
        <w:spacing w:line="360" w:lineRule="auto"/>
        <w:ind w:firstLine="709"/>
        <w:rPr>
          <w:rFonts w:asciiTheme="majorHAnsi" w:hAnsiTheme="majorHAnsi" w:cstheme="majorHAnsi"/>
          <w:sz w:val="24"/>
          <w:szCs w:val="24"/>
        </w:rPr>
      </w:pPr>
      <w:r w:rsidRPr="00EA16B0">
        <w:rPr>
          <w:rFonts w:asciiTheme="majorHAnsi" w:hAnsiTheme="majorHAnsi" w:cstheme="majorHAnsi"/>
          <w:sz w:val="24"/>
          <w:szCs w:val="24"/>
        </w:rPr>
        <w:t>Finalmente, e não menos importante, a meta 16 do PNE estabelece:</w:t>
      </w:r>
    </w:p>
    <w:p w14:paraId="012ACFC1" w14:textId="77777777" w:rsidR="00A45DA5" w:rsidRPr="00EA16B0" w:rsidRDefault="00A45DA5" w:rsidP="00D3608B">
      <w:pPr>
        <w:tabs>
          <w:tab w:val="clear" w:pos="1615"/>
        </w:tabs>
        <w:autoSpaceDE w:val="0"/>
        <w:autoSpaceDN w:val="0"/>
        <w:adjustRightInd w:val="0"/>
        <w:spacing w:after="0"/>
        <w:ind w:left="2268" w:right="849"/>
        <w:jc w:val="both"/>
        <w:rPr>
          <w:rFonts w:asciiTheme="majorHAnsi" w:hAnsiTheme="majorHAnsi" w:cstheme="majorHAnsi"/>
          <w:sz w:val="20"/>
          <w:szCs w:val="20"/>
        </w:rPr>
      </w:pPr>
    </w:p>
    <w:p w14:paraId="72CCAFB1" w14:textId="1EB0D6BD" w:rsidR="00D3608B" w:rsidRPr="00EA16B0" w:rsidRDefault="00D3608B" w:rsidP="00D3608B">
      <w:pPr>
        <w:tabs>
          <w:tab w:val="clear" w:pos="1615"/>
        </w:tabs>
        <w:autoSpaceDE w:val="0"/>
        <w:autoSpaceDN w:val="0"/>
        <w:adjustRightInd w:val="0"/>
        <w:spacing w:after="0"/>
        <w:ind w:left="2268" w:right="849"/>
        <w:jc w:val="both"/>
        <w:rPr>
          <w:rFonts w:asciiTheme="majorHAnsi" w:hAnsiTheme="majorHAnsi" w:cstheme="majorHAnsi"/>
          <w:sz w:val="20"/>
          <w:szCs w:val="20"/>
        </w:rPr>
      </w:pPr>
      <w:r w:rsidRPr="00EA16B0">
        <w:rPr>
          <w:rFonts w:asciiTheme="majorHAnsi" w:hAnsiTheme="majorHAnsi" w:cstheme="majorHAnsi"/>
          <w:sz w:val="20"/>
          <w:szCs w:val="20"/>
        </w:rPr>
        <w:t>A Meta 16 destina-se a promover a formação e valorização dos profissionais da educação. Para tanto, são descritos dois intentos: a) formar, em nível de pós-graduação, 50% dos professores da educação básica, até o último ano de vigência do Plano Nacional de Educação (PNE); e b) garantir a formação continuada a todos os profissionais da educação básica, em sua área de atuação, considerando as necessidades, demandas e contextualizações dos sistemas de ensino.</w:t>
      </w:r>
    </w:p>
    <w:p w14:paraId="317D0499" w14:textId="77777777" w:rsidR="00D3608B" w:rsidRPr="00EA16B0" w:rsidRDefault="00D3608B" w:rsidP="00D3608B">
      <w:pPr>
        <w:tabs>
          <w:tab w:val="clear" w:pos="1615"/>
        </w:tabs>
        <w:autoSpaceDE w:val="0"/>
        <w:autoSpaceDN w:val="0"/>
        <w:adjustRightInd w:val="0"/>
        <w:spacing w:after="0"/>
        <w:ind w:left="2268" w:right="849"/>
        <w:jc w:val="both"/>
        <w:rPr>
          <w:rFonts w:asciiTheme="majorHAnsi" w:hAnsiTheme="majorHAnsi" w:cstheme="majorHAnsi"/>
          <w:spacing w:val="-4"/>
          <w:sz w:val="20"/>
          <w:szCs w:val="20"/>
        </w:rPr>
      </w:pPr>
      <w:r w:rsidRPr="00EA16B0">
        <w:rPr>
          <w:rFonts w:asciiTheme="majorHAnsi" w:hAnsiTheme="majorHAnsi" w:cstheme="majorHAnsi"/>
          <w:spacing w:val="-4"/>
          <w:sz w:val="20"/>
          <w:szCs w:val="20"/>
        </w:rPr>
        <w:t>Com o objetivo de monitorar os propósitos dessa meta, foram estabelecidos dois indicadores:</w:t>
      </w:r>
    </w:p>
    <w:p w14:paraId="24263F9E" w14:textId="77777777" w:rsidR="00D3608B" w:rsidRPr="00EA16B0" w:rsidRDefault="00D3608B" w:rsidP="00D3608B">
      <w:pPr>
        <w:tabs>
          <w:tab w:val="clear" w:pos="1615"/>
        </w:tabs>
        <w:autoSpaceDE w:val="0"/>
        <w:autoSpaceDN w:val="0"/>
        <w:adjustRightInd w:val="0"/>
        <w:spacing w:after="0"/>
        <w:ind w:left="2268" w:right="849"/>
        <w:jc w:val="both"/>
        <w:rPr>
          <w:rFonts w:asciiTheme="majorHAnsi" w:hAnsiTheme="majorHAnsi" w:cstheme="majorHAnsi"/>
          <w:sz w:val="20"/>
          <w:szCs w:val="20"/>
        </w:rPr>
      </w:pPr>
      <w:r w:rsidRPr="00EA16B0">
        <w:rPr>
          <w:rFonts w:asciiTheme="majorHAnsi" w:hAnsiTheme="majorHAnsi" w:cstheme="majorHAnsi"/>
          <w:sz w:val="20"/>
          <w:szCs w:val="20"/>
        </w:rPr>
        <w:t xml:space="preserve">– Indicador 16A: Percentual de professores da educação básica com pós-graduação </w:t>
      </w:r>
      <w:r w:rsidRPr="00EA16B0">
        <w:rPr>
          <w:rFonts w:asciiTheme="majorHAnsi" w:hAnsiTheme="majorHAnsi" w:cstheme="majorHAnsi"/>
          <w:i/>
          <w:sz w:val="20"/>
          <w:szCs w:val="20"/>
        </w:rPr>
        <w:t>lato sensu</w:t>
      </w:r>
      <w:r w:rsidRPr="00EA16B0">
        <w:rPr>
          <w:rFonts w:asciiTheme="majorHAnsi" w:hAnsiTheme="majorHAnsi" w:cstheme="majorHAnsi"/>
          <w:sz w:val="20"/>
          <w:szCs w:val="20"/>
        </w:rPr>
        <w:t xml:space="preserve"> ou </w:t>
      </w:r>
      <w:r w:rsidRPr="00EA16B0">
        <w:rPr>
          <w:rFonts w:asciiTheme="majorHAnsi" w:hAnsiTheme="majorHAnsi" w:cstheme="majorHAnsi"/>
          <w:i/>
          <w:sz w:val="20"/>
          <w:szCs w:val="20"/>
        </w:rPr>
        <w:t>stricto sensu</w:t>
      </w:r>
      <w:r w:rsidRPr="00EA16B0">
        <w:rPr>
          <w:rFonts w:asciiTheme="majorHAnsi" w:hAnsiTheme="majorHAnsi" w:cstheme="majorHAnsi"/>
          <w:sz w:val="20"/>
          <w:szCs w:val="20"/>
        </w:rPr>
        <w:t>.</w:t>
      </w:r>
    </w:p>
    <w:p w14:paraId="6A6368A9" w14:textId="6270D057" w:rsidR="00D3608B" w:rsidRPr="00EA16B0" w:rsidRDefault="00D3608B" w:rsidP="00D3608B">
      <w:pPr>
        <w:tabs>
          <w:tab w:val="clear" w:pos="1615"/>
        </w:tabs>
        <w:autoSpaceDE w:val="0"/>
        <w:autoSpaceDN w:val="0"/>
        <w:adjustRightInd w:val="0"/>
        <w:ind w:left="2268" w:right="849"/>
        <w:jc w:val="both"/>
        <w:rPr>
          <w:rFonts w:asciiTheme="majorHAnsi" w:hAnsiTheme="majorHAnsi" w:cstheme="majorHAnsi"/>
          <w:sz w:val="20"/>
          <w:szCs w:val="20"/>
        </w:rPr>
      </w:pPr>
      <w:r w:rsidRPr="00EA16B0">
        <w:rPr>
          <w:rFonts w:asciiTheme="majorHAnsi" w:hAnsiTheme="majorHAnsi" w:cstheme="majorHAnsi"/>
          <w:sz w:val="20"/>
          <w:szCs w:val="20"/>
        </w:rPr>
        <w:t>– Indicador 16B: Percentual de professores da educação básica que realizaram cursos de formação continuada. (INEP, 2020b, p. 335).</w:t>
      </w:r>
    </w:p>
    <w:p w14:paraId="1CF58069" w14:textId="77777777" w:rsidR="00A45DA5" w:rsidRPr="00EA16B0" w:rsidRDefault="00A45DA5" w:rsidP="00D3608B">
      <w:pPr>
        <w:tabs>
          <w:tab w:val="clear" w:pos="1615"/>
        </w:tabs>
        <w:autoSpaceDE w:val="0"/>
        <w:autoSpaceDN w:val="0"/>
        <w:adjustRightInd w:val="0"/>
        <w:ind w:left="2268" w:right="849"/>
        <w:jc w:val="both"/>
        <w:rPr>
          <w:rFonts w:asciiTheme="majorHAnsi" w:hAnsiTheme="majorHAnsi" w:cstheme="majorHAnsi"/>
          <w:sz w:val="20"/>
          <w:szCs w:val="20"/>
        </w:rPr>
      </w:pPr>
    </w:p>
    <w:p w14:paraId="02B31A8D" w14:textId="77777777" w:rsidR="00D3608B" w:rsidRPr="00EA16B0" w:rsidRDefault="00D3608B" w:rsidP="00A45DA5">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Como a meta se refere a todos os profissionais de educação e não apenas aos professores, o desafio para cumprimento do indicador 16B é ainda maior.</w:t>
      </w:r>
    </w:p>
    <w:p w14:paraId="2C0E5011" w14:textId="77777777" w:rsidR="00D3608B" w:rsidRPr="00EA16B0" w:rsidRDefault="00D3608B" w:rsidP="00A45DA5">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Os dados referentes ao indicador 16A mostram que se for mantida a média nacional de crescimento, o país como um todo poderá atingir a meta estabelecida. No relatório do 3.</w:t>
      </w:r>
      <w:r w:rsidRPr="00EA16B0">
        <w:rPr>
          <w:rFonts w:asciiTheme="majorHAnsi" w:hAnsiTheme="majorHAnsi" w:cstheme="majorHAnsi"/>
          <w:sz w:val="24"/>
          <w:szCs w:val="24"/>
          <w:vertAlign w:val="superscript"/>
        </w:rPr>
        <w:t>o</w:t>
      </w:r>
      <w:r w:rsidRPr="00EA16B0">
        <w:rPr>
          <w:rFonts w:asciiTheme="majorHAnsi" w:hAnsiTheme="majorHAnsi" w:cstheme="majorHAnsi"/>
          <w:sz w:val="24"/>
          <w:szCs w:val="24"/>
        </w:rPr>
        <w:t xml:space="preserve"> ciclo de monitoramento das metas do PNE (INEP, 2020b), é mostrado um crescimento médio anual de 1,9 pontos percentuais (pp), fazendo com que os valores aumentassem de 30,2% em 2013 para 41,3% em 2019. O aumento de postos docentes nesse nível de educação foi pequeno (3,5%), passando de 2.183.858 professores em 2013 para 2.259.309 professores, dos quais 933.810 possuem pós-graduação. Como falta o acompanhamento de cinco anos até 2024, a ser mantido 1,9 pp/ano será </w:t>
      </w:r>
      <w:r w:rsidRPr="00EA16B0">
        <w:rPr>
          <w:rFonts w:asciiTheme="majorHAnsi" w:hAnsiTheme="majorHAnsi" w:cstheme="majorHAnsi"/>
          <w:sz w:val="24"/>
          <w:szCs w:val="24"/>
        </w:rPr>
        <w:lastRenderedPageBreak/>
        <w:t xml:space="preserve">garantido um percentual de 50,8% em 2024 (INEP, 2020b). Entretanto, esse valor só será efetivamente conhecido em 2026, já que os valores que demonstram esses indicadores são obtidos de um a </w:t>
      </w:r>
      <w:proofErr w:type="spellStart"/>
      <w:r w:rsidRPr="00EA16B0">
        <w:rPr>
          <w:rFonts w:asciiTheme="majorHAnsi" w:hAnsiTheme="majorHAnsi" w:cstheme="majorHAnsi"/>
          <w:sz w:val="24"/>
          <w:szCs w:val="24"/>
        </w:rPr>
        <w:t>dpos</w:t>
      </w:r>
      <w:proofErr w:type="spellEnd"/>
      <w:r w:rsidRPr="00EA16B0">
        <w:rPr>
          <w:rFonts w:asciiTheme="majorHAnsi" w:hAnsiTheme="majorHAnsi" w:cstheme="majorHAnsi"/>
          <w:sz w:val="24"/>
          <w:szCs w:val="24"/>
        </w:rPr>
        <w:t xml:space="preserve"> anos depois e nossas últimas informações hoje, 2022, referem-se a 2020 e, detalhadamente, ao relatório referente a 2019, tanto do Censo, quanto do ciclo de acompanhamento.</w:t>
      </w:r>
    </w:p>
    <w:p w14:paraId="3C226289" w14:textId="77777777" w:rsidR="00D3608B" w:rsidRPr="00EA16B0" w:rsidRDefault="00D3608B" w:rsidP="00A45DA5">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Cabe aqui mais uma observação: apesar de o PNE ter vigência decenal, os dados utilizados como linha de base são, em sua maioria, de 2012 a 2013, que eram aqueles disponíveis quando da aprovação da Lei n. 13.005, em junho de 2014. Como o plano foi aprovado em 2014 e aborda metas para dez anos e, tem-se, assim, 2024. Entretanto, os estudos totalizarão, em sua maioria, 12 anos de duração e não dez anos e muitas metas estabelecidas só serão consideradas cumpridas ou não em 2026, quando os resultados de 2024 forem disponibilizados.</w:t>
      </w:r>
    </w:p>
    <w:p w14:paraId="0E2B01C2" w14:textId="77777777" w:rsidR="00D3608B" w:rsidRPr="00EA16B0" w:rsidRDefault="00D3608B" w:rsidP="00A45DA5">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Voltando à formação pós-graduada de professores da educação básica, em Brasília, cujo referencial inicial era bem superior ao do país (39,8% ou 11.931 professores em 30.000), esse valor aumentou para 43,9% em 2019 (13.952 em 31.749 professores). Assim, a manter a taxa de crescimento de 0,7 pp ao ano, o DF não atingirá, em 2024, os esperados 50%, ficando abaixo dessa marca (47,4%), inclusive com relação aos demais entes federados da região Centro-Oeste.</w:t>
      </w:r>
    </w:p>
    <w:p w14:paraId="22EF16BE" w14:textId="77777777" w:rsidR="00D3608B" w:rsidRPr="00EA16B0" w:rsidRDefault="00D3608B" w:rsidP="00A45DA5">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Segundo o relatório de acompanhamento citado, não são contabilizadas, no Censo da Educação Básica, as </w:t>
      </w:r>
      <w:r w:rsidRPr="00EA16B0">
        <w:rPr>
          <w:rFonts w:asciiTheme="majorHAnsi" w:hAnsiTheme="majorHAnsi" w:cstheme="majorHAnsi"/>
          <w:spacing w:val="-2"/>
          <w:sz w:val="24"/>
          <w:szCs w:val="24"/>
        </w:rPr>
        <w:t>formações realizadas por todos os profissionais da educação e, por isso, só é possível acompanhar a parcela dos</w:t>
      </w:r>
      <w:r w:rsidRPr="00EA16B0">
        <w:rPr>
          <w:rFonts w:asciiTheme="majorHAnsi" w:hAnsiTheme="majorHAnsi" w:cstheme="majorHAnsi"/>
          <w:sz w:val="24"/>
          <w:szCs w:val="24"/>
        </w:rPr>
        <w:t xml:space="preserve"> </w:t>
      </w:r>
      <w:r w:rsidRPr="00EA16B0">
        <w:rPr>
          <w:rFonts w:asciiTheme="majorHAnsi" w:hAnsiTheme="majorHAnsi" w:cstheme="majorHAnsi"/>
          <w:spacing w:val="-2"/>
          <w:sz w:val="24"/>
          <w:szCs w:val="24"/>
        </w:rPr>
        <w:t>professores. Acerca dela, a situação é mais complicada e não prevê o cumprimento da meta até 2024, seja para o país</w:t>
      </w:r>
      <w:r w:rsidRPr="00EA16B0">
        <w:rPr>
          <w:rFonts w:asciiTheme="majorHAnsi" w:hAnsiTheme="majorHAnsi" w:cstheme="majorHAnsi"/>
          <w:sz w:val="24"/>
          <w:szCs w:val="24"/>
        </w:rPr>
        <w:t xml:space="preserve"> como um todo, seja para o DF em particular. A esse respeito, percebe-se um crescimento de apenas 4% nos </w:t>
      </w:r>
      <w:r w:rsidRPr="00EA16B0">
        <w:rPr>
          <w:rFonts w:asciiTheme="majorHAnsi" w:hAnsiTheme="majorHAnsi" w:cstheme="majorHAnsi"/>
          <w:spacing w:val="-2"/>
          <w:sz w:val="24"/>
          <w:szCs w:val="24"/>
        </w:rPr>
        <w:t>percentuais do DF desde 2013, inferior a quase todos os demais estados do país, à exceção de São Paulo, que</w:t>
      </w:r>
      <w:r w:rsidRPr="00EA16B0">
        <w:rPr>
          <w:rFonts w:asciiTheme="majorHAnsi" w:hAnsiTheme="majorHAnsi" w:cstheme="majorHAnsi"/>
          <w:sz w:val="24"/>
          <w:szCs w:val="24"/>
        </w:rPr>
        <w:t xml:space="preserve"> </w:t>
      </w:r>
      <w:r w:rsidRPr="00EA16B0">
        <w:rPr>
          <w:rFonts w:asciiTheme="majorHAnsi" w:hAnsiTheme="majorHAnsi" w:cstheme="majorHAnsi"/>
          <w:spacing w:val="-2"/>
          <w:sz w:val="24"/>
          <w:szCs w:val="24"/>
        </w:rPr>
        <w:t>diminuiu 3,4 pp e ocupa a última posição dentre todos os entes federados, com apenas 21,7% de professores</w:t>
      </w:r>
      <w:r w:rsidRPr="00EA16B0">
        <w:rPr>
          <w:rFonts w:asciiTheme="majorHAnsi" w:hAnsiTheme="majorHAnsi" w:cstheme="majorHAnsi"/>
          <w:sz w:val="24"/>
          <w:szCs w:val="24"/>
        </w:rPr>
        <w:t xml:space="preserve"> com alguma formação continuada superior a 80 horas, parâmetro considerado para esse indicador (INEP, 2020b).</w:t>
      </w:r>
    </w:p>
    <w:p w14:paraId="49483164" w14:textId="77777777" w:rsidR="00D3608B" w:rsidRPr="00EA16B0" w:rsidRDefault="00D3608B" w:rsidP="00A45DA5">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Destaque-se, finalmente, que a pós-graduação que tem contribuído efetivamente para a melhoria da meta do PNE é a especialização, já que os dados apresentados mostraram que dos 933.810 professores com pós-graduação (41,3% do total), praticamente 91,7%, ou cerca de 856.278, tinham certificado de especialização ou de pós-graduação </w:t>
      </w:r>
      <w:r w:rsidRPr="00EA16B0">
        <w:rPr>
          <w:rFonts w:asciiTheme="majorHAnsi" w:hAnsiTheme="majorHAnsi" w:cstheme="majorHAnsi"/>
          <w:i/>
          <w:sz w:val="24"/>
          <w:szCs w:val="24"/>
        </w:rPr>
        <w:t>lato sensu</w:t>
      </w:r>
      <w:r w:rsidRPr="00EA16B0">
        <w:rPr>
          <w:rFonts w:asciiTheme="majorHAnsi" w:hAnsiTheme="majorHAnsi" w:cstheme="majorHAnsi"/>
          <w:sz w:val="24"/>
          <w:szCs w:val="24"/>
        </w:rPr>
        <w:t xml:space="preserve"> (37,9% do total); 6,8%, ou cerca de 63.260, o título de mestre (2,8% do total); e 1,4%, ou cerca de 13.555, o título de doutor (0,6% </w:t>
      </w:r>
      <w:r w:rsidRPr="00EA16B0">
        <w:rPr>
          <w:rFonts w:asciiTheme="majorHAnsi" w:hAnsiTheme="majorHAnsi" w:cstheme="majorHAnsi"/>
          <w:sz w:val="24"/>
          <w:szCs w:val="24"/>
        </w:rPr>
        <w:lastRenderedPageBreak/>
        <w:t>do total). O relatório publicado não detalha as formações em cada um dos Estados e Distrito Federal (INEP, 2020b).</w:t>
      </w:r>
    </w:p>
    <w:p w14:paraId="719BB645" w14:textId="77777777" w:rsidR="00D3608B" w:rsidRPr="00EA16B0" w:rsidRDefault="00D3608B" w:rsidP="00A45DA5">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Os dados de monitoramento disponibilizados em 2021 mostram que o avanço ocorreu e que passou, no indicador 16ª, para 43,4% indicando que se mantida a taxa alcançada (2,1 pp). Em 2022 teremos 47,6% e, em 2024, 51,8%. A situação do DF parece também apontar para o cumprimento, já que os dados mostram aumento de 43,9 para 46% (2,1 pp) que, se mantidos, originarão 50,2% já em 2022 (INEP, 2021), o que, apesar de cumprir a meta, é ainda bastante limitado, o que justifica a necessidade de esforços da </w:t>
      </w:r>
      <w:proofErr w:type="spellStart"/>
      <w:r w:rsidRPr="00EA16B0">
        <w:rPr>
          <w:rFonts w:asciiTheme="majorHAnsi" w:hAnsiTheme="majorHAnsi" w:cstheme="majorHAnsi"/>
          <w:sz w:val="24"/>
          <w:szCs w:val="24"/>
        </w:rPr>
        <w:t>UnDF</w:t>
      </w:r>
      <w:proofErr w:type="spellEnd"/>
      <w:r w:rsidRPr="00EA16B0">
        <w:rPr>
          <w:rFonts w:asciiTheme="majorHAnsi" w:hAnsiTheme="majorHAnsi" w:cstheme="majorHAnsi"/>
          <w:sz w:val="24"/>
          <w:szCs w:val="24"/>
        </w:rPr>
        <w:t xml:space="preserve"> para melhorar esses valores. Além disso, o 4.</w:t>
      </w:r>
      <w:r w:rsidRPr="00EA16B0">
        <w:rPr>
          <w:rFonts w:asciiTheme="majorHAnsi" w:hAnsiTheme="majorHAnsi" w:cstheme="majorHAnsi"/>
          <w:sz w:val="24"/>
          <w:szCs w:val="24"/>
          <w:vertAlign w:val="superscript"/>
        </w:rPr>
        <w:t>o</w:t>
      </w:r>
      <w:r w:rsidRPr="00EA16B0">
        <w:rPr>
          <w:rFonts w:asciiTheme="majorHAnsi" w:hAnsiTheme="majorHAnsi" w:cstheme="majorHAnsi"/>
          <w:sz w:val="24"/>
          <w:szCs w:val="24"/>
        </w:rPr>
        <w:t xml:space="preserve"> ciclo de monitoramento, que é o registro oficial realizado pelo INEP, deverá ser disponibilizado apenas no final de 2022.</w:t>
      </w:r>
    </w:p>
    <w:p w14:paraId="7DAC7950" w14:textId="77777777" w:rsidR="00D3608B" w:rsidRPr="00EA16B0" w:rsidRDefault="00D3608B" w:rsidP="00A45DA5">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Finalmente, cabe destacar que há experiências interessantes com relação ao uso dos cursos de especialização para a formação de gestores para a educação básica, já que as DCN dos cursos de Pedagogia, que agora colocam suplementos de 400 horas para que isso ocorra, levam a um apostilamento dos diplomas, mas não a uma formação pós-graduada. O uso das especializações para esse fim vem ocorrendo de forma sistemática no estado de São Paulo, por exemplo, que estabeleceu, em 2005, regras para a pós-graduação </w:t>
      </w:r>
      <w:r w:rsidRPr="00EA16B0">
        <w:rPr>
          <w:rFonts w:asciiTheme="majorHAnsi" w:hAnsiTheme="majorHAnsi" w:cstheme="majorHAnsi"/>
          <w:i/>
          <w:sz w:val="24"/>
          <w:szCs w:val="24"/>
        </w:rPr>
        <w:t>lato sensu</w:t>
      </w:r>
      <w:r w:rsidRPr="00EA16B0">
        <w:rPr>
          <w:rFonts w:asciiTheme="majorHAnsi" w:hAnsiTheme="majorHAnsi" w:cstheme="majorHAnsi"/>
          <w:sz w:val="24"/>
          <w:szCs w:val="24"/>
        </w:rPr>
        <w:t xml:space="preserve"> visando à formação de profissionais para atendimento do Art. 64 da LDB n. 9.394/96, com 1.000 </w:t>
      </w:r>
      <w:r w:rsidRPr="00EA16B0">
        <w:rPr>
          <w:rFonts w:asciiTheme="majorHAnsi" w:hAnsiTheme="majorHAnsi" w:cstheme="majorHAnsi"/>
          <w:spacing w:val="-4"/>
          <w:sz w:val="24"/>
          <w:szCs w:val="24"/>
        </w:rPr>
        <w:t>horas de duração, com regramento atualizado em 2021. O mesmo ocorreu com a formação de especialistas para</w:t>
      </w:r>
      <w:r w:rsidRPr="00EA16B0">
        <w:rPr>
          <w:rFonts w:asciiTheme="majorHAnsi" w:hAnsiTheme="majorHAnsi" w:cstheme="majorHAnsi"/>
          <w:sz w:val="24"/>
          <w:szCs w:val="24"/>
        </w:rPr>
        <w:t xml:space="preserve"> a educação especial em 2009, com 600 horas de duração também atualizadas em 2021 (CEE-SP, 2021).</w:t>
      </w:r>
    </w:p>
    <w:p w14:paraId="5CB6E2D4" w14:textId="77777777" w:rsidR="00D3608B" w:rsidRPr="00EA16B0" w:rsidRDefault="00D3608B" w:rsidP="00D3608B">
      <w:pPr>
        <w:tabs>
          <w:tab w:val="clear" w:pos="1615"/>
        </w:tabs>
        <w:spacing w:line="259" w:lineRule="auto"/>
        <w:rPr>
          <w:rFonts w:asciiTheme="majorHAnsi" w:hAnsiTheme="majorHAnsi" w:cstheme="majorHAnsi"/>
        </w:rPr>
      </w:pPr>
      <w:r w:rsidRPr="00EA16B0">
        <w:rPr>
          <w:rFonts w:asciiTheme="majorHAnsi" w:hAnsiTheme="majorHAnsi" w:cstheme="majorHAnsi"/>
        </w:rPr>
        <w:br w:type="page"/>
      </w:r>
    </w:p>
    <w:p w14:paraId="6F28C717" w14:textId="05FC860B" w:rsidR="00D3608B" w:rsidRPr="00EA16B0" w:rsidRDefault="00D3608B" w:rsidP="003A7871">
      <w:pPr>
        <w:pStyle w:val="Ttulo1"/>
        <w:numPr>
          <w:ilvl w:val="0"/>
          <w:numId w:val="1"/>
        </w:numPr>
        <w:tabs>
          <w:tab w:val="clear" w:pos="1615"/>
        </w:tabs>
        <w:spacing w:before="0" w:after="0" w:line="360" w:lineRule="auto"/>
        <w:ind w:left="432" w:hanging="432"/>
        <w:jc w:val="both"/>
        <w:rPr>
          <w:rFonts w:asciiTheme="majorHAnsi" w:hAnsiTheme="majorHAnsi" w:cstheme="majorHAnsi"/>
          <w:color w:val="4875BD"/>
        </w:rPr>
      </w:pPr>
      <w:bookmarkStart w:id="82" w:name="_Toc102319411"/>
      <w:r w:rsidRPr="00EA16B0">
        <w:rPr>
          <w:rFonts w:asciiTheme="majorHAnsi" w:hAnsiTheme="majorHAnsi" w:cstheme="majorHAnsi"/>
          <w:color w:val="4875BD"/>
        </w:rPr>
        <w:lastRenderedPageBreak/>
        <w:t>CONSIDERAÇÕES FINAIS</w:t>
      </w:r>
      <w:bookmarkEnd w:id="82"/>
    </w:p>
    <w:p w14:paraId="799AB877" w14:textId="77777777" w:rsidR="00D3608B" w:rsidRPr="00EA16B0" w:rsidRDefault="00D3608B" w:rsidP="00D3608B">
      <w:pPr>
        <w:jc w:val="both"/>
        <w:rPr>
          <w:rFonts w:asciiTheme="majorHAnsi" w:hAnsiTheme="majorHAnsi" w:cstheme="majorHAnsi"/>
        </w:rPr>
      </w:pPr>
    </w:p>
    <w:p w14:paraId="0A6AA2AA" w14:textId="4050DF7E" w:rsidR="00D3608B" w:rsidRPr="00EA16B0" w:rsidRDefault="00D3608B" w:rsidP="00A45DA5">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O estabelecimento de políticas e de ações para o ensino de graduação e de pós-graduação da </w:t>
      </w:r>
      <w:proofErr w:type="spellStart"/>
      <w:r w:rsidRPr="00EA16B0">
        <w:rPr>
          <w:rFonts w:asciiTheme="majorHAnsi" w:hAnsiTheme="majorHAnsi" w:cstheme="majorHAnsi"/>
          <w:sz w:val="24"/>
          <w:szCs w:val="24"/>
        </w:rPr>
        <w:t>UnDF</w:t>
      </w:r>
      <w:proofErr w:type="spellEnd"/>
      <w:r w:rsidRPr="00EA16B0">
        <w:rPr>
          <w:rFonts w:asciiTheme="majorHAnsi" w:hAnsiTheme="majorHAnsi" w:cstheme="majorHAnsi"/>
          <w:sz w:val="24"/>
          <w:szCs w:val="24"/>
        </w:rPr>
        <w:t xml:space="preserve"> foi baseado em duas premissas: o pleno cumprimento no disposto em sua Lei de Criação (LC n. 987/2021 do DF) e no Plano Nacional de Educação em vigência, estabelecido pela Lei n. 13.005/2004 e que envolve uma participação expressiva da educação superior, seja no preparo de docentes e de gestores para a educação básica, seja para o desenvolvimento humano, científico e tecnológico da sociedade brasileira como um todo.</w:t>
      </w:r>
    </w:p>
    <w:p w14:paraId="37EEF70D" w14:textId="77777777" w:rsidR="00D3608B" w:rsidRPr="00EA16B0" w:rsidRDefault="00D3608B" w:rsidP="00A45DA5">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No capítulo 1 foram abordados os temas necessários à plena compreensão dos assuntos que se seguiram, especialmente detalhando a estruturação legal da educação superior no país, os tipos de cursos possíveis, e como os entes federados se relacionam para o cumprimento das políticas públicas ligadas à educação.</w:t>
      </w:r>
    </w:p>
    <w:p w14:paraId="65887667" w14:textId="77777777" w:rsidR="00D3608B" w:rsidRPr="00EA16B0" w:rsidRDefault="00D3608B" w:rsidP="00A45DA5">
      <w:pPr>
        <w:spacing w:line="360" w:lineRule="auto"/>
        <w:ind w:firstLine="709"/>
        <w:jc w:val="both"/>
        <w:rPr>
          <w:rFonts w:asciiTheme="majorHAnsi" w:hAnsiTheme="majorHAnsi" w:cstheme="majorHAnsi"/>
          <w:sz w:val="24"/>
          <w:szCs w:val="24"/>
        </w:rPr>
      </w:pPr>
      <w:r w:rsidRPr="00EA16B0">
        <w:rPr>
          <w:rFonts w:asciiTheme="majorHAnsi" w:hAnsiTheme="majorHAnsi" w:cstheme="majorHAnsi"/>
          <w:spacing w:val="-2"/>
          <w:sz w:val="24"/>
          <w:szCs w:val="24"/>
        </w:rPr>
        <w:t xml:space="preserve">Em seguida, foi abordada a estruturação da </w:t>
      </w:r>
      <w:proofErr w:type="spellStart"/>
      <w:r w:rsidRPr="00EA16B0">
        <w:rPr>
          <w:rFonts w:asciiTheme="majorHAnsi" w:hAnsiTheme="majorHAnsi" w:cstheme="majorHAnsi"/>
          <w:spacing w:val="-2"/>
          <w:sz w:val="24"/>
          <w:szCs w:val="24"/>
        </w:rPr>
        <w:t>UnDF</w:t>
      </w:r>
      <w:proofErr w:type="spellEnd"/>
      <w:r w:rsidRPr="00EA16B0">
        <w:rPr>
          <w:rFonts w:asciiTheme="majorHAnsi" w:hAnsiTheme="majorHAnsi" w:cstheme="majorHAnsi"/>
          <w:spacing w:val="-2"/>
          <w:sz w:val="24"/>
          <w:szCs w:val="24"/>
        </w:rPr>
        <w:t>, a partir de sua bem estruturada Lei de Criação, mostrando</w:t>
      </w:r>
      <w:r w:rsidRPr="00EA16B0">
        <w:rPr>
          <w:rFonts w:asciiTheme="majorHAnsi" w:hAnsiTheme="majorHAnsi" w:cstheme="majorHAnsi"/>
          <w:sz w:val="24"/>
          <w:szCs w:val="24"/>
        </w:rPr>
        <w:t xml:space="preserve"> </w:t>
      </w:r>
      <w:r w:rsidRPr="00EA16B0">
        <w:rPr>
          <w:rFonts w:asciiTheme="majorHAnsi" w:hAnsiTheme="majorHAnsi" w:cstheme="majorHAnsi"/>
          <w:spacing w:val="-2"/>
          <w:sz w:val="24"/>
          <w:szCs w:val="24"/>
        </w:rPr>
        <w:t>que a expressão da própria organização universitária está toda detalhada em sua concepção legal, que orienta</w:t>
      </w:r>
      <w:r w:rsidRPr="00EA16B0">
        <w:rPr>
          <w:rFonts w:asciiTheme="majorHAnsi" w:hAnsiTheme="majorHAnsi" w:cstheme="majorHAnsi"/>
          <w:sz w:val="24"/>
          <w:szCs w:val="24"/>
        </w:rPr>
        <w:t xml:space="preserve"> e, em alguns casos, determina a missão, as políticas e as ações que deverão ser priorizadas para que a Universidade seja ética, inclusiva, inovadora, tecnológica e atuante para um efetivo desenvolvimento da s</w:t>
      </w:r>
      <w:r w:rsidRPr="00EA16B0">
        <w:rPr>
          <w:rFonts w:asciiTheme="majorHAnsi" w:hAnsiTheme="majorHAnsi" w:cstheme="majorHAnsi"/>
          <w:spacing w:val="-2"/>
          <w:sz w:val="24"/>
          <w:szCs w:val="24"/>
        </w:rPr>
        <w:t>ociedade brasileira, o que é reafirmado, detalhado e institucionalizado a partir da proposta de seus estatutos.</w:t>
      </w:r>
    </w:p>
    <w:p w14:paraId="3F332E9A" w14:textId="77777777" w:rsidR="00D3608B" w:rsidRPr="00EA16B0" w:rsidRDefault="00D3608B" w:rsidP="00A45DA5">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No capítulo 3 são mostradas as consequências dessa organização, tanto no ensino de graduação quanto na pós-graduação, a partir de políticas voltadas para o ingresso, permanência e integralização dos cursos ofertados. Na pós-graduação, são oferecidas algumas sugestões para que a Instituição consiga, em curto espaço de tempo, cumprir as determinações legais com relação à quantidade de programas de mestrado e de doutorado necessários para oferta em instituições universitárias.</w:t>
      </w:r>
    </w:p>
    <w:p w14:paraId="298F93FA" w14:textId="77777777" w:rsidR="00D3608B" w:rsidRPr="00EA16B0" w:rsidRDefault="00D3608B" w:rsidP="00A45DA5">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Em todas as políticas e ações, é defendida a necessidade de uma organização pedagógica que privilegie a aprendizagem baseada em projetos, já explicada em detalhes no documento que trata desse assunto, mostrando sua importância também para a pós-graduação.</w:t>
      </w:r>
    </w:p>
    <w:p w14:paraId="042CA2FC" w14:textId="77777777" w:rsidR="00D3608B" w:rsidRPr="00EA16B0" w:rsidRDefault="00D3608B" w:rsidP="00A45DA5">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lastRenderedPageBreak/>
        <w:t>Também são sugeridas ações que reforçam a ligação da Universidade com o sistema distrital de educação básica, elencando algumas políticas e ações que podem reforçar essa ligação e, com isso, melhorar a qualidade desse nível educacional no DF e em seu entorno.</w:t>
      </w:r>
    </w:p>
    <w:p w14:paraId="3F7543C3" w14:textId="77777777" w:rsidR="00D3608B" w:rsidRPr="00EA16B0" w:rsidRDefault="00D3608B" w:rsidP="00A45DA5">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No relatório também está expressa a impossibilidade de serem realizados cursos presenciais fora dos limites geográficos do Distrito Federal visto que, em nosso entendimento, a ação supletiva e distributiva é de responsabilidade federal e eventuais cursos ofertados fora dos limites do DF iriam comprometer as atribuições constitucionais dos estados para com a educação e não teriam validade administrativa com relação a reconhecimento das atividades acadêmicas, atributo limitado, nos entes federados, a seus limites geográficos. Isso, obviamente, não impede o acesso dos cidadãos dessa região na </w:t>
      </w:r>
      <w:proofErr w:type="spellStart"/>
      <w:r w:rsidRPr="00EA16B0">
        <w:rPr>
          <w:rFonts w:asciiTheme="majorHAnsi" w:hAnsiTheme="majorHAnsi" w:cstheme="majorHAnsi"/>
          <w:sz w:val="24"/>
          <w:szCs w:val="24"/>
        </w:rPr>
        <w:t>UnDF</w:t>
      </w:r>
      <w:proofErr w:type="spellEnd"/>
      <w:r w:rsidRPr="00EA16B0">
        <w:rPr>
          <w:rFonts w:asciiTheme="majorHAnsi" w:hAnsiTheme="majorHAnsi" w:cstheme="majorHAnsi"/>
          <w:sz w:val="24"/>
          <w:szCs w:val="24"/>
        </w:rPr>
        <w:t>, já que boa parte deles atua profissionalmente em setores alocados no DF.</w:t>
      </w:r>
    </w:p>
    <w:p w14:paraId="10B55BBF" w14:textId="77777777" w:rsidR="00D3608B" w:rsidRPr="00EA16B0" w:rsidRDefault="00D3608B" w:rsidP="00A45DA5">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 xml:space="preserve">Finalmente, é colocada a possibilidade de a Instituição oferecer cursos </w:t>
      </w:r>
      <w:proofErr w:type="spellStart"/>
      <w:r w:rsidRPr="00EA16B0">
        <w:rPr>
          <w:rFonts w:asciiTheme="majorHAnsi" w:hAnsiTheme="majorHAnsi" w:cstheme="majorHAnsi"/>
          <w:sz w:val="24"/>
          <w:szCs w:val="24"/>
        </w:rPr>
        <w:t>a</w:t>
      </w:r>
      <w:proofErr w:type="spellEnd"/>
      <w:r w:rsidRPr="00EA16B0">
        <w:rPr>
          <w:rFonts w:asciiTheme="majorHAnsi" w:hAnsiTheme="majorHAnsi" w:cstheme="majorHAnsi"/>
          <w:sz w:val="24"/>
          <w:szCs w:val="24"/>
        </w:rPr>
        <w:t xml:space="preserve"> distância imediatamente, já que a normatização sobre o assunto permite que as instituições públicas sejam consideradas credenciadas para essa oferta a partir do início de seu primeiro curso com esse desenvolvimento, desde que nos limites geográficos de sua jurisdição, nesse caso, também o Distrito Federal. Entretanto, para o recredenciamento a ser realizado junto ao Ministério de Educação, poderão ser previstos polos de apoio presencial fora dos limites do DF, com oferta de cursos que terão seu reconhecimento realizado pelo sistema federal de ensino, já que o CEDF tem suas competências circunscritas ao DF.</w:t>
      </w:r>
    </w:p>
    <w:p w14:paraId="188D61F1" w14:textId="7F8FD9FD" w:rsidR="00A45DA5" w:rsidRPr="00EA16B0" w:rsidRDefault="00D3608B" w:rsidP="00A45DA5">
      <w:pPr>
        <w:spacing w:line="360" w:lineRule="auto"/>
        <w:ind w:firstLine="709"/>
        <w:jc w:val="both"/>
        <w:rPr>
          <w:rFonts w:asciiTheme="majorHAnsi" w:hAnsiTheme="majorHAnsi" w:cstheme="majorHAnsi"/>
          <w:sz w:val="24"/>
          <w:szCs w:val="24"/>
        </w:rPr>
      </w:pPr>
      <w:r w:rsidRPr="00EA16B0">
        <w:rPr>
          <w:rFonts w:asciiTheme="majorHAnsi" w:hAnsiTheme="majorHAnsi" w:cstheme="majorHAnsi"/>
          <w:sz w:val="24"/>
          <w:szCs w:val="24"/>
        </w:rPr>
        <w:t>Essa última abordagem, ligada ao ensino a distância, será detalhada em documento específico sobre a proposição de políticas inerentes à execução de atividades de ensino a distância, em consonância com as demais macropolíticas da universidade, produto 2 deste mesmo TR-013.</w:t>
      </w:r>
    </w:p>
    <w:p w14:paraId="4CAAB572" w14:textId="77777777" w:rsidR="00A45DA5" w:rsidRPr="00EA16B0" w:rsidRDefault="00A45DA5">
      <w:pPr>
        <w:tabs>
          <w:tab w:val="clear" w:pos="1615"/>
        </w:tabs>
        <w:spacing w:line="259" w:lineRule="auto"/>
        <w:rPr>
          <w:rFonts w:asciiTheme="majorHAnsi" w:hAnsiTheme="majorHAnsi" w:cstheme="majorHAnsi"/>
          <w:sz w:val="24"/>
          <w:szCs w:val="24"/>
        </w:rPr>
      </w:pPr>
      <w:r w:rsidRPr="00EA16B0">
        <w:rPr>
          <w:rFonts w:asciiTheme="majorHAnsi" w:hAnsiTheme="majorHAnsi" w:cstheme="majorHAnsi"/>
          <w:sz w:val="24"/>
          <w:szCs w:val="24"/>
        </w:rPr>
        <w:br w:type="page"/>
      </w:r>
    </w:p>
    <w:p w14:paraId="02F30CD5" w14:textId="71F623C9" w:rsidR="00D3608B" w:rsidRPr="00EA16B0" w:rsidRDefault="00D3608B" w:rsidP="003A7871">
      <w:pPr>
        <w:pStyle w:val="Ttulo1"/>
        <w:numPr>
          <w:ilvl w:val="0"/>
          <w:numId w:val="1"/>
        </w:numPr>
        <w:tabs>
          <w:tab w:val="clear" w:pos="1615"/>
        </w:tabs>
        <w:spacing w:before="0" w:after="0" w:line="360" w:lineRule="auto"/>
        <w:ind w:left="432" w:hanging="432"/>
        <w:jc w:val="both"/>
        <w:rPr>
          <w:rFonts w:asciiTheme="majorHAnsi" w:hAnsiTheme="majorHAnsi" w:cstheme="majorHAnsi"/>
          <w:color w:val="4875BD"/>
        </w:rPr>
      </w:pPr>
      <w:bookmarkStart w:id="83" w:name="_Toc102319412"/>
      <w:r w:rsidRPr="00EA16B0">
        <w:rPr>
          <w:rFonts w:asciiTheme="majorHAnsi" w:hAnsiTheme="majorHAnsi" w:cstheme="majorHAnsi"/>
          <w:color w:val="4875BD"/>
        </w:rPr>
        <w:lastRenderedPageBreak/>
        <w:t>REFERÊNCIAS</w:t>
      </w:r>
      <w:bookmarkEnd w:id="83"/>
    </w:p>
    <w:p w14:paraId="13A93836" w14:textId="77777777" w:rsidR="00A45DA5" w:rsidRPr="00EA16B0" w:rsidRDefault="00A45DA5" w:rsidP="00D3608B">
      <w:pPr>
        <w:ind w:right="-1"/>
        <w:rPr>
          <w:rFonts w:asciiTheme="majorHAnsi" w:hAnsiTheme="majorHAnsi" w:cstheme="majorHAnsi"/>
        </w:rPr>
      </w:pPr>
    </w:p>
    <w:p w14:paraId="413FF649" w14:textId="78709FA3" w:rsidR="00D3608B" w:rsidRPr="00EA16B0" w:rsidRDefault="00D3608B" w:rsidP="00A45DA5">
      <w:pPr>
        <w:spacing w:line="276" w:lineRule="auto"/>
        <w:ind w:right="-1"/>
        <w:rPr>
          <w:rFonts w:asciiTheme="majorHAnsi" w:hAnsiTheme="majorHAnsi" w:cstheme="majorHAnsi"/>
          <w:sz w:val="24"/>
          <w:szCs w:val="24"/>
        </w:rPr>
      </w:pPr>
      <w:r w:rsidRPr="00EA16B0">
        <w:rPr>
          <w:rFonts w:asciiTheme="majorHAnsi" w:hAnsiTheme="majorHAnsi" w:cstheme="majorHAnsi"/>
          <w:sz w:val="24"/>
          <w:szCs w:val="24"/>
        </w:rPr>
        <w:t xml:space="preserve">AZANHA, J.M.P. </w:t>
      </w:r>
      <w:r w:rsidRPr="00EA16B0">
        <w:rPr>
          <w:rFonts w:asciiTheme="majorHAnsi" w:hAnsiTheme="majorHAnsi" w:cstheme="majorHAnsi"/>
          <w:b/>
          <w:sz w:val="24"/>
          <w:szCs w:val="24"/>
        </w:rPr>
        <w:t>Significado de Experimentação Educacional</w:t>
      </w:r>
      <w:r w:rsidRPr="00EA16B0">
        <w:rPr>
          <w:rFonts w:asciiTheme="majorHAnsi" w:hAnsiTheme="majorHAnsi" w:cstheme="majorHAnsi"/>
          <w:sz w:val="24"/>
          <w:szCs w:val="24"/>
        </w:rPr>
        <w:t xml:space="preserve"> – Indicação CEE-SP N. 12/2001. Publicada no DOE de 10 nov.2001. Disponível em http://www.ceesp.sp.gov.br/ceesp/textos/2001/Ind-12-01.pdf. Acesso em: 2 fev. 2022.</w:t>
      </w:r>
    </w:p>
    <w:p w14:paraId="4DD81D1F"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z w:val="24"/>
          <w:szCs w:val="24"/>
        </w:rPr>
        <w:t xml:space="preserve">BRASIL, 1988. </w:t>
      </w:r>
      <w:r w:rsidRPr="00EA16B0">
        <w:rPr>
          <w:rFonts w:asciiTheme="majorHAnsi" w:hAnsiTheme="majorHAnsi" w:cstheme="majorHAnsi"/>
          <w:b/>
          <w:sz w:val="24"/>
          <w:szCs w:val="24"/>
        </w:rPr>
        <w:t>Constituição da República Federativa do Brasil de 1988.</w:t>
      </w:r>
      <w:r w:rsidRPr="00EA16B0">
        <w:rPr>
          <w:rFonts w:asciiTheme="majorHAnsi" w:hAnsiTheme="majorHAnsi" w:cstheme="majorHAnsi"/>
          <w:sz w:val="24"/>
          <w:szCs w:val="24"/>
        </w:rPr>
        <w:t xml:space="preserve"> Disponível em: http://www.planalto. gov.br/ccivil_03/</w:t>
      </w:r>
      <w:proofErr w:type="spellStart"/>
      <w:r w:rsidRPr="00EA16B0">
        <w:rPr>
          <w:rFonts w:asciiTheme="majorHAnsi" w:hAnsiTheme="majorHAnsi" w:cstheme="majorHAnsi"/>
          <w:sz w:val="24"/>
          <w:szCs w:val="24"/>
        </w:rPr>
        <w:t>constituicao</w:t>
      </w:r>
      <w:proofErr w:type="spellEnd"/>
      <w:r w:rsidRPr="00EA16B0">
        <w:rPr>
          <w:rFonts w:asciiTheme="majorHAnsi" w:hAnsiTheme="majorHAnsi" w:cstheme="majorHAnsi"/>
          <w:sz w:val="24"/>
          <w:szCs w:val="24"/>
        </w:rPr>
        <w:t>/constituicao.htm. Acesso em: 1.</w:t>
      </w:r>
      <w:r w:rsidRPr="00EA16B0">
        <w:rPr>
          <w:rFonts w:asciiTheme="majorHAnsi" w:hAnsiTheme="majorHAnsi" w:cstheme="majorHAnsi"/>
          <w:sz w:val="24"/>
          <w:szCs w:val="24"/>
          <w:vertAlign w:val="superscript"/>
        </w:rPr>
        <w:t>o</w:t>
      </w:r>
      <w:r w:rsidRPr="00EA16B0">
        <w:rPr>
          <w:rFonts w:asciiTheme="majorHAnsi" w:hAnsiTheme="majorHAnsi" w:cstheme="majorHAnsi"/>
          <w:sz w:val="24"/>
          <w:szCs w:val="24"/>
        </w:rPr>
        <w:t xml:space="preserve"> fev. 2022.</w:t>
      </w:r>
    </w:p>
    <w:p w14:paraId="76E20D7E"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z w:val="24"/>
          <w:szCs w:val="24"/>
        </w:rPr>
        <w:t xml:space="preserve">BRASIL, 1968. </w:t>
      </w:r>
      <w:r w:rsidRPr="00EA16B0">
        <w:rPr>
          <w:rFonts w:asciiTheme="majorHAnsi" w:hAnsiTheme="majorHAnsi" w:cstheme="majorHAnsi"/>
          <w:b/>
          <w:sz w:val="24"/>
          <w:szCs w:val="24"/>
        </w:rPr>
        <w:t>Lei n. 5.540, de 28 de novembro de 1968.</w:t>
      </w:r>
      <w:r w:rsidRPr="00EA16B0">
        <w:rPr>
          <w:rFonts w:asciiTheme="majorHAnsi" w:hAnsiTheme="majorHAnsi" w:cstheme="majorHAnsi"/>
          <w:sz w:val="24"/>
          <w:szCs w:val="24"/>
        </w:rPr>
        <w:t xml:space="preserve"> Fixa normas de organização e funcionamento do ensino superior e sua articulação com a escola média, e dá outras providências. Disponível em: https://www. planalto.gov.br/ccivil_03/leis/l5540.htm.  Acesso em: 03 fev. 2022.</w:t>
      </w:r>
    </w:p>
    <w:p w14:paraId="592C95CE"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pacing w:val="-2"/>
          <w:sz w:val="24"/>
          <w:szCs w:val="24"/>
        </w:rPr>
        <w:t xml:space="preserve">BRASIL, 1971. </w:t>
      </w:r>
      <w:r w:rsidRPr="00EA16B0">
        <w:rPr>
          <w:rFonts w:asciiTheme="majorHAnsi" w:hAnsiTheme="majorHAnsi" w:cstheme="majorHAnsi"/>
          <w:b/>
          <w:spacing w:val="-2"/>
          <w:sz w:val="24"/>
          <w:szCs w:val="24"/>
        </w:rPr>
        <w:t>Lei n. 5.692, de 11 de agosto de 1971.</w:t>
      </w:r>
      <w:r w:rsidRPr="00EA16B0">
        <w:rPr>
          <w:rFonts w:asciiTheme="majorHAnsi" w:hAnsiTheme="majorHAnsi" w:cstheme="majorHAnsi"/>
          <w:spacing w:val="-2"/>
          <w:sz w:val="24"/>
          <w:szCs w:val="24"/>
        </w:rPr>
        <w:t xml:space="preserve"> Fixa Diretrizes e Bases para o ensino de 1.</w:t>
      </w:r>
      <w:r w:rsidRPr="00EA16B0">
        <w:rPr>
          <w:rFonts w:asciiTheme="majorHAnsi" w:hAnsiTheme="majorHAnsi" w:cstheme="majorHAnsi"/>
          <w:spacing w:val="-2"/>
          <w:sz w:val="24"/>
          <w:szCs w:val="24"/>
          <w:vertAlign w:val="superscript"/>
        </w:rPr>
        <w:t>o</w:t>
      </w:r>
      <w:r w:rsidRPr="00EA16B0">
        <w:rPr>
          <w:rFonts w:asciiTheme="majorHAnsi" w:hAnsiTheme="majorHAnsi" w:cstheme="majorHAnsi"/>
          <w:spacing w:val="-2"/>
          <w:sz w:val="24"/>
          <w:szCs w:val="24"/>
        </w:rPr>
        <w:t xml:space="preserve"> e 2.</w:t>
      </w:r>
      <w:r w:rsidRPr="00EA16B0">
        <w:rPr>
          <w:rFonts w:asciiTheme="majorHAnsi" w:hAnsiTheme="majorHAnsi" w:cstheme="majorHAnsi"/>
          <w:spacing w:val="-2"/>
          <w:sz w:val="24"/>
          <w:szCs w:val="24"/>
          <w:vertAlign w:val="superscript"/>
        </w:rPr>
        <w:t>o</w:t>
      </w:r>
      <w:r w:rsidRPr="00EA16B0" w:rsidDel="00B25D39">
        <w:rPr>
          <w:rFonts w:asciiTheme="majorHAnsi" w:hAnsiTheme="majorHAnsi" w:cstheme="majorHAnsi"/>
          <w:spacing w:val="-2"/>
          <w:sz w:val="24"/>
          <w:szCs w:val="24"/>
        </w:rPr>
        <w:t xml:space="preserve"> </w:t>
      </w:r>
      <w:r w:rsidRPr="00EA16B0">
        <w:rPr>
          <w:rFonts w:asciiTheme="majorHAnsi" w:hAnsiTheme="majorHAnsi" w:cstheme="majorHAnsi"/>
          <w:spacing w:val="-2"/>
          <w:sz w:val="24"/>
          <w:szCs w:val="24"/>
        </w:rPr>
        <w:t>graus, e dá</w:t>
      </w:r>
      <w:r w:rsidRPr="00EA16B0">
        <w:rPr>
          <w:rFonts w:asciiTheme="majorHAnsi" w:hAnsiTheme="majorHAnsi" w:cstheme="majorHAnsi"/>
          <w:sz w:val="24"/>
          <w:szCs w:val="24"/>
        </w:rPr>
        <w:t xml:space="preserve"> </w:t>
      </w:r>
      <w:r w:rsidRPr="00EA16B0">
        <w:rPr>
          <w:rFonts w:asciiTheme="majorHAnsi" w:hAnsiTheme="majorHAnsi" w:cstheme="majorHAnsi"/>
          <w:spacing w:val="-4"/>
          <w:sz w:val="24"/>
          <w:szCs w:val="24"/>
        </w:rPr>
        <w:t>outras providências. Disponível em: http://www.planalto.gov.br/ccivil_03/leis/l5692.htm. Acesso em: 03 fev. 2022.</w:t>
      </w:r>
    </w:p>
    <w:p w14:paraId="1E7BE391" w14:textId="77777777" w:rsidR="00D3608B" w:rsidRPr="00EA16B0" w:rsidRDefault="00D3608B" w:rsidP="00A45DA5">
      <w:pPr>
        <w:spacing w:line="276" w:lineRule="auto"/>
        <w:ind w:right="-1"/>
        <w:rPr>
          <w:rFonts w:asciiTheme="majorHAnsi" w:hAnsiTheme="majorHAnsi" w:cstheme="majorHAnsi"/>
          <w:sz w:val="24"/>
          <w:szCs w:val="24"/>
        </w:rPr>
      </w:pPr>
      <w:r w:rsidRPr="00EA16B0">
        <w:rPr>
          <w:rFonts w:asciiTheme="majorHAnsi" w:hAnsiTheme="majorHAnsi" w:cstheme="majorHAnsi"/>
          <w:sz w:val="24"/>
          <w:szCs w:val="24"/>
        </w:rPr>
        <w:t xml:space="preserve">BRASIL, 1996. </w:t>
      </w:r>
      <w:r w:rsidRPr="00EA16B0">
        <w:rPr>
          <w:rFonts w:asciiTheme="majorHAnsi" w:hAnsiTheme="majorHAnsi" w:cstheme="majorHAnsi"/>
          <w:b/>
          <w:sz w:val="24"/>
          <w:szCs w:val="24"/>
        </w:rPr>
        <w:t>Lei n. 9.394, de 20 de dezembro de 1996</w:t>
      </w:r>
      <w:r w:rsidRPr="00EA16B0">
        <w:rPr>
          <w:rFonts w:asciiTheme="majorHAnsi" w:hAnsiTheme="majorHAnsi" w:cstheme="majorHAnsi"/>
          <w:sz w:val="24"/>
          <w:szCs w:val="24"/>
        </w:rPr>
        <w:t>. Estabelece as diretrizes e bases da educação nacional. Disponível em: http://www.planalto.gov.br/ccivil_03/leis/l9394.htm. Acesso em: 1</w:t>
      </w:r>
      <w:r w:rsidRPr="00EA16B0">
        <w:rPr>
          <w:rFonts w:asciiTheme="majorHAnsi" w:hAnsiTheme="majorHAnsi" w:cstheme="majorHAnsi"/>
          <w:spacing w:val="-2"/>
          <w:sz w:val="24"/>
          <w:szCs w:val="24"/>
        </w:rPr>
        <w:t>.</w:t>
      </w:r>
      <w:r w:rsidRPr="00EA16B0">
        <w:rPr>
          <w:rFonts w:asciiTheme="majorHAnsi" w:hAnsiTheme="majorHAnsi" w:cstheme="majorHAnsi"/>
          <w:spacing w:val="-2"/>
          <w:sz w:val="24"/>
          <w:szCs w:val="24"/>
          <w:vertAlign w:val="superscript"/>
        </w:rPr>
        <w:t>o</w:t>
      </w:r>
      <w:r w:rsidRPr="00EA16B0" w:rsidDel="00B25D39">
        <w:rPr>
          <w:rFonts w:asciiTheme="majorHAnsi" w:hAnsiTheme="majorHAnsi" w:cstheme="majorHAnsi"/>
          <w:sz w:val="24"/>
          <w:szCs w:val="24"/>
        </w:rPr>
        <w:t xml:space="preserve"> </w:t>
      </w:r>
      <w:r w:rsidRPr="00EA16B0">
        <w:rPr>
          <w:rFonts w:asciiTheme="majorHAnsi" w:hAnsiTheme="majorHAnsi" w:cstheme="majorHAnsi"/>
          <w:sz w:val="24"/>
          <w:szCs w:val="24"/>
        </w:rPr>
        <w:t>fev. 2022.</w:t>
      </w:r>
    </w:p>
    <w:p w14:paraId="11D60274" w14:textId="77777777" w:rsidR="00D3608B" w:rsidRPr="00EA16B0" w:rsidRDefault="00D3608B" w:rsidP="00A45DA5">
      <w:pPr>
        <w:spacing w:line="276" w:lineRule="auto"/>
        <w:ind w:right="-1"/>
        <w:rPr>
          <w:rFonts w:asciiTheme="majorHAnsi" w:hAnsiTheme="majorHAnsi" w:cstheme="majorHAnsi"/>
          <w:sz w:val="24"/>
          <w:szCs w:val="24"/>
        </w:rPr>
      </w:pPr>
      <w:r w:rsidRPr="00EA16B0">
        <w:rPr>
          <w:rFonts w:asciiTheme="majorHAnsi" w:hAnsiTheme="majorHAnsi" w:cstheme="majorHAnsi"/>
          <w:sz w:val="24"/>
          <w:szCs w:val="24"/>
        </w:rPr>
        <w:t xml:space="preserve">BRASIL, 2004a. </w:t>
      </w:r>
      <w:r w:rsidRPr="00EA16B0">
        <w:rPr>
          <w:rFonts w:asciiTheme="majorHAnsi" w:hAnsiTheme="majorHAnsi" w:cstheme="majorHAnsi"/>
          <w:b/>
          <w:sz w:val="24"/>
          <w:szCs w:val="24"/>
        </w:rPr>
        <w:t xml:space="preserve">Lei n. 10.861, de 14 de abril de 2004.  </w:t>
      </w:r>
      <w:r w:rsidRPr="00EA16B0">
        <w:rPr>
          <w:rFonts w:asciiTheme="majorHAnsi" w:hAnsiTheme="majorHAnsi" w:cstheme="majorHAnsi"/>
          <w:sz w:val="24"/>
          <w:szCs w:val="24"/>
        </w:rPr>
        <w:t>Institui o Sistema Nacional de Avaliação da Educação Superior – SINAES e dá outras providências. Disponível em: http://www.planalto.gov.br/ccivil_03/_ato2004-2006/2004/lei/l10.861.htm. Acesso em: 1</w:t>
      </w:r>
      <w:r w:rsidRPr="00EA16B0">
        <w:rPr>
          <w:rFonts w:asciiTheme="majorHAnsi" w:hAnsiTheme="majorHAnsi" w:cstheme="majorHAnsi"/>
          <w:spacing w:val="-2"/>
          <w:sz w:val="24"/>
          <w:szCs w:val="24"/>
        </w:rPr>
        <w:t>.</w:t>
      </w:r>
      <w:r w:rsidRPr="00EA16B0">
        <w:rPr>
          <w:rFonts w:asciiTheme="majorHAnsi" w:hAnsiTheme="majorHAnsi" w:cstheme="majorHAnsi"/>
          <w:spacing w:val="-2"/>
          <w:sz w:val="24"/>
          <w:szCs w:val="24"/>
          <w:vertAlign w:val="superscript"/>
        </w:rPr>
        <w:t>o</w:t>
      </w:r>
      <w:r w:rsidRPr="00EA16B0" w:rsidDel="00B25D39">
        <w:rPr>
          <w:rFonts w:asciiTheme="majorHAnsi" w:hAnsiTheme="majorHAnsi" w:cstheme="majorHAnsi"/>
          <w:sz w:val="24"/>
          <w:szCs w:val="24"/>
        </w:rPr>
        <w:t xml:space="preserve"> </w:t>
      </w:r>
      <w:r w:rsidRPr="00EA16B0">
        <w:rPr>
          <w:rFonts w:asciiTheme="majorHAnsi" w:hAnsiTheme="majorHAnsi" w:cstheme="majorHAnsi"/>
          <w:sz w:val="24"/>
          <w:szCs w:val="24"/>
        </w:rPr>
        <w:t>fev. 2022.</w:t>
      </w:r>
    </w:p>
    <w:p w14:paraId="5A28C846" w14:textId="77777777" w:rsidR="00D3608B" w:rsidRPr="00EA16B0" w:rsidRDefault="00D3608B" w:rsidP="00A45DA5">
      <w:pPr>
        <w:spacing w:line="276" w:lineRule="auto"/>
        <w:ind w:right="-1"/>
        <w:rPr>
          <w:rFonts w:asciiTheme="majorHAnsi" w:hAnsiTheme="majorHAnsi" w:cstheme="majorHAnsi"/>
          <w:sz w:val="24"/>
          <w:szCs w:val="24"/>
        </w:rPr>
      </w:pPr>
      <w:r w:rsidRPr="00EA16B0">
        <w:rPr>
          <w:rFonts w:asciiTheme="majorHAnsi" w:hAnsiTheme="majorHAnsi" w:cstheme="majorHAnsi"/>
          <w:sz w:val="24"/>
          <w:szCs w:val="24"/>
        </w:rPr>
        <w:t xml:space="preserve">BRASIL, 2004b. </w:t>
      </w:r>
      <w:r w:rsidRPr="00EA16B0">
        <w:rPr>
          <w:rFonts w:asciiTheme="majorHAnsi" w:hAnsiTheme="majorHAnsi" w:cstheme="majorHAnsi"/>
          <w:b/>
          <w:sz w:val="24"/>
          <w:szCs w:val="24"/>
        </w:rPr>
        <w:t xml:space="preserve">Lei n. 10.973, de 2 de dezembro de 2004. </w:t>
      </w:r>
      <w:r w:rsidRPr="00EA16B0">
        <w:rPr>
          <w:rFonts w:asciiTheme="majorHAnsi" w:hAnsiTheme="majorHAnsi" w:cstheme="majorHAnsi"/>
          <w:sz w:val="24"/>
          <w:szCs w:val="24"/>
        </w:rPr>
        <w:t>Dispõe sobre incentivos à inovação e à pesquisa científica e tecnológica no ambiente produtivo e dá outras providências. Disponível em:</w:t>
      </w:r>
      <w:r w:rsidRPr="00EA16B0">
        <w:rPr>
          <w:rFonts w:asciiTheme="majorHAnsi" w:hAnsiTheme="majorHAnsi" w:cstheme="majorHAnsi"/>
          <w:b/>
          <w:sz w:val="24"/>
          <w:szCs w:val="24"/>
        </w:rPr>
        <w:t xml:space="preserve"> </w:t>
      </w:r>
      <w:r w:rsidRPr="00EA16B0">
        <w:rPr>
          <w:rFonts w:asciiTheme="majorHAnsi" w:hAnsiTheme="majorHAnsi" w:cstheme="majorHAnsi"/>
          <w:sz w:val="24"/>
          <w:szCs w:val="24"/>
        </w:rPr>
        <w:t>http://www. planalto.gov.br/CCIVIL_03/_Ato2004-2006/2004/Lei/L10.973.htm#view. Acesso em: 12 fev. 2022.</w:t>
      </w:r>
    </w:p>
    <w:p w14:paraId="6997FEBE"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z w:val="24"/>
          <w:szCs w:val="24"/>
        </w:rPr>
        <w:t xml:space="preserve">BRASIL, 2012. </w:t>
      </w:r>
      <w:r w:rsidRPr="00EA16B0">
        <w:rPr>
          <w:rFonts w:asciiTheme="majorHAnsi" w:hAnsiTheme="majorHAnsi" w:cstheme="majorHAnsi"/>
          <w:b/>
          <w:sz w:val="24"/>
          <w:szCs w:val="24"/>
        </w:rPr>
        <w:t>Lei n. 12.711, de 29 de agosto de 2012.</w:t>
      </w:r>
      <w:r w:rsidRPr="00EA16B0">
        <w:rPr>
          <w:rFonts w:asciiTheme="majorHAnsi" w:hAnsiTheme="majorHAnsi" w:cstheme="majorHAnsi"/>
          <w:sz w:val="24"/>
          <w:szCs w:val="24"/>
        </w:rPr>
        <w:t xml:space="preserve"> Dispõe sobre o ingresso nas universidades federais e nas instituições federais de ensino técnico de nível médio e dá outras providências. Disponível em: http://www.planalto.gov.br/ccivil_03/_ato2011-2014/2012/lei/l12711.htm. Acesso em: 17 fev. 2022.</w:t>
      </w:r>
    </w:p>
    <w:p w14:paraId="0714ACA6"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z w:val="24"/>
          <w:szCs w:val="24"/>
        </w:rPr>
        <w:t xml:space="preserve">BRASIL. </w:t>
      </w:r>
      <w:r w:rsidRPr="00EA16B0">
        <w:rPr>
          <w:rFonts w:asciiTheme="majorHAnsi" w:hAnsiTheme="majorHAnsi" w:cstheme="majorHAnsi"/>
          <w:b/>
          <w:sz w:val="24"/>
          <w:szCs w:val="24"/>
        </w:rPr>
        <w:t>Lei n. 13.005, de 25 de junho de 2014.</w:t>
      </w:r>
      <w:r w:rsidRPr="00EA16B0">
        <w:rPr>
          <w:rFonts w:asciiTheme="majorHAnsi" w:hAnsiTheme="majorHAnsi" w:cstheme="majorHAnsi"/>
          <w:sz w:val="24"/>
          <w:szCs w:val="24"/>
        </w:rPr>
        <w:t xml:space="preserve"> Aprova o Plano Nacional de Educação – PNE e dá outras providências. Disponível em: http://www.planalto.gov.br/ccivil_03/_ato2011-2014/2014/lei/l13005.htm. Acesso em: 10 fev. 2022.</w:t>
      </w:r>
    </w:p>
    <w:p w14:paraId="3F3005D1"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z w:val="24"/>
          <w:szCs w:val="24"/>
        </w:rPr>
        <w:t xml:space="preserve">BRASIL, 2017. </w:t>
      </w:r>
      <w:r w:rsidRPr="00EA16B0">
        <w:rPr>
          <w:rFonts w:asciiTheme="majorHAnsi" w:hAnsiTheme="majorHAnsi" w:cstheme="majorHAnsi"/>
          <w:b/>
          <w:sz w:val="24"/>
          <w:szCs w:val="24"/>
        </w:rPr>
        <w:t>Decreto n. 9.057, de 25 de maio de 2017</w:t>
      </w:r>
      <w:r w:rsidRPr="00EA16B0">
        <w:rPr>
          <w:rFonts w:asciiTheme="majorHAnsi" w:hAnsiTheme="majorHAnsi" w:cstheme="majorHAnsi"/>
          <w:sz w:val="24"/>
          <w:szCs w:val="24"/>
        </w:rPr>
        <w:t>. Regulamenta o art. 80 da Lei nº 9.394, de 20 de dezembro de 1996. Disponível em: http://www.planalto.gov.br/ccivil_03/_ato2015-2018/2017/decreto/d9057.htm. Acesso em: 6 nov. 2021.</w:t>
      </w:r>
    </w:p>
    <w:p w14:paraId="305BEE88"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z w:val="24"/>
          <w:szCs w:val="24"/>
        </w:rPr>
        <w:lastRenderedPageBreak/>
        <w:t xml:space="preserve">BRASIL, 2018. </w:t>
      </w:r>
      <w:r w:rsidRPr="00EA16B0">
        <w:rPr>
          <w:rFonts w:asciiTheme="majorHAnsi" w:hAnsiTheme="majorHAnsi" w:cstheme="majorHAnsi"/>
          <w:b/>
          <w:sz w:val="24"/>
          <w:szCs w:val="24"/>
        </w:rPr>
        <w:t xml:space="preserve">Decreto n. 9.283, de 7 de fevereiro de 2018. </w:t>
      </w:r>
      <w:r w:rsidRPr="00EA16B0">
        <w:rPr>
          <w:rFonts w:asciiTheme="majorHAnsi" w:hAnsiTheme="majorHAnsi" w:cstheme="majorHAnsi"/>
          <w:sz w:val="24"/>
          <w:szCs w:val="24"/>
        </w:rPr>
        <w:t>Regulamenta a Lei 10.973/2004. Disponível em: http://www.planalto.gov.br/CCIVIL_03/_Ato2015-2018/2018/Decreto/D9283.htm. Acesso em: 12 fev. 2022.</w:t>
      </w:r>
    </w:p>
    <w:p w14:paraId="51DA9572" w14:textId="77777777" w:rsidR="00D3608B" w:rsidRPr="00EA16B0" w:rsidRDefault="00D3608B" w:rsidP="00A45DA5">
      <w:pPr>
        <w:spacing w:line="276" w:lineRule="auto"/>
        <w:jc w:val="both"/>
        <w:rPr>
          <w:rFonts w:asciiTheme="majorHAnsi" w:hAnsiTheme="majorHAnsi" w:cstheme="majorHAnsi"/>
          <w:sz w:val="24"/>
          <w:szCs w:val="24"/>
        </w:rPr>
      </w:pPr>
      <w:r w:rsidRPr="00EA16B0">
        <w:rPr>
          <w:rFonts w:asciiTheme="majorHAnsi" w:hAnsiTheme="majorHAnsi" w:cstheme="majorHAnsi"/>
          <w:sz w:val="24"/>
          <w:szCs w:val="24"/>
        </w:rPr>
        <w:t xml:space="preserve">CAPES – Coordenação de Aperfeiçoamento de Pessoal de Nível Superior, 2022 – </w:t>
      </w:r>
      <w:r w:rsidRPr="00EA16B0">
        <w:rPr>
          <w:rFonts w:asciiTheme="majorHAnsi" w:hAnsiTheme="majorHAnsi" w:cstheme="majorHAnsi"/>
          <w:b/>
          <w:sz w:val="24"/>
          <w:szCs w:val="24"/>
        </w:rPr>
        <w:t>Cursos Recomendados/Reconhecidos</w:t>
      </w:r>
      <w:r w:rsidRPr="00EA16B0">
        <w:rPr>
          <w:rFonts w:asciiTheme="majorHAnsi" w:hAnsiTheme="majorHAnsi" w:cstheme="majorHAnsi"/>
          <w:sz w:val="24"/>
          <w:szCs w:val="24"/>
        </w:rPr>
        <w:t>. Disponível em:https://www.gov.br/capes/pt-br/acesso-a-informacao/acoes-e-programas/</w:t>
      </w:r>
      <w:r w:rsidRPr="00EA16B0">
        <w:rPr>
          <w:rFonts w:asciiTheme="majorHAnsi" w:hAnsiTheme="majorHAnsi" w:cstheme="majorHAnsi"/>
          <w:sz w:val="24"/>
          <w:szCs w:val="24"/>
        </w:rPr>
        <w:pgNum/>
      </w:r>
      <w:r w:rsidRPr="00EA16B0">
        <w:rPr>
          <w:rFonts w:asciiTheme="majorHAnsi" w:hAnsiTheme="majorHAnsi" w:cstheme="majorHAnsi"/>
          <w:sz w:val="24"/>
          <w:szCs w:val="24"/>
        </w:rPr>
        <w:t>valiação/sistema-nacional-de-pos-graduacao-snpg/dados-do-snpg/cursos-recomendados-reconhecidos. Acesso em: 17 fev. 2022.</w:t>
      </w:r>
    </w:p>
    <w:p w14:paraId="49A41F8A" w14:textId="77777777" w:rsidR="00D3608B" w:rsidRPr="00EA16B0" w:rsidRDefault="00D3608B" w:rsidP="00A45DA5">
      <w:pPr>
        <w:tabs>
          <w:tab w:val="clear" w:pos="1615"/>
        </w:tabs>
        <w:spacing w:line="276" w:lineRule="auto"/>
        <w:rPr>
          <w:rFonts w:asciiTheme="majorHAnsi" w:hAnsiTheme="majorHAnsi" w:cstheme="majorHAnsi"/>
          <w:sz w:val="24"/>
          <w:szCs w:val="24"/>
        </w:rPr>
      </w:pPr>
      <w:r w:rsidRPr="00EA16B0">
        <w:rPr>
          <w:rFonts w:asciiTheme="majorHAnsi" w:hAnsiTheme="majorHAnsi" w:cstheme="majorHAnsi"/>
          <w:sz w:val="24"/>
          <w:szCs w:val="24"/>
        </w:rPr>
        <w:t>CEBRASPE. Centro Brasileiro de Pesquisa em Avaliação e Seleção e de Promoção de Eventos, 2021.</w:t>
      </w:r>
      <w:r w:rsidRPr="00EA16B0">
        <w:rPr>
          <w:rFonts w:asciiTheme="majorHAnsi" w:hAnsiTheme="majorHAnsi" w:cstheme="majorHAnsi"/>
          <w:b/>
          <w:sz w:val="24"/>
          <w:szCs w:val="24"/>
        </w:rPr>
        <w:t xml:space="preserve"> “Panorama da Educação Superior no Distrito Federal”. </w:t>
      </w:r>
      <w:r w:rsidRPr="00EA16B0">
        <w:rPr>
          <w:rFonts w:asciiTheme="majorHAnsi" w:hAnsiTheme="majorHAnsi" w:cstheme="majorHAnsi"/>
          <w:sz w:val="24"/>
          <w:szCs w:val="24"/>
        </w:rPr>
        <w:t xml:space="preserve">Autora: ROBL, Fabiane. Coord. GRIBOSKI, Claudia </w:t>
      </w:r>
      <w:proofErr w:type="spellStart"/>
      <w:r w:rsidRPr="00EA16B0">
        <w:rPr>
          <w:rFonts w:asciiTheme="majorHAnsi" w:hAnsiTheme="majorHAnsi" w:cstheme="majorHAnsi"/>
          <w:sz w:val="24"/>
          <w:szCs w:val="24"/>
        </w:rPr>
        <w:t>Maffini</w:t>
      </w:r>
      <w:proofErr w:type="spellEnd"/>
      <w:r w:rsidRPr="00EA16B0">
        <w:rPr>
          <w:rFonts w:asciiTheme="majorHAnsi" w:hAnsiTheme="majorHAnsi" w:cstheme="majorHAnsi"/>
          <w:sz w:val="24"/>
          <w:szCs w:val="24"/>
        </w:rPr>
        <w:t>, Brasília, DF, 2021. (Termo de Referência n. 002, Código n. 2020-002, Projeto "Uma Universidade Distrital" – Termo de Colaboração n. 2/2020, Fundação de Apoio à Pesquisa do Distrito Federal – FAPDF, Fundação Universidade Aberta do Distrito Federal - FUNAB, Centro Brasileiro de Pesquisa em Avaliação e Seleção e de Promoção de Eventos – CEBRASPE).</w:t>
      </w:r>
    </w:p>
    <w:p w14:paraId="385AC4E7" w14:textId="77777777" w:rsidR="00D3608B" w:rsidRPr="00EA16B0" w:rsidRDefault="00D3608B" w:rsidP="00A45DA5">
      <w:pPr>
        <w:tabs>
          <w:tab w:val="clear" w:pos="1615"/>
        </w:tabs>
        <w:spacing w:line="276" w:lineRule="auto"/>
        <w:rPr>
          <w:rFonts w:asciiTheme="majorHAnsi" w:hAnsiTheme="majorHAnsi" w:cstheme="majorHAnsi"/>
          <w:sz w:val="24"/>
          <w:szCs w:val="24"/>
        </w:rPr>
      </w:pPr>
      <w:r w:rsidRPr="00EA16B0">
        <w:rPr>
          <w:rFonts w:asciiTheme="majorHAnsi" w:hAnsiTheme="majorHAnsi" w:cstheme="majorHAnsi"/>
          <w:sz w:val="24"/>
          <w:szCs w:val="24"/>
        </w:rPr>
        <w:t>CEBRASPE. Centro Brasileiro de Pesquisa em Avaliação e Seleção e de Promoção de Eventos, 2022a. “</w:t>
      </w:r>
      <w:r w:rsidRPr="00EA16B0">
        <w:rPr>
          <w:rFonts w:asciiTheme="majorHAnsi" w:hAnsiTheme="majorHAnsi" w:cstheme="majorHAnsi"/>
          <w:b/>
          <w:sz w:val="24"/>
          <w:szCs w:val="24"/>
        </w:rPr>
        <w:t>Documento proposição da organização didático-pedagógica dos cursos com métodos, técnicas e metodologias ativas de ensino que possibilitem a incorporação de avanços tecnológicos e que incentive a interdisciplinaridade e a promoção de ações inovadoras”</w:t>
      </w:r>
      <w:r w:rsidRPr="00EA16B0">
        <w:rPr>
          <w:rFonts w:asciiTheme="majorHAnsi" w:hAnsiTheme="majorHAnsi" w:cstheme="majorHAnsi"/>
          <w:sz w:val="24"/>
          <w:szCs w:val="24"/>
        </w:rPr>
        <w:t xml:space="preserve"> Autor: CORTELAZZO, </w:t>
      </w:r>
      <w:proofErr w:type="spellStart"/>
      <w:r w:rsidRPr="00EA16B0">
        <w:rPr>
          <w:rFonts w:asciiTheme="majorHAnsi" w:hAnsiTheme="majorHAnsi" w:cstheme="majorHAnsi"/>
          <w:sz w:val="24"/>
          <w:szCs w:val="24"/>
        </w:rPr>
        <w:t>Angelo</w:t>
      </w:r>
      <w:proofErr w:type="spellEnd"/>
      <w:r w:rsidRPr="00EA16B0">
        <w:rPr>
          <w:rFonts w:asciiTheme="majorHAnsi" w:hAnsiTheme="majorHAnsi" w:cstheme="majorHAnsi"/>
          <w:sz w:val="24"/>
          <w:szCs w:val="24"/>
        </w:rPr>
        <w:t xml:space="preserve"> L.; Coord. GRIBOSKI, Claudia </w:t>
      </w:r>
      <w:proofErr w:type="spellStart"/>
      <w:r w:rsidRPr="00EA16B0">
        <w:rPr>
          <w:rFonts w:asciiTheme="majorHAnsi" w:hAnsiTheme="majorHAnsi" w:cstheme="majorHAnsi"/>
          <w:sz w:val="24"/>
          <w:szCs w:val="24"/>
        </w:rPr>
        <w:t>Maffini</w:t>
      </w:r>
      <w:proofErr w:type="spellEnd"/>
      <w:r w:rsidRPr="00EA16B0">
        <w:rPr>
          <w:rFonts w:asciiTheme="majorHAnsi" w:hAnsiTheme="majorHAnsi" w:cstheme="majorHAnsi"/>
          <w:sz w:val="24"/>
          <w:szCs w:val="24"/>
        </w:rPr>
        <w:t>, Brasília, DF, 2022. (Termo de Referência n. 012, Código n. 2021-012, Projeto "Uma Universidade Distrital" – Termo de Colaboração n. 2/2020, Fundação de Apoio à Pesquisa do Distrito Federal – FAPDF, Fundação Universidade Aberta do Distrito Federal – FUNAB, Centro Brasileiro de Pesquisa em Avaliação e Seleção e de Promoção de Eventos – CEBRASPE).</w:t>
      </w:r>
    </w:p>
    <w:p w14:paraId="0D40AE9C" w14:textId="77777777" w:rsidR="00D3608B" w:rsidRPr="00EA16B0" w:rsidRDefault="00D3608B" w:rsidP="00A45DA5">
      <w:pPr>
        <w:tabs>
          <w:tab w:val="clear" w:pos="1615"/>
        </w:tabs>
        <w:spacing w:line="276" w:lineRule="auto"/>
        <w:rPr>
          <w:rFonts w:asciiTheme="majorHAnsi" w:hAnsiTheme="majorHAnsi" w:cstheme="majorHAnsi"/>
          <w:sz w:val="24"/>
          <w:szCs w:val="24"/>
        </w:rPr>
      </w:pPr>
      <w:r w:rsidRPr="00EA16B0">
        <w:rPr>
          <w:rFonts w:asciiTheme="majorHAnsi" w:hAnsiTheme="majorHAnsi" w:cstheme="majorHAnsi"/>
          <w:sz w:val="24"/>
          <w:szCs w:val="24"/>
        </w:rPr>
        <w:t>CEBRASPE. Centro Brasileiro de Pesquisa em Avaliação e Seleção e de Promoção de Eventos. 2022b. “</w:t>
      </w:r>
      <w:r w:rsidRPr="00EA16B0">
        <w:rPr>
          <w:rFonts w:asciiTheme="majorHAnsi" w:hAnsiTheme="majorHAnsi" w:cstheme="majorHAnsi"/>
          <w:b/>
          <w:sz w:val="24"/>
          <w:szCs w:val="24"/>
        </w:rPr>
        <w:t xml:space="preserve">Documento contendo a proposta de Estatuto universitário contemplando a governança entre os órgãos setoriais da universidade e sua estrutura administrativa preconizada na Lei n. 987 de 26/07/2021, destacadamente, nas relações entre os Centros e as </w:t>
      </w:r>
      <w:proofErr w:type="spellStart"/>
      <w:r w:rsidRPr="00EA16B0">
        <w:rPr>
          <w:rFonts w:asciiTheme="majorHAnsi" w:hAnsiTheme="majorHAnsi" w:cstheme="majorHAnsi"/>
          <w:b/>
          <w:sz w:val="24"/>
          <w:szCs w:val="24"/>
        </w:rPr>
        <w:t>Pró-Reitorias</w:t>
      </w:r>
      <w:proofErr w:type="spellEnd"/>
      <w:r w:rsidRPr="00EA16B0">
        <w:rPr>
          <w:rFonts w:asciiTheme="majorHAnsi" w:hAnsiTheme="majorHAnsi" w:cstheme="majorHAnsi"/>
          <w:b/>
          <w:sz w:val="24"/>
          <w:szCs w:val="24"/>
        </w:rPr>
        <w:t>, considerando que são os órgãos mais afeitos à execução da política educacional da universidade.”</w:t>
      </w:r>
      <w:r w:rsidRPr="00EA16B0">
        <w:rPr>
          <w:rFonts w:asciiTheme="majorHAnsi" w:hAnsiTheme="majorHAnsi" w:cstheme="majorHAnsi"/>
          <w:sz w:val="24"/>
          <w:szCs w:val="24"/>
        </w:rPr>
        <w:t xml:space="preserve"> Autora: </w:t>
      </w:r>
      <w:proofErr w:type="gramStart"/>
      <w:r w:rsidRPr="00EA16B0">
        <w:rPr>
          <w:rFonts w:asciiTheme="majorHAnsi" w:hAnsiTheme="majorHAnsi" w:cstheme="majorHAnsi"/>
          <w:sz w:val="24"/>
          <w:szCs w:val="24"/>
        </w:rPr>
        <w:t>MENEGHEL,S</w:t>
      </w:r>
      <w:proofErr w:type="gramEnd"/>
      <w:r w:rsidRPr="00EA16B0">
        <w:rPr>
          <w:rFonts w:asciiTheme="majorHAnsi" w:hAnsiTheme="majorHAnsi" w:cstheme="majorHAnsi"/>
          <w:sz w:val="24"/>
          <w:szCs w:val="24"/>
        </w:rPr>
        <w:t xml:space="preserve">.M ; Coord. GRIBOSKI, Claudia </w:t>
      </w:r>
      <w:proofErr w:type="spellStart"/>
      <w:r w:rsidRPr="00EA16B0">
        <w:rPr>
          <w:rFonts w:asciiTheme="majorHAnsi" w:hAnsiTheme="majorHAnsi" w:cstheme="majorHAnsi"/>
          <w:sz w:val="24"/>
          <w:szCs w:val="24"/>
        </w:rPr>
        <w:t>Maffini</w:t>
      </w:r>
      <w:proofErr w:type="spellEnd"/>
      <w:r w:rsidRPr="00EA16B0">
        <w:rPr>
          <w:rFonts w:asciiTheme="majorHAnsi" w:hAnsiTheme="majorHAnsi" w:cstheme="majorHAnsi"/>
          <w:sz w:val="24"/>
          <w:szCs w:val="24"/>
        </w:rPr>
        <w:t>, Brasília, DF, 2022. (Termo de Referência n. 017, Código n. 2021-017, Projeto "Uma Universidade Distrital" – Termo de Colaboração n. 2/2020, Fundação de Apoio à Pesquisa do Distrito Federal – FAPDF, Fundação Universidade Aberta do Distrito Federal – FUNAB, Centro Brasileiro de Pesquisa em Avaliação e Seleção e de Promoção de Eventos – CEBRASPE).</w:t>
      </w:r>
    </w:p>
    <w:p w14:paraId="05773E3D"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z w:val="24"/>
          <w:szCs w:val="24"/>
        </w:rPr>
        <w:t xml:space="preserve">CEDF – Conselho de </w:t>
      </w:r>
      <w:proofErr w:type="spellStart"/>
      <w:r w:rsidRPr="00EA16B0">
        <w:rPr>
          <w:rFonts w:asciiTheme="majorHAnsi" w:hAnsiTheme="majorHAnsi" w:cstheme="majorHAnsi"/>
          <w:sz w:val="24"/>
          <w:szCs w:val="24"/>
        </w:rPr>
        <w:t>Educaçao</w:t>
      </w:r>
      <w:proofErr w:type="spellEnd"/>
      <w:r w:rsidRPr="00EA16B0">
        <w:rPr>
          <w:rFonts w:asciiTheme="majorHAnsi" w:hAnsiTheme="majorHAnsi" w:cstheme="majorHAnsi"/>
          <w:sz w:val="24"/>
          <w:szCs w:val="24"/>
        </w:rPr>
        <w:t xml:space="preserve"> do Distrito Federal. </w:t>
      </w:r>
      <w:r w:rsidRPr="00EA16B0">
        <w:rPr>
          <w:rFonts w:asciiTheme="majorHAnsi" w:hAnsiTheme="majorHAnsi" w:cstheme="majorHAnsi"/>
          <w:b/>
          <w:sz w:val="24"/>
          <w:szCs w:val="24"/>
        </w:rPr>
        <w:t xml:space="preserve">Resolução n. 2, de 19 de setembro de 2017. </w:t>
      </w:r>
      <w:r w:rsidRPr="00EA16B0">
        <w:rPr>
          <w:rFonts w:asciiTheme="majorHAnsi" w:hAnsiTheme="majorHAnsi" w:cstheme="majorHAnsi"/>
          <w:sz w:val="24"/>
          <w:szCs w:val="24"/>
        </w:rPr>
        <w:t>Estabelece normas para a Educação Superior no Sistema de Ensino do Distrito Federal. Disponível em: https://drive. google.com/file/d/12tmmbLA_b6KtyWTmAg2ejNFhtvRNJVMt/</w:t>
      </w:r>
      <w:proofErr w:type="spellStart"/>
      <w:r w:rsidRPr="00EA16B0">
        <w:rPr>
          <w:rFonts w:asciiTheme="majorHAnsi" w:hAnsiTheme="majorHAnsi" w:cstheme="majorHAnsi"/>
          <w:sz w:val="24"/>
          <w:szCs w:val="24"/>
        </w:rPr>
        <w:t>view</w:t>
      </w:r>
      <w:proofErr w:type="spellEnd"/>
      <w:r w:rsidRPr="00EA16B0">
        <w:rPr>
          <w:rFonts w:asciiTheme="majorHAnsi" w:hAnsiTheme="majorHAnsi" w:cstheme="majorHAnsi"/>
          <w:sz w:val="24"/>
          <w:szCs w:val="24"/>
        </w:rPr>
        <w:t>. Acesso em: 6 nov. 2021.</w:t>
      </w:r>
    </w:p>
    <w:p w14:paraId="4A9B5A0A"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z w:val="24"/>
          <w:szCs w:val="24"/>
        </w:rPr>
        <w:t xml:space="preserve">CEE-SP – Conselho Estadual de Educação de São Paulo. </w:t>
      </w:r>
      <w:r w:rsidRPr="00EA16B0">
        <w:rPr>
          <w:rFonts w:asciiTheme="majorHAnsi" w:hAnsiTheme="majorHAnsi" w:cstheme="majorHAnsi"/>
          <w:b/>
          <w:sz w:val="24"/>
          <w:szCs w:val="24"/>
        </w:rPr>
        <w:t>Deliberação CEE n. 197/2021</w:t>
      </w:r>
      <w:r w:rsidRPr="00EA16B0">
        <w:rPr>
          <w:rFonts w:asciiTheme="majorHAnsi" w:hAnsiTheme="majorHAnsi" w:cstheme="majorHAnsi"/>
          <w:sz w:val="24"/>
          <w:szCs w:val="24"/>
        </w:rPr>
        <w:t xml:space="preserve"> – Dispõe sobre o exercício das funções de regulação, supervisão e avaliação das instituições de educação </w:t>
      </w:r>
      <w:r w:rsidRPr="00EA16B0">
        <w:rPr>
          <w:rFonts w:asciiTheme="majorHAnsi" w:hAnsiTheme="majorHAnsi" w:cstheme="majorHAnsi"/>
          <w:sz w:val="24"/>
          <w:szCs w:val="24"/>
        </w:rPr>
        <w:lastRenderedPageBreak/>
        <w:t>nos cursos de pós-graduação lato sensu (especialização) do Sistema de Ensino do Estado de São Paulo – Disponível em: http://www.ceesp.sp.gov.br/ceesp/textos/2021/2021-00092-Delib-197-21-Indic-207-21.pdf. Acesso em: 3 fev. 2022.</w:t>
      </w:r>
    </w:p>
    <w:p w14:paraId="44DA0E18"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z w:val="24"/>
          <w:szCs w:val="24"/>
        </w:rPr>
        <w:t xml:space="preserve">CNE – Conselho Nacional de Educação, 1997a. </w:t>
      </w:r>
      <w:r w:rsidRPr="00EA16B0">
        <w:rPr>
          <w:rFonts w:asciiTheme="majorHAnsi" w:hAnsiTheme="majorHAnsi" w:cstheme="majorHAnsi"/>
          <w:b/>
          <w:sz w:val="24"/>
          <w:szCs w:val="24"/>
          <w:lang w:eastAsia="pt-BR"/>
        </w:rPr>
        <w:t xml:space="preserve">Parecer CNE/CES 670/97 de 6 de novembro de 1997 </w:t>
      </w:r>
      <w:r w:rsidRPr="00EA16B0">
        <w:rPr>
          <w:rFonts w:asciiTheme="majorHAnsi" w:hAnsiTheme="majorHAnsi" w:cstheme="majorHAnsi"/>
          <w:sz w:val="24"/>
          <w:szCs w:val="24"/>
          <w:lang w:eastAsia="pt-BR"/>
        </w:rPr>
        <w:t xml:space="preserve">– Cursos </w:t>
      </w:r>
      <w:proofErr w:type="spellStart"/>
      <w:r w:rsidRPr="00EA16B0">
        <w:rPr>
          <w:rFonts w:asciiTheme="majorHAnsi" w:hAnsiTheme="majorHAnsi" w:cstheme="majorHAnsi"/>
          <w:sz w:val="24"/>
          <w:szCs w:val="24"/>
          <w:lang w:eastAsia="pt-BR"/>
        </w:rPr>
        <w:t>Sequênciais</w:t>
      </w:r>
      <w:proofErr w:type="spellEnd"/>
      <w:r w:rsidRPr="00EA16B0">
        <w:rPr>
          <w:rFonts w:asciiTheme="majorHAnsi" w:hAnsiTheme="majorHAnsi" w:cstheme="majorHAnsi"/>
          <w:sz w:val="24"/>
          <w:szCs w:val="24"/>
          <w:lang w:eastAsia="pt-BR"/>
        </w:rPr>
        <w:t xml:space="preserve"> no Ensino Superior. Disponível em: </w:t>
      </w:r>
      <w:r w:rsidRPr="00EA16B0">
        <w:rPr>
          <w:rFonts w:asciiTheme="majorHAnsi" w:hAnsiTheme="majorHAnsi" w:cstheme="majorHAnsi"/>
          <w:sz w:val="24"/>
          <w:szCs w:val="24"/>
        </w:rPr>
        <w:t>http://portal.mec.gov.br/cne/arquivos/pdf/1997/pces670 _97.pdf. Acesso em: 10 mar. 2022.</w:t>
      </w:r>
    </w:p>
    <w:p w14:paraId="7C5B8E19"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z w:val="24"/>
          <w:szCs w:val="24"/>
          <w:lang w:eastAsia="pt-BR"/>
        </w:rPr>
        <w:t xml:space="preserve">CNE – Conselho Nacional de Educação, 1997b. </w:t>
      </w:r>
      <w:r w:rsidRPr="00EA16B0">
        <w:rPr>
          <w:rFonts w:asciiTheme="majorHAnsi" w:hAnsiTheme="majorHAnsi" w:cstheme="majorHAnsi"/>
          <w:b/>
          <w:sz w:val="24"/>
          <w:szCs w:val="24"/>
          <w:lang w:eastAsia="pt-BR"/>
        </w:rPr>
        <w:t>Parecer CNE/CES 776/97 de 3 de dezembro de 1997.</w:t>
      </w:r>
      <w:r w:rsidRPr="00EA16B0">
        <w:rPr>
          <w:rFonts w:asciiTheme="majorHAnsi" w:hAnsiTheme="majorHAnsi" w:cstheme="majorHAnsi"/>
          <w:sz w:val="24"/>
          <w:szCs w:val="24"/>
          <w:lang w:eastAsia="pt-BR"/>
        </w:rPr>
        <w:t xml:space="preserve"> </w:t>
      </w:r>
      <w:r w:rsidRPr="00EA16B0">
        <w:rPr>
          <w:rFonts w:asciiTheme="majorHAnsi" w:hAnsiTheme="majorHAnsi" w:cstheme="majorHAnsi"/>
          <w:sz w:val="24"/>
          <w:szCs w:val="24"/>
        </w:rPr>
        <w:t xml:space="preserve">Orientação para as diretrizes curriculares dos cursos de graduação. </w:t>
      </w:r>
      <w:r w:rsidRPr="00EA16B0">
        <w:rPr>
          <w:rFonts w:asciiTheme="majorHAnsi" w:hAnsiTheme="majorHAnsi" w:cstheme="majorHAnsi"/>
          <w:sz w:val="24"/>
          <w:szCs w:val="24"/>
          <w:lang w:eastAsia="pt-BR"/>
        </w:rPr>
        <w:t xml:space="preserve">Disponível em: http://portal.mec.gov.br/ setec/arquivos/pdf_legislacao/superior/legisla_superior_parecer77697.pdf. </w:t>
      </w:r>
      <w:r w:rsidRPr="00EA16B0">
        <w:rPr>
          <w:rFonts w:asciiTheme="majorHAnsi" w:hAnsiTheme="majorHAnsi" w:cstheme="majorHAnsi"/>
          <w:sz w:val="24"/>
          <w:szCs w:val="24"/>
        </w:rPr>
        <w:t>Acesso em: 2 fev. 2022.</w:t>
      </w:r>
    </w:p>
    <w:p w14:paraId="5F675E0D"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z w:val="24"/>
          <w:szCs w:val="24"/>
          <w:lang w:eastAsia="pt-BR"/>
        </w:rPr>
        <w:t xml:space="preserve">CNE – Conselho Nacional de Educação, 1999. </w:t>
      </w:r>
      <w:r w:rsidRPr="00EA16B0">
        <w:rPr>
          <w:rFonts w:asciiTheme="majorHAnsi" w:hAnsiTheme="majorHAnsi" w:cstheme="majorHAnsi"/>
          <w:b/>
          <w:sz w:val="24"/>
          <w:szCs w:val="24"/>
          <w:lang w:eastAsia="pt-BR"/>
        </w:rPr>
        <w:t xml:space="preserve">Resolução n. 1, de 27 de janeiro de 1999. </w:t>
      </w:r>
      <w:r w:rsidRPr="00EA16B0">
        <w:rPr>
          <w:rFonts w:asciiTheme="majorHAnsi" w:hAnsiTheme="majorHAnsi" w:cstheme="majorHAnsi"/>
          <w:sz w:val="24"/>
          <w:szCs w:val="24"/>
        </w:rPr>
        <w:t xml:space="preserve">Dispõe sobre os cursos </w:t>
      </w:r>
      <w:proofErr w:type="spellStart"/>
      <w:r w:rsidRPr="00EA16B0">
        <w:rPr>
          <w:rFonts w:asciiTheme="majorHAnsi" w:hAnsiTheme="majorHAnsi" w:cstheme="majorHAnsi"/>
          <w:sz w:val="24"/>
          <w:szCs w:val="24"/>
        </w:rPr>
        <w:t>seqüenciais</w:t>
      </w:r>
      <w:proofErr w:type="spellEnd"/>
      <w:r w:rsidRPr="00EA16B0">
        <w:rPr>
          <w:rFonts w:asciiTheme="majorHAnsi" w:hAnsiTheme="majorHAnsi" w:cstheme="majorHAnsi"/>
          <w:sz w:val="24"/>
          <w:szCs w:val="24"/>
        </w:rPr>
        <w:t xml:space="preserve"> de educação superior, nos termos do art. 44 da Lei 9.394/96. Disponível em: http://portal.mec.gov.br/index.php?option=com_docman&amp;view=download&amp;alias=65241-rces001-99-pdf&amp;category_slug=maio-2017-pdf&amp;Itemid=30192. Acesso em: 10 mar. 2022.</w:t>
      </w:r>
    </w:p>
    <w:p w14:paraId="1B8FF410"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z w:val="24"/>
          <w:szCs w:val="24"/>
        </w:rPr>
        <w:t xml:space="preserve">CNE – Conselho Nacional de Educação, 2001. </w:t>
      </w:r>
      <w:r w:rsidRPr="00EA16B0">
        <w:rPr>
          <w:rFonts w:asciiTheme="majorHAnsi" w:hAnsiTheme="majorHAnsi" w:cstheme="majorHAnsi"/>
          <w:b/>
          <w:sz w:val="24"/>
          <w:szCs w:val="24"/>
        </w:rPr>
        <w:t xml:space="preserve">Parecer CNE/CES n. 575, de 4 de abril de 2001. </w:t>
      </w:r>
      <w:r w:rsidRPr="00EA16B0">
        <w:rPr>
          <w:rFonts w:asciiTheme="majorHAnsi" w:hAnsiTheme="majorHAnsi" w:cstheme="majorHAnsi"/>
          <w:sz w:val="24"/>
          <w:szCs w:val="24"/>
        </w:rPr>
        <w:t>Consulta sobre carga horária de cursos superiores. Disponível em: http://portal.mec.gov.br/cne/arquivos/pdf/2001/ pces575_01.pdf. Acesso em: 2 fev. 2022.</w:t>
      </w:r>
    </w:p>
    <w:p w14:paraId="7C92CD65"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z w:val="24"/>
          <w:szCs w:val="24"/>
        </w:rPr>
        <w:t xml:space="preserve">CNE – Conselho Nacional de Educação. 2001. </w:t>
      </w:r>
      <w:r w:rsidRPr="00EA16B0">
        <w:rPr>
          <w:rFonts w:asciiTheme="majorHAnsi" w:hAnsiTheme="majorHAnsi" w:cstheme="majorHAnsi"/>
          <w:b/>
          <w:sz w:val="24"/>
          <w:szCs w:val="24"/>
          <w:lang w:eastAsia="pt-BR"/>
        </w:rPr>
        <w:t>Parecer CNE/CES 583, de 4 de abril de 2001.</w:t>
      </w:r>
      <w:r w:rsidRPr="00EA16B0">
        <w:rPr>
          <w:rFonts w:asciiTheme="majorHAnsi" w:hAnsiTheme="majorHAnsi" w:cstheme="majorHAnsi"/>
          <w:sz w:val="24"/>
          <w:szCs w:val="24"/>
        </w:rPr>
        <w:t xml:space="preserve"> Orientação para as diretrizes curriculares dos cursos de graduação. Disponível em: http://portal.mec.gov.br/cne/arquivos/ </w:t>
      </w:r>
      <w:proofErr w:type="spellStart"/>
      <w:r w:rsidRPr="00EA16B0">
        <w:rPr>
          <w:rFonts w:asciiTheme="majorHAnsi" w:hAnsiTheme="majorHAnsi" w:cstheme="majorHAnsi"/>
          <w:sz w:val="24"/>
          <w:szCs w:val="24"/>
        </w:rPr>
        <w:t>pdf</w:t>
      </w:r>
      <w:proofErr w:type="spellEnd"/>
      <w:r w:rsidRPr="00EA16B0">
        <w:rPr>
          <w:rFonts w:asciiTheme="majorHAnsi" w:hAnsiTheme="majorHAnsi" w:cstheme="majorHAnsi"/>
          <w:sz w:val="24"/>
          <w:szCs w:val="24"/>
        </w:rPr>
        <w:t>/CES0583.pdf. Acesso em: 2 fev. 2022.</w:t>
      </w:r>
    </w:p>
    <w:p w14:paraId="26DE95C0"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z w:val="24"/>
          <w:szCs w:val="24"/>
        </w:rPr>
        <w:t xml:space="preserve">CNE – Conselho Nacional de Educação, 2007. </w:t>
      </w:r>
      <w:r w:rsidRPr="00EA16B0">
        <w:rPr>
          <w:rFonts w:asciiTheme="majorHAnsi" w:hAnsiTheme="majorHAnsi" w:cstheme="majorHAnsi"/>
          <w:b/>
          <w:sz w:val="24"/>
          <w:szCs w:val="24"/>
        </w:rPr>
        <w:t>Resolução n. 2, de 18 de junho de 2007.</w:t>
      </w:r>
      <w:r w:rsidRPr="00EA16B0">
        <w:rPr>
          <w:rFonts w:asciiTheme="majorHAnsi" w:hAnsiTheme="majorHAnsi" w:cstheme="majorHAnsi"/>
          <w:sz w:val="24"/>
          <w:szCs w:val="24"/>
        </w:rPr>
        <w:t xml:space="preserve"> Dispõe sobre carga horária mínima e procedimentos relativos à integralização e duração dos cursos de graduação, bacharelados, na modalidade presencial. Disponível em http://portal.mec.gov.br/ </w:t>
      </w:r>
      <w:proofErr w:type="spellStart"/>
      <w:r w:rsidRPr="00EA16B0">
        <w:rPr>
          <w:rFonts w:asciiTheme="majorHAnsi" w:hAnsiTheme="majorHAnsi" w:cstheme="majorHAnsi"/>
          <w:sz w:val="24"/>
          <w:szCs w:val="24"/>
        </w:rPr>
        <w:t>dmdocuments</w:t>
      </w:r>
      <w:proofErr w:type="spellEnd"/>
      <w:r w:rsidRPr="00EA16B0">
        <w:rPr>
          <w:rFonts w:asciiTheme="majorHAnsi" w:hAnsiTheme="majorHAnsi" w:cstheme="majorHAnsi"/>
          <w:sz w:val="24"/>
          <w:szCs w:val="24"/>
        </w:rPr>
        <w:t>/rces002_07.pdf. Acesso em: 1</w:t>
      </w:r>
      <w:r w:rsidRPr="00EA16B0">
        <w:rPr>
          <w:rFonts w:asciiTheme="majorHAnsi" w:hAnsiTheme="majorHAnsi" w:cstheme="majorHAnsi"/>
          <w:spacing w:val="-2"/>
          <w:sz w:val="24"/>
          <w:szCs w:val="24"/>
        </w:rPr>
        <w:t>.</w:t>
      </w:r>
      <w:r w:rsidRPr="00EA16B0">
        <w:rPr>
          <w:rFonts w:asciiTheme="majorHAnsi" w:hAnsiTheme="majorHAnsi" w:cstheme="majorHAnsi"/>
          <w:spacing w:val="-2"/>
          <w:sz w:val="24"/>
          <w:szCs w:val="24"/>
          <w:vertAlign w:val="superscript"/>
        </w:rPr>
        <w:t>o</w:t>
      </w:r>
      <w:r w:rsidRPr="00EA16B0" w:rsidDel="00B25D39">
        <w:rPr>
          <w:rFonts w:asciiTheme="majorHAnsi" w:hAnsiTheme="majorHAnsi" w:cstheme="majorHAnsi"/>
          <w:sz w:val="24"/>
          <w:szCs w:val="24"/>
        </w:rPr>
        <w:t xml:space="preserve"> </w:t>
      </w:r>
      <w:r w:rsidRPr="00EA16B0">
        <w:rPr>
          <w:rFonts w:asciiTheme="majorHAnsi" w:hAnsiTheme="majorHAnsi" w:cstheme="majorHAnsi"/>
          <w:sz w:val="24"/>
          <w:szCs w:val="24"/>
        </w:rPr>
        <w:t>fev. 2022.</w:t>
      </w:r>
    </w:p>
    <w:p w14:paraId="4423BC8B"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z w:val="24"/>
          <w:szCs w:val="24"/>
        </w:rPr>
        <w:t xml:space="preserve">CNE – Conselho Nacional de Educação, 2009. </w:t>
      </w:r>
      <w:r w:rsidRPr="00EA16B0">
        <w:rPr>
          <w:rFonts w:asciiTheme="majorHAnsi" w:hAnsiTheme="majorHAnsi" w:cstheme="majorHAnsi"/>
          <w:b/>
          <w:sz w:val="24"/>
          <w:szCs w:val="24"/>
        </w:rPr>
        <w:t>Resolução n. 4, de 6 de abril de 2009.</w:t>
      </w:r>
      <w:r w:rsidRPr="00EA16B0">
        <w:rPr>
          <w:rFonts w:asciiTheme="majorHAnsi" w:hAnsiTheme="majorHAnsi" w:cstheme="majorHAnsi"/>
          <w:sz w:val="24"/>
          <w:szCs w:val="24"/>
        </w:rPr>
        <w:t xml:space="preserve"> Dispõe sobre carga horária mínima e procedimentos relativos à integralização e duração dos cursos de graduação em Biomedicina, Ciências Biológicas, Educação Física, Enfermagem, Farmácia, Fisioterapia, Fonoaudiologia, Nutrição e Terapia Ocupacional, bacharelados, na modalidade presencial. Disponível em http://portal.mec.gov.br/dmdocuments/rces004_09.pdf. Acesso: em 1</w:t>
      </w:r>
      <w:r w:rsidRPr="00EA16B0">
        <w:rPr>
          <w:rFonts w:asciiTheme="majorHAnsi" w:hAnsiTheme="majorHAnsi" w:cstheme="majorHAnsi"/>
          <w:spacing w:val="-2"/>
          <w:sz w:val="24"/>
          <w:szCs w:val="24"/>
        </w:rPr>
        <w:t>.</w:t>
      </w:r>
      <w:r w:rsidRPr="00EA16B0">
        <w:rPr>
          <w:rFonts w:asciiTheme="majorHAnsi" w:hAnsiTheme="majorHAnsi" w:cstheme="majorHAnsi"/>
          <w:spacing w:val="-2"/>
          <w:sz w:val="24"/>
          <w:szCs w:val="24"/>
          <w:vertAlign w:val="superscript"/>
        </w:rPr>
        <w:t>o</w:t>
      </w:r>
      <w:r w:rsidRPr="00EA16B0">
        <w:rPr>
          <w:rFonts w:asciiTheme="majorHAnsi" w:hAnsiTheme="majorHAnsi" w:cstheme="majorHAnsi"/>
          <w:sz w:val="24"/>
          <w:szCs w:val="24"/>
        </w:rPr>
        <w:t xml:space="preserve"> fev. 2022.</w:t>
      </w:r>
    </w:p>
    <w:p w14:paraId="2A04F983"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z w:val="24"/>
          <w:szCs w:val="24"/>
        </w:rPr>
        <w:t xml:space="preserve">CNE – Conselho Nacional de Educação, 2011. </w:t>
      </w:r>
      <w:r w:rsidRPr="00EA16B0">
        <w:rPr>
          <w:rFonts w:asciiTheme="majorHAnsi" w:hAnsiTheme="majorHAnsi" w:cstheme="majorHAnsi"/>
          <w:b/>
          <w:sz w:val="24"/>
          <w:szCs w:val="24"/>
        </w:rPr>
        <w:t xml:space="preserve">Parecer CNE/CES n. 266/2011, de 6 de julho de 2011. </w:t>
      </w:r>
      <w:r w:rsidRPr="00EA16B0">
        <w:rPr>
          <w:rFonts w:asciiTheme="majorHAnsi" w:hAnsiTheme="majorHAnsi" w:cstheme="majorHAnsi"/>
          <w:sz w:val="24"/>
          <w:szCs w:val="24"/>
        </w:rPr>
        <w:t>Referenciais orientadores para os Bacharelados Interdisciplinares e Similares das Universidades Federais</w:t>
      </w:r>
      <w:r w:rsidRPr="00EA16B0">
        <w:rPr>
          <w:rFonts w:asciiTheme="majorHAnsi" w:hAnsiTheme="majorHAnsi" w:cstheme="majorHAnsi"/>
          <w:b/>
          <w:sz w:val="24"/>
          <w:szCs w:val="24"/>
        </w:rPr>
        <w:t xml:space="preserve">. </w:t>
      </w:r>
      <w:r w:rsidRPr="00EA16B0">
        <w:rPr>
          <w:rFonts w:asciiTheme="majorHAnsi" w:hAnsiTheme="majorHAnsi" w:cstheme="majorHAnsi"/>
          <w:sz w:val="24"/>
          <w:szCs w:val="24"/>
        </w:rPr>
        <w:t>Disponível em: http://portal.mec.gov.br/index.php?option=com_docman&amp;view=download&amp;alias=8907-pces266-11&amp;category_slug=setembro-2011-pdf&amp;Itemid=30192. Acesso em: 2 fev. 2022.</w:t>
      </w:r>
    </w:p>
    <w:p w14:paraId="1BE4E857" w14:textId="77777777" w:rsidR="00D3608B" w:rsidRPr="00EA16B0" w:rsidRDefault="00D3608B" w:rsidP="00A45DA5">
      <w:pPr>
        <w:shd w:val="clear" w:color="auto" w:fill="FFFFFF"/>
        <w:tabs>
          <w:tab w:val="clear" w:pos="1615"/>
        </w:tabs>
        <w:spacing w:line="276" w:lineRule="auto"/>
        <w:textAlignment w:val="baseline"/>
        <w:rPr>
          <w:rFonts w:asciiTheme="majorHAnsi" w:hAnsiTheme="majorHAnsi" w:cstheme="majorHAnsi"/>
          <w:sz w:val="24"/>
          <w:szCs w:val="24"/>
        </w:rPr>
      </w:pPr>
      <w:r w:rsidRPr="00EA16B0">
        <w:rPr>
          <w:rFonts w:asciiTheme="majorHAnsi" w:hAnsiTheme="majorHAnsi" w:cstheme="majorHAnsi"/>
          <w:sz w:val="24"/>
          <w:szCs w:val="24"/>
        </w:rPr>
        <w:lastRenderedPageBreak/>
        <w:t xml:space="preserve">CNE – Conselho Nacional de Educação, 2012. </w:t>
      </w:r>
      <w:r w:rsidRPr="00EA16B0">
        <w:rPr>
          <w:rFonts w:asciiTheme="majorHAnsi" w:hAnsiTheme="majorHAnsi" w:cstheme="majorHAnsi"/>
          <w:b/>
          <w:sz w:val="24"/>
          <w:szCs w:val="24"/>
        </w:rPr>
        <w:t xml:space="preserve">Parecer CNE/CES n. 136/2012, de 9 de março de 2012. </w:t>
      </w:r>
      <w:r w:rsidRPr="00EA16B0">
        <w:rPr>
          <w:rFonts w:asciiTheme="majorHAnsi" w:hAnsiTheme="majorHAnsi" w:cstheme="majorHAnsi"/>
          <w:sz w:val="24"/>
          <w:szCs w:val="24"/>
        </w:rPr>
        <w:t>Diretrizes Curriculares Nacionais para os cursos de graduação em computação. Disponível em:</w:t>
      </w:r>
      <w:r w:rsidRPr="00EA16B0">
        <w:rPr>
          <w:rFonts w:asciiTheme="majorHAnsi" w:hAnsiTheme="majorHAnsi" w:cstheme="majorHAnsi"/>
          <w:b/>
          <w:sz w:val="24"/>
          <w:szCs w:val="24"/>
        </w:rPr>
        <w:t xml:space="preserve"> </w:t>
      </w:r>
      <w:r w:rsidRPr="00EA16B0">
        <w:rPr>
          <w:rFonts w:asciiTheme="majorHAnsi" w:hAnsiTheme="majorHAnsi" w:cstheme="majorHAnsi"/>
          <w:sz w:val="24"/>
          <w:szCs w:val="24"/>
        </w:rPr>
        <w:t>http://portal mec.gov.br/index.php?option=com_docman&amp;view=download&amp;</w:t>
      </w:r>
      <w:proofErr w:type="gramStart"/>
      <w:r w:rsidRPr="00EA16B0">
        <w:rPr>
          <w:rFonts w:asciiTheme="majorHAnsi" w:hAnsiTheme="majorHAnsi" w:cstheme="majorHAnsi"/>
          <w:sz w:val="24"/>
          <w:szCs w:val="24"/>
        </w:rPr>
        <w:t>alias</w:t>
      </w:r>
      <w:proofErr w:type="gramEnd"/>
      <w:r w:rsidRPr="00EA16B0">
        <w:rPr>
          <w:rFonts w:asciiTheme="majorHAnsi" w:hAnsiTheme="majorHAnsi" w:cstheme="majorHAnsi"/>
          <w:sz w:val="24"/>
          <w:szCs w:val="24"/>
        </w:rPr>
        <w:t>=11205-pces136-11-pdf&amp;category_slug= julho-2012-pdf&amp;Itemid=30192. Acesso em: 2 fev. 2022.</w:t>
      </w:r>
    </w:p>
    <w:p w14:paraId="37B20B9A"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z w:val="24"/>
          <w:szCs w:val="24"/>
        </w:rPr>
        <w:t xml:space="preserve">CNE – Conselho Nacional de Educação, 2014. </w:t>
      </w:r>
      <w:r w:rsidRPr="00EA16B0">
        <w:rPr>
          <w:rFonts w:asciiTheme="majorHAnsi" w:hAnsiTheme="majorHAnsi" w:cstheme="majorHAnsi"/>
          <w:b/>
          <w:sz w:val="24"/>
          <w:szCs w:val="24"/>
        </w:rPr>
        <w:t xml:space="preserve">Resolução n. 2, de 12 de fevereiro de 2014. </w:t>
      </w:r>
      <w:r w:rsidRPr="00EA16B0">
        <w:rPr>
          <w:rFonts w:asciiTheme="majorHAnsi" w:hAnsiTheme="majorHAnsi" w:cstheme="majorHAnsi"/>
          <w:sz w:val="24"/>
          <w:szCs w:val="24"/>
        </w:rPr>
        <w:t>Institui o cadastro nacional de oferta de cursos de pós-graduação lato sensu (especialização) das instituições credenciadas no Sistema Federal de Ensino. Disponível em: http://portal.mec.gov.br/index.php?option=com_docman&amp;view download&amp;</w:t>
      </w:r>
      <w:proofErr w:type="gramStart"/>
      <w:r w:rsidRPr="00EA16B0">
        <w:rPr>
          <w:rFonts w:asciiTheme="majorHAnsi" w:hAnsiTheme="majorHAnsi" w:cstheme="majorHAnsi"/>
          <w:sz w:val="24"/>
          <w:szCs w:val="24"/>
        </w:rPr>
        <w:t>alias</w:t>
      </w:r>
      <w:proofErr w:type="gramEnd"/>
      <w:r w:rsidRPr="00EA16B0">
        <w:rPr>
          <w:rFonts w:asciiTheme="majorHAnsi" w:hAnsiTheme="majorHAnsi" w:cstheme="majorHAnsi"/>
          <w:sz w:val="24"/>
          <w:szCs w:val="24"/>
        </w:rPr>
        <w:t>=15177-rces002-14&amp;category_slug=fevereiro-2014&amp;Itemid=30192. Acesso em: 2 fev. 2022.</w:t>
      </w:r>
    </w:p>
    <w:p w14:paraId="4473DD0D"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z w:val="24"/>
          <w:szCs w:val="24"/>
        </w:rPr>
        <w:t xml:space="preserve">CNE – Conselho Nacional de Educação, 2016. </w:t>
      </w:r>
      <w:r w:rsidRPr="00EA16B0">
        <w:rPr>
          <w:rFonts w:asciiTheme="majorHAnsi" w:hAnsiTheme="majorHAnsi" w:cstheme="majorHAnsi"/>
          <w:b/>
          <w:sz w:val="24"/>
          <w:szCs w:val="24"/>
        </w:rPr>
        <w:t xml:space="preserve">Resolução n. 5, de 16 de novembro de 2016. </w:t>
      </w:r>
      <w:r w:rsidRPr="00EA16B0">
        <w:rPr>
          <w:rFonts w:asciiTheme="majorHAnsi" w:hAnsiTheme="majorHAnsi" w:cstheme="majorHAnsi"/>
          <w:sz w:val="24"/>
          <w:szCs w:val="24"/>
        </w:rPr>
        <w:t xml:space="preserve">Institui as Diretrizes Curriculares Nacionais para os cursos de graduação na área da Computação, abrangendo os cursos de bacharelado em Ciência da Computação, em Sistemas de Informação, em Engenharia de Computação, em Engenharia de Software e de licenciatura em Computação, e dá outras providências. Disponível em: http://portal.mec.gov.br/index.php?option=com_docman&amp;view=download&amp;alias=52101-rces005-16-pdf&amp;category_slug=novembro-2016-pdf&amp;Itemid=30192. Acesso em: 11 </w:t>
      </w:r>
      <w:proofErr w:type="spellStart"/>
      <w:r w:rsidRPr="00EA16B0">
        <w:rPr>
          <w:rFonts w:asciiTheme="majorHAnsi" w:hAnsiTheme="majorHAnsi" w:cstheme="majorHAnsi"/>
          <w:sz w:val="24"/>
          <w:szCs w:val="24"/>
        </w:rPr>
        <w:t>nov</w:t>
      </w:r>
      <w:proofErr w:type="spellEnd"/>
      <w:r w:rsidRPr="00EA16B0">
        <w:rPr>
          <w:rFonts w:asciiTheme="majorHAnsi" w:hAnsiTheme="majorHAnsi" w:cstheme="majorHAnsi"/>
          <w:sz w:val="24"/>
          <w:szCs w:val="24"/>
        </w:rPr>
        <w:t>, 2021.</w:t>
      </w:r>
    </w:p>
    <w:p w14:paraId="2BF407DA"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z w:val="24"/>
          <w:szCs w:val="24"/>
        </w:rPr>
        <w:t xml:space="preserve">CNE – Conselho Nacional de Educação, 2017. </w:t>
      </w:r>
      <w:r w:rsidRPr="00EA16B0">
        <w:rPr>
          <w:rFonts w:asciiTheme="majorHAnsi" w:hAnsiTheme="majorHAnsi" w:cstheme="majorHAnsi"/>
          <w:b/>
          <w:sz w:val="24"/>
          <w:szCs w:val="24"/>
        </w:rPr>
        <w:t>Resolução n. 1, de 22 de maio de 2017</w:t>
      </w:r>
      <w:r w:rsidRPr="00EA16B0">
        <w:rPr>
          <w:rFonts w:asciiTheme="majorHAnsi" w:hAnsiTheme="majorHAnsi" w:cstheme="majorHAnsi"/>
          <w:sz w:val="24"/>
          <w:szCs w:val="24"/>
        </w:rPr>
        <w:t>. Dispõe sobre cursos sequenciais. Disponível em: http://portal.mec.gov.br/index.php?option=com_docman&amp;view= download&amp;</w:t>
      </w:r>
      <w:proofErr w:type="gramStart"/>
      <w:r w:rsidRPr="00EA16B0">
        <w:rPr>
          <w:rFonts w:asciiTheme="majorHAnsi" w:hAnsiTheme="majorHAnsi" w:cstheme="majorHAnsi"/>
          <w:sz w:val="24"/>
          <w:szCs w:val="24"/>
        </w:rPr>
        <w:t>alias</w:t>
      </w:r>
      <w:proofErr w:type="gramEnd"/>
      <w:r w:rsidRPr="00EA16B0">
        <w:rPr>
          <w:rFonts w:asciiTheme="majorHAnsi" w:hAnsiTheme="majorHAnsi" w:cstheme="majorHAnsi"/>
          <w:sz w:val="24"/>
          <w:szCs w:val="24"/>
        </w:rPr>
        <w:t>=65181-rces001-17-pdf&amp;category_slug=maio-2017-pdf&amp;Itemid=30192. Acesso em: 10 mar. 2022.</w:t>
      </w:r>
    </w:p>
    <w:p w14:paraId="4BDDFEA7" w14:textId="77777777" w:rsidR="00D3608B" w:rsidRPr="00EA16B0" w:rsidRDefault="00D3608B" w:rsidP="00A45DA5">
      <w:pPr>
        <w:spacing w:line="276" w:lineRule="auto"/>
        <w:rPr>
          <w:rFonts w:asciiTheme="majorHAnsi" w:hAnsiTheme="majorHAnsi" w:cstheme="majorHAnsi"/>
          <w:sz w:val="24"/>
          <w:szCs w:val="24"/>
          <w:shd w:val="clear" w:color="auto" w:fill="FFFFFF"/>
        </w:rPr>
      </w:pPr>
      <w:r w:rsidRPr="00EA16B0">
        <w:rPr>
          <w:rFonts w:asciiTheme="majorHAnsi" w:hAnsiTheme="majorHAnsi" w:cstheme="majorHAnsi"/>
          <w:sz w:val="24"/>
          <w:szCs w:val="24"/>
        </w:rPr>
        <w:t xml:space="preserve">CNE – Conselho Nacional de Educação, 2018a. </w:t>
      </w:r>
      <w:r w:rsidRPr="00EA16B0">
        <w:rPr>
          <w:rFonts w:asciiTheme="majorHAnsi" w:hAnsiTheme="majorHAnsi" w:cstheme="majorHAnsi"/>
          <w:b/>
          <w:sz w:val="24"/>
          <w:szCs w:val="24"/>
        </w:rPr>
        <w:t xml:space="preserve">Parecer CNE/CES n. 146/2018, de 8 de março de 2018. </w:t>
      </w:r>
      <w:r w:rsidRPr="00EA16B0">
        <w:rPr>
          <w:rFonts w:asciiTheme="majorHAnsi" w:hAnsiTheme="majorHAnsi" w:cstheme="majorHAnsi"/>
          <w:sz w:val="24"/>
          <w:szCs w:val="24"/>
        </w:rPr>
        <w:t>Reexame do Parecer CNE/CES nº 245/2016, que trata das Diretrizes Nacionais dos Cursos de Pós-Graduação Lato Sensu. Disponível em: http://portal.mec.gov.br/index.php?option=com_docman&amp;view=download&amp;alias =85501-pces14618&amp;category_slug=abril-2018-pdf&amp;Itemid=30192. Acesso em: 15 fev. 2022.</w:t>
      </w:r>
    </w:p>
    <w:p w14:paraId="1E7F18F3"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z w:val="24"/>
          <w:szCs w:val="24"/>
        </w:rPr>
        <w:t xml:space="preserve">CNE – Conselho Nacional de Educação, 2018b. </w:t>
      </w:r>
      <w:r w:rsidRPr="00EA16B0">
        <w:rPr>
          <w:rFonts w:asciiTheme="majorHAnsi" w:hAnsiTheme="majorHAnsi" w:cstheme="majorHAnsi"/>
          <w:b/>
          <w:sz w:val="24"/>
          <w:szCs w:val="24"/>
        </w:rPr>
        <w:t>Parecer CNE/CES nº 608/2018, de 3 de outubro de 2018.</w:t>
      </w:r>
      <w:r w:rsidRPr="00EA16B0">
        <w:rPr>
          <w:rFonts w:asciiTheme="majorHAnsi" w:hAnsiTheme="majorHAnsi" w:cstheme="majorHAnsi"/>
          <w:sz w:val="24"/>
          <w:szCs w:val="24"/>
        </w:rPr>
        <w:t xml:space="preserve"> Diretrizes para as Políticas de Extensão da Educação Superior Brasileira. Disponível em: http://portal.mec.gov.br/ </w:t>
      </w:r>
      <w:proofErr w:type="spellStart"/>
      <w:r w:rsidRPr="00EA16B0">
        <w:rPr>
          <w:rFonts w:asciiTheme="majorHAnsi" w:hAnsiTheme="majorHAnsi" w:cstheme="majorHAnsi"/>
          <w:sz w:val="24"/>
          <w:szCs w:val="24"/>
        </w:rPr>
        <w:t>docman</w:t>
      </w:r>
      <w:proofErr w:type="spellEnd"/>
      <w:r w:rsidRPr="00EA16B0">
        <w:rPr>
          <w:rFonts w:asciiTheme="majorHAnsi" w:hAnsiTheme="majorHAnsi" w:cstheme="majorHAnsi"/>
          <w:sz w:val="24"/>
          <w:szCs w:val="24"/>
        </w:rPr>
        <w:t>/novembro-2018-pdf/102551-pces608-18/file. Acesso em 15 fev. 2022.</w:t>
      </w:r>
    </w:p>
    <w:p w14:paraId="0CECD24F"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z w:val="24"/>
          <w:szCs w:val="24"/>
        </w:rPr>
        <w:t xml:space="preserve">CNE – Conselho Nacional de Educação, 2018c. </w:t>
      </w:r>
      <w:r w:rsidRPr="00EA16B0">
        <w:rPr>
          <w:rFonts w:asciiTheme="majorHAnsi" w:hAnsiTheme="majorHAnsi" w:cstheme="majorHAnsi"/>
          <w:b/>
          <w:sz w:val="24"/>
          <w:szCs w:val="24"/>
        </w:rPr>
        <w:t xml:space="preserve">Resolução n. 1, de 6 de abril de 2018. </w:t>
      </w:r>
      <w:r w:rsidRPr="00EA16B0">
        <w:rPr>
          <w:rFonts w:asciiTheme="majorHAnsi" w:hAnsiTheme="majorHAnsi" w:cstheme="majorHAnsi"/>
          <w:sz w:val="24"/>
          <w:szCs w:val="24"/>
        </w:rPr>
        <w:t>Estabelece as Diretrizes para a Extensão na Educação Superior Brasileira e regimenta o disposto na Meta 12.7 da Lei n. 13.005/201. Disponível em: http://portal.mec.gov.br/index.php?option=com_docman&amp;view download&amp;</w:t>
      </w:r>
      <w:proofErr w:type="gramStart"/>
      <w:r w:rsidRPr="00EA16B0">
        <w:rPr>
          <w:rFonts w:asciiTheme="majorHAnsi" w:hAnsiTheme="majorHAnsi" w:cstheme="majorHAnsi"/>
          <w:sz w:val="24"/>
          <w:szCs w:val="24"/>
        </w:rPr>
        <w:t>alias</w:t>
      </w:r>
      <w:proofErr w:type="gramEnd"/>
      <w:r w:rsidRPr="00EA16B0">
        <w:rPr>
          <w:rFonts w:asciiTheme="majorHAnsi" w:hAnsiTheme="majorHAnsi" w:cstheme="majorHAnsi"/>
          <w:sz w:val="24"/>
          <w:szCs w:val="24"/>
        </w:rPr>
        <w:t>=85591-rces001-18&amp;category_slug=abril-2018-pdf&amp;Itemid=30192. Acesso em: 15 fev. 2022.</w:t>
      </w:r>
    </w:p>
    <w:p w14:paraId="744CE4BB"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z w:val="24"/>
          <w:szCs w:val="24"/>
        </w:rPr>
        <w:t xml:space="preserve">CNE – Conselho Nacional de Educação, 2018d. </w:t>
      </w:r>
      <w:r w:rsidRPr="00EA16B0">
        <w:rPr>
          <w:rFonts w:asciiTheme="majorHAnsi" w:hAnsiTheme="majorHAnsi" w:cstheme="majorHAnsi"/>
          <w:b/>
          <w:sz w:val="24"/>
          <w:szCs w:val="24"/>
        </w:rPr>
        <w:t xml:space="preserve">Resolução n. 7, de 18 de dezembro de 2018. </w:t>
      </w:r>
      <w:r w:rsidRPr="00EA16B0">
        <w:rPr>
          <w:rFonts w:asciiTheme="majorHAnsi" w:hAnsiTheme="majorHAnsi" w:cstheme="majorHAnsi"/>
          <w:sz w:val="24"/>
          <w:szCs w:val="24"/>
        </w:rPr>
        <w:t xml:space="preserve">Estabelece as Diretrizes para a Extensão na Educação Superior Brasileira e regimenta o disposto na Meta 12.7 da Lei n. 13.005/201. Disponível em: </w:t>
      </w:r>
      <w:r w:rsidRPr="00EA16B0">
        <w:rPr>
          <w:rFonts w:asciiTheme="majorHAnsi" w:hAnsiTheme="majorHAnsi" w:cstheme="majorHAnsi"/>
          <w:sz w:val="24"/>
          <w:szCs w:val="24"/>
        </w:rPr>
        <w:lastRenderedPageBreak/>
        <w:t>http://portal.mec.gov.br/index.php?option=com_docman&amp;view =download&amp;</w:t>
      </w:r>
      <w:proofErr w:type="gramStart"/>
      <w:r w:rsidRPr="00EA16B0">
        <w:rPr>
          <w:rFonts w:asciiTheme="majorHAnsi" w:hAnsiTheme="majorHAnsi" w:cstheme="majorHAnsi"/>
          <w:sz w:val="24"/>
          <w:szCs w:val="24"/>
        </w:rPr>
        <w:t>alias</w:t>
      </w:r>
      <w:proofErr w:type="gramEnd"/>
      <w:r w:rsidRPr="00EA16B0">
        <w:rPr>
          <w:rFonts w:asciiTheme="majorHAnsi" w:hAnsiTheme="majorHAnsi" w:cstheme="majorHAnsi"/>
          <w:sz w:val="24"/>
          <w:szCs w:val="24"/>
        </w:rPr>
        <w:t>=104251-rces007-18&amp;category_slug=dezembro-2018-pdf&amp;Itemid=30192. Acesso em: 15 fev. 2022.</w:t>
      </w:r>
    </w:p>
    <w:p w14:paraId="44EFD770"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z w:val="24"/>
          <w:szCs w:val="24"/>
        </w:rPr>
        <w:t xml:space="preserve">CNE – Conselho Nacional de Educação, 2019. </w:t>
      </w:r>
      <w:r w:rsidRPr="00EA16B0">
        <w:rPr>
          <w:rFonts w:asciiTheme="majorHAnsi" w:hAnsiTheme="majorHAnsi" w:cstheme="majorHAnsi"/>
          <w:b/>
          <w:sz w:val="24"/>
          <w:szCs w:val="24"/>
        </w:rPr>
        <w:t xml:space="preserve">Resolução n. 2, de 24 de abril de 2019. </w:t>
      </w:r>
      <w:r w:rsidRPr="00EA16B0">
        <w:rPr>
          <w:rFonts w:asciiTheme="majorHAnsi" w:hAnsiTheme="majorHAnsi" w:cstheme="majorHAnsi"/>
          <w:sz w:val="24"/>
          <w:szCs w:val="24"/>
        </w:rPr>
        <w:t xml:space="preserve">Institui as Diretrizes Curriculares Nacionais do Curso de Graduação em Engenharia. </w:t>
      </w:r>
      <w:proofErr w:type="spellStart"/>
      <w:r w:rsidRPr="00EA16B0">
        <w:rPr>
          <w:rFonts w:asciiTheme="majorHAnsi" w:hAnsiTheme="majorHAnsi" w:cstheme="majorHAnsi"/>
          <w:sz w:val="24"/>
          <w:szCs w:val="24"/>
          <w:lang w:val="en-GB"/>
        </w:rPr>
        <w:t>Disponível</w:t>
      </w:r>
      <w:proofErr w:type="spellEnd"/>
      <w:r w:rsidRPr="00EA16B0">
        <w:rPr>
          <w:rFonts w:asciiTheme="majorHAnsi" w:hAnsiTheme="majorHAnsi" w:cstheme="majorHAnsi"/>
          <w:sz w:val="24"/>
          <w:szCs w:val="24"/>
          <w:lang w:val="en-GB"/>
        </w:rPr>
        <w:t xml:space="preserve"> </w:t>
      </w:r>
      <w:proofErr w:type="spellStart"/>
      <w:r w:rsidRPr="00EA16B0">
        <w:rPr>
          <w:rFonts w:asciiTheme="majorHAnsi" w:hAnsiTheme="majorHAnsi" w:cstheme="majorHAnsi"/>
          <w:sz w:val="24"/>
          <w:szCs w:val="24"/>
          <w:lang w:val="en-GB"/>
        </w:rPr>
        <w:t>em</w:t>
      </w:r>
      <w:proofErr w:type="spellEnd"/>
      <w:r w:rsidRPr="00EA16B0">
        <w:rPr>
          <w:rFonts w:asciiTheme="majorHAnsi" w:hAnsiTheme="majorHAnsi" w:cstheme="majorHAnsi"/>
          <w:sz w:val="24"/>
          <w:szCs w:val="24"/>
          <w:lang w:val="en-GB"/>
        </w:rPr>
        <w:t xml:space="preserve">: http://portal.mec.gov.br/ index.php?option=com_docman&amp;view=download&amp;alias=112681-rces002-19&amp;category_slug=abril-2019-pdf&amp;Itemid=30192. </w:t>
      </w:r>
      <w:r w:rsidRPr="00EA16B0">
        <w:rPr>
          <w:rFonts w:asciiTheme="majorHAnsi" w:hAnsiTheme="majorHAnsi" w:cstheme="majorHAnsi"/>
          <w:sz w:val="24"/>
          <w:szCs w:val="24"/>
        </w:rPr>
        <w:t>Acesso em: 9 nov. 2021.</w:t>
      </w:r>
    </w:p>
    <w:p w14:paraId="4028C71E" w14:textId="77777777" w:rsidR="00D3608B" w:rsidRPr="00EA16B0" w:rsidRDefault="00D3608B" w:rsidP="00A45DA5">
      <w:pPr>
        <w:pStyle w:val="Default"/>
        <w:spacing w:after="160" w:line="276" w:lineRule="auto"/>
        <w:rPr>
          <w:rFonts w:asciiTheme="majorHAnsi" w:hAnsiTheme="majorHAnsi" w:cstheme="majorHAnsi"/>
          <w:color w:val="auto"/>
        </w:rPr>
      </w:pPr>
      <w:r w:rsidRPr="00EA16B0">
        <w:rPr>
          <w:rFonts w:asciiTheme="majorHAnsi" w:hAnsiTheme="majorHAnsi" w:cstheme="majorHAnsi"/>
          <w:color w:val="auto"/>
        </w:rPr>
        <w:t xml:space="preserve">CORTELAZZO, A.L. As graduações tecnológicas no contexto da expansão do ensino superior brasileiro. </w:t>
      </w:r>
      <w:r w:rsidRPr="00EA16B0">
        <w:rPr>
          <w:rFonts w:asciiTheme="majorHAnsi" w:hAnsiTheme="majorHAnsi" w:cstheme="majorHAnsi"/>
          <w:b/>
          <w:color w:val="auto"/>
        </w:rPr>
        <w:t>Revista Eletrônica de Tecnologia e Cultura, v. 4, n. 2,</w:t>
      </w:r>
      <w:r w:rsidRPr="00EA16B0">
        <w:rPr>
          <w:rFonts w:asciiTheme="majorHAnsi" w:hAnsiTheme="majorHAnsi" w:cstheme="majorHAnsi"/>
          <w:color w:val="auto"/>
        </w:rPr>
        <w:t xml:space="preserve"> p. 3-11, março a maio de 2012.</w:t>
      </w:r>
    </w:p>
    <w:p w14:paraId="776BA528" w14:textId="77777777" w:rsidR="00D3608B" w:rsidRPr="00EA16B0" w:rsidRDefault="00D3608B" w:rsidP="00A45DA5">
      <w:pPr>
        <w:pStyle w:val="Default"/>
        <w:spacing w:after="160" w:line="276" w:lineRule="auto"/>
        <w:rPr>
          <w:rFonts w:asciiTheme="majorHAnsi" w:hAnsiTheme="majorHAnsi" w:cstheme="majorHAnsi"/>
          <w:color w:val="auto"/>
        </w:rPr>
      </w:pPr>
      <w:r w:rsidRPr="00EA16B0">
        <w:rPr>
          <w:rFonts w:asciiTheme="majorHAnsi" w:hAnsiTheme="majorHAnsi" w:cstheme="majorHAnsi"/>
          <w:color w:val="auto"/>
        </w:rPr>
        <w:t xml:space="preserve">CORTELAZZO, A.L. </w:t>
      </w:r>
      <w:r w:rsidRPr="00EA16B0">
        <w:rPr>
          <w:rFonts w:asciiTheme="majorHAnsi" w:hAnsiTheme="majorHAnsi" w:cstheme="majorHAnsi"/>
          <w:b/>
          <w:color w:val="auto"/>
        </w:rPr>
        <w:t>Planos Nacionais de Educação – final.</w:t>
      </w:r>
      <w:r w:rsidRPr="00EA16B0">
        <w:rPr>
          <w:rFonts w:asciiTheme="majorHAnsi" w:hAnsiTheme="majorHAnsi" w:cstheme="majorHAnsi"/>
          <w:color w:val="auto"/>
        </w:rPr>
        <w:t xml:space="preserve"> Videoaula n. 10 da disciplina de Legislação do Ensino da </w:t>
      </w:r>
      <w:proofErr w:type="spellStart"/>
      <w:r w:rsidRPr="00EA16B0">
        <w:rPr>
          <w:rFonts w:asciiTheme="majorHAnsi" w:hAnsiTheme="majorHAnsi" w:cstheme="majorHAnsi"/>
          <w:color w:val="auto"/>
        </w:rPr>
        <w:t>Univesp</w:t>
      </w:r>
      <w:proofErr w:type="spellEnd"/>
      <w:r w:rsidRPr="00EA16B0">
        <w:rPr>
          <w:rFonts w:asciiTheme="majorHAnsi" w:hAnsiTheme="majorHAnsi" w:cstheme="majorHAnsi"/>
          <w:color w:val="auto"/>
        </w:rPr>
        <w:t>, 2016. Disponível em: https://www.youtube.com/watch?v=vq7fqQoWL74. Acesso em: 10 fev. 2022.</w:t>
      </w:r>
    </w:p>
    <w:p w14:paraId="77ABF8DF"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z w:val="24"/>
          <w:szCs w:val="24"/>
        </w:rPr>
        <w:t xml:space="preserve">CORTELAZZO, A.L. Oferta de vagas remanescentes como política institucional para a remediação da ociosidade e do abandono escolar. </w:t>
      </w:r>
      <w:r w:rsidRPr="00EA16B0">
        <w:rPr>
          <w:rFonts w:asciiTheme="majorHAnsi" w:hAnsiTheme="majorHAnsi" w:cstheme="majorHAnsi"/>
          <w:b/>
          <w:sz w:val="24"/>
          <w:szCs w:val="24"/>
        </w:rPr>
        <w:t>VIII CLABES, Panamá</w:t>
      </w:r>
      <w:r w:rsidRPr="00EA16B0">
        <w:rPr>
          <w:rFonts w:asciiTheme="majorHAnsi" w:hAnsiTheme="majorHAnsi" w:cstheme="majorHAnsi"/>
          <w:sz w:val="24"/>
          <w:szCs w:val="24"/>
        </w:rPr>
        <w:t xml:space="preserve">, 2018. Disponível em: </w:t>
      </w:r>
      <w:r w:rsidRPr="00EA16B0">
        <w:rPr>
          <w:rFonts w:asciiTheme="majorHAnsi" w:hAnsiTheme="majorHAnsi" w:cstheme="majorHAnsi"/>
          <w:sz w:val="24"/>
          <w:szCs w:val="24"/>
          <w:shd w:val="clear" w:color="auto" w:fill="FFFFFF"/>
        </w:rPr>
        <w:t xml:space="preserve">https://revistas.utp.ac.pa/ </w:t>
      </w:r>
      <w:proofErr w:type="spellStart"/>
      <w:r w:rsidRPr="00EA16B0">
        <w:rPr>
          <w:rFonts w:asciiTheme="majorHAnsi" w:hAnsiTheme="majorHAnsi" w:cstheme="majorHAnsi"/>
          <w:sz w:val="24"/>
          <w:szCs w:val="24"/>
          <w:shd w:val="clear" w:color="auto" w:fill="FFFFFF"/>
        </w:rPr>
        <w:t>index.php</w:t>
      </w:r>
      <w:proofErr w:type="spellEnd"/>
      <w:r w:rsidRPr="00EA16B0">
        <w:rPr>
          <w:rFonts w:asciiTheme="majorHAnsi" w:hAnsiTheme="majorHAnsi" w:cstheme="majorHAnsi"/>
          <w:sz w:val="24"/>
          <w:szCs w:val="24"/>
          <w:shd w:val="clear" w:color="auto" w:fill="FFFFFF"/>
        </w:rPr>
        <w:t>/</w:t>
      </w:r>
      <w:proofErr w:type="spellStart"/>
      <w:r w:rsidRPr="00EA16B0">
        <w:rPr>
          <w:rFonts w:asciiTheme="majorHAnsi" w:hAnsiTheme="majorHAnsi" w:cstheme="majorHAnsi"/>
          <w:sz w:val="24"/>
          <w:szCs w:val="24"/>
          <w:shd w:val="clear" w:color="auto" w:fill="FFFFFF"/>
        </w:rPr>
        <w:t>clabes</w:t>
      </w:r>
      <w:proofErr w:type="spellEnd"/>
      <w:r w:rsidRPr="00EA16B0">
        <w:rPr>
          <w:rFonts w:asciiTheme="majorHAnsi" w:hAnsiTheme="majorHAnsi" w:cstheme="majorHAnsi"/>
          <w:sz w:val="24"/>
          <w:szCs w:val="24"/>
          <w:shd w:val="clear" w:color="auto" w:fill="FFFFFF"/>
        </w:rPr>
        <w:t>/</w:t>
      </w:r>
      <w:proofErr w:type="spellStart"/>
      <w:r w:rsidRPr="00EA16B0">
        <w:rPr>
          <w:rFonts w:asciiTheme="majorHAnsi" w:hAnsiTheme="majorHAnsi" w:cstheme="majorHAnsi"/>
          <w:sz w:val="24"/>
          <w:szCs w:val="24"/>
          <w:shd w:val="clear" w:color="auto" w:fill="FFFFFF"/>
        </w:rPr>
        <w:t>article</w:t>
      </w:r>
      <w:proofErr w:type="spellEnd"/>
      <w:r w:rsidRPr="00EA16B0">
        <w:rPr>
          <w:rFonts w:asciiTheme="majorHAnsi" w:hAnsiTheme="majorHAnsi" w:cstheme="majorHAnsi"/>
          <w:sz w:val="24"/>
          <w:szCs w:val="24"/>
          <w:shd w:val="clear" w:color="auto" w:fill="FFFFFF"/>
        </w:rPr>
        <w:t>/</w:t>
      </w:r>
      <w:proofErr w:type="spellStart"/>
      <w:r w:rsidRPr="00EA16B0">
        <w:rPr>
          <w:rFonts w:asciiTheme="majorHAnsi" w:hAnsiTheme="majorHAnsi" w:cstheme="majorHAnsi"/>
          <w:sz w:val="24"/>
          <w:szCs w:val="24"/>
          <w:shd w:val="clear" w:color="auto" w:fill="FFFFFF"/>
        </w:rPr>
        <w:t>view</w:t>
      </w:r>
      <w:proofErr w:type="spellEnd"/>
      <w:r w:rsidRPr="00EA16B0">
        <w:rPr>
          <w:rFonts w:asciiTheme="majorHAnsi" w:hAnsiTheme="majorHAnsi" w:cstheme="majorHAnsi"/>
          <w:sz w:val="24"/>
          <w:szCs w:val="24"/>
          <w:shd w:val="clear" w:color="auto" w:fill="FFFFFF"/>
        </w:rPr>
        <w:t>/2047. Acesso em: 10 nov. 2021.</w:t>
      </w:r>
    </w:p>
    <w:p w14:paraId="1B778145" w14:textId="77777777" w:rsidR="00D3608B" w:rsidRPr="00EA16B0" w:rsidRDefault="00D3608B" w:rsidP="00A45DA5">
      <w:pPr>
        <w:pStyle w:val="SBIE-Referencia"/>
        <w:tabs>
          <w:tab w:val="left" w:pos="0"/>
        </w:tabs>
        <w:spacing w:after="160" w:line="276" w:lineRule="auto"/>
        <w:ind w:left="0" w:right="-1" w:firstLine="0"/>
        <w:jc w:val="left"/>
        <w:rPr>
          <w:rFonts w:asciiTheme="majorHAnsi" w:hAnsiTheme="majorHAnsi" w:cstheme="majorHAnsi"/>
          <w:sz w:val="24"/>
          <w:szCs w:val="24"/>
          <w:lang w:val="pt-BR"/>
        </w:rPr>
      </w:pPr>
      <w:r w:rsidRPr="00EA16B0">
        <w:rPr>
          <w:rFonts w:asciiTheme="majorHAnsi" w:hAnsiTheme="majorHAnsi" w:cstheme="majorHAnsi"/>
          <w:sz w:val="24"/>
          <w:szCs w:val="24"/>
          <w:lang w:val="pt-BR"/>
        </w:rPr>
        <w:t xml:space="preserve">CORTELAZZO, A.L.; FIALA, D.A.S.; PIVA JR., D.; PANISSON, L.S.; RODRIGUES, M.R.J.B. </w:t>
      </w:r>
      <w:r w:rsidRPr="00EA16B0">
        <w:rPr>
          <w:rFonts w:asciiTheme="majorHAnsi" w:hAnsiTheme="majorHAnsi" w:cstheme="majorHAnsi"/>
          <w:b/>
          <w:bCs/>
          <w:sz w:val="24"/>
          <w:szCs w:val="24"/>
          <w:lang w:val="pt-BR"/>
        </w:rPr>
        <w:t>Metodologias Ativas e Personalizadas de Aprendizagem</w:t>
      </w:r>
      <w:r w:rsidRPr="00EA16B0">
        <w:rPr>
          <w:rFonts w:asciiTheme="majorHAnsi" w:hAnsiTheme="majorHAnsi" w:cstheme="majorHAnsi"/>
          <w:b/>
          <w:sz w:val="24"/>
          <w:szCs w:val="24"/>
          <w:lang w:val="pt-BR"/>
        </w:rPr>
        <w:t>: para refinar seu cardápio metodológico</w:t>
      </w:r>
      <w:r w:rsidRPr="00EA16B0">
        <w:rPr>
          <w:rFonts w:asciiTheme="majorHAnsi" w:hAnsiTheme="majorHAnsi" w:cstheme="majorHAnsi"/>
          <w:sz w:val="24"/>
          <w:szCs w:val="24"/>
          <w:lang w:val="pt-BR"/>
        </w:rPr>
        <w:t>. Rio de Janeiro: Alta Books, 2018.</w:t>
      </w:r>
    </w:p>
    <w:p w14:paraId="52A6EA17" w14:textId="77777777" w:rsidR="00D3608B" w:rsidRPr="00EA16B0" w:rsidRDefault="00D3608B" w:rsidP="00A45DA5">
      <w:pPr>
        <w:pStyle w:val="SBIE-Referencia"/>
        <w:tabs>
          <w:tab w:val="left" w:pos="0"/>
        </w:tabs>
        <w:spacing w:after="160" w:line="276" w:lineRule="auto"/>
        <w:ind w:left="0" w:right="-1" w:firstLine="0"/>
        <w:jc w:val="left"/>
        <w:rPr>
          <w:rFonts w:asciiTheme="majorHAnsi" w:hAnsiTheme="majorHAnsi" w:cstheme="majorHAnsi"/>
          <w:sz w:val="24"/>
          <w:szCs w:val="24"/>
          <w:lang w:val="pt-BR"/>
        </w:rPr>
      </w:pPr>
      <w:r w:rsidRPr="00EA16B0">
        <w:rPr>
          <w:rFonts w:asciiTheme="majorHAnsi" w:hAnsiTheme="majorHAnsi" w:cstheme="majorHAnsi"/>
          <w:spacing w:val="-4"/>
          <w:sz w:val="24"/>
          <w:szCs w:val="24"/>
          <w:lang w:val="pt-BR"/>
        </w:rPr>
        <w:t>CORTELAZZO, A.L.; ELISEI, C. Desempenho dos estudantes de cursos presenciais e a distância no Enade em 2015</w:t>
      </w:r>
      <w:r w:rsidRPr="00EA16B0">
        <w:rPr>
          <w:rFonts w:asciiTheme="majorHAnsi" w:hAnsiTheme="majorHAnsi" w:cstheme="majorHAnsi"/>
          <w:sz w:val="24"/>
          <w:szCs w:val="24"/>
          <w:lang w:val="pt-BR"/>
        </w:rPr>
        <w:t xml:space="preserve">, </w:t>
      </w:r>
      <w:r w:rsidRPr="00EA16B0">
        <w:rPr>
          <w:rFonts w:asciiTheme="majorHAnsi" w:hAnsiTheme="majorHAnsi" w:cstheme="majorHAnsi"/>
          <w:spacing w:val="-2"/>
          <w:sz w:val="24"/>
          <w:szCs w:val="24"/>
          <w:lang w:val="pt-BR"/>
        </w:rPr>
        <w:t xml:space="preserve">2016 e 2017. </w:t>
      </w:r>
      <w:proofErr w:type="gramStart"/>
      <w:r w:rsidRPr="00EA16B0">
        <w:rPr>
          <w:rFonts w:asciiTheme="majorHAnsi" w:hAnsiTheme="majorHAnsi" w:cstheme="majorHAnsi"/>
          <w:b/>
          <w:spacing w:val="-2"/>
          <w:sz w:val="24"/>
          <w:szCs w:val="24"/>
          <w:lang w:val="pt-BR"/>
        </w:rPr>
        <w:t>Ensaio, avaliação e política públicas</w:t>
      </w:r>
      <w:proofErr w:type="gramEnd"/>
      <w:r w:rsidRPr="00EA16B0">
        <w:rPr>
          <w:rFonts w:asciiTheme="majorHAnsi" w:hAnsiTheme="majorHAnsi" w:cstheme="majorHAnsi"/>
          <w:b/>
          <w:spacing w:val="-2"/>
          <w:sz w:val="24"/>
          <w:szCs w:val="24"/>
          <w:lang w:val="pt-BR"/>
        </w:rPr>
        <w:t xml:space="preserve"> em educação, </w:t>
      </w:r>
      <w:r w:rsidRPr="00EA16B0">
        <w:rPr>
          <w:rFonts w:asciiTheme="majorHAnsi" w:hAnsiTheme="majorHAnsi" w:cstheme="majorHAnsi"/>
          <w:bCs/>
          <w:spacing w:val="-2"/>
          <w:sz w:val="24"/>
          <w:szCs w:val="24"/>
          <w:lang w:val="pt-BR"/>
        </w:rPr>
        <w:t>Rio de Janeiro, v. 30, n. 114,</w:t>
      </w:r>
      <w:r w:rsidRPr="00EA16B0">
        <w:rPr>
          <w:rFonts w:asciiTheme="majorHAnsi" w:hAnsiTheme="majorHAnsi" w:cstheme="majorHAnsi"/>
          <w:b/>
          <w:spacing w:val="-2"/>
          <w:sz w:val="24"/>
          <w:szCs w:val="24"/>
          <w:lang w:val="pt-BR"/>
        </w:rPr>
        <w:t xml:space="preserve"> </w:t>
      </w:r>
      <w:r w:rsidRPr="00EA16B0">
        <w:rPr>
          <w:rFonts w:asciiTheme="majorHAnsi" w:hAnsiTheme="majorHAnsi" w:cstheme="majorHAnsi"/>
          <w:spacing w:val="-2"/>
          <w:sz w:val="24"/>
          <w:szCs w:val="24"/>
          <w:lang w:val="pt-BR"/>
        </w:rPr>
        <w:t>p. 207-231, 2022.</w:t>
      </w:r>
    </w:p>
    <w:p w14:paraId="686F4CC5" w14:textId="77777777" w:rsidR="00D3608B" w:rsidRPr="00EA16B0" w:rsidRDefault="00D3608B" w:rsidP="00A45DA5">
      <w:pPr>
        <w:spacing w:line="276" w:lineRule="auto"/>
        <w:jc w:val="both"/>
        <w:rPr>
          <w:rFonts w:asciiTheme="majorHAnsi" w:eastAsia="Arial Unicode MS" w:hAnsiTheme="majorHAnsi" w:cstheme="majorHAnsi"/>
          <w:spacing w:val="-2"/>
          <w:sz w:val="24"/>
          <w:szCs w:val="24"/>
        </w:rPr>
      </w:pPr>
      <w:r w:rsidRPr="00EA16B0">
        <w:rPr>
          <w:rFonts w:asciiTheme="majorHAnsi" w:eastAsia="Arial Unicode MS" w:hAnsiTheme="majorHAnsi" w:cstheme="majorHAnsi"/>
          <w:sz w:val="24"/>
          <w:szCs w:val="24"/>
        </w:rPr>
        <w:t xml:space="preserve">DIAS SOBRINHO, J. Avaliação e transformações da Educação Superior brasileira (1995-2009): do Provão ao </w:t>
      </w:r>
      <w:proofErr w:type="spellStart"/>
      <w:r w:rsidRPr="00EA16B0">
        <w:rPr>
          <w:rFonts w:asciiTheme="majorHAnsi" w:eastAsia="Arial Unicode MS" w:hAnsiTheme="majorHAnsi" w:cstheme="majorHAnsi"/>
          <w:spacing w:val="-2"/>
          <w:sz w:val="24"/>
          <w:szCs w:val="24"/>
        </w:rPr>
        <w:t>Sinaes</w:t>
      </w:r>
      <w:proofErr w:type="spellEnd"/>
      <w:r w:rsidRPr="00EA16B0">
        <w:rPr>
          <w:rFonts w:asciiTheme="majorHAnsi" w:eastAsia="Arial Unicode MS" w:hAnsiTheme="majorHAnsi" w:cstheme="majorHAnsi"/>
          <w:spacing w:val="-2"/>
          <w:sz w:val="24"/>
          <w:szCs w:val="24"/>
        </w:rPr>
        <w:t xml:space="preserve">. </w:t>
      </w:r>
      <w:r w:rsidRPr="00EA16B0">
        <w:rPr>
          <w:rFonts w:asciiTheme="majorHAnsi" w:eastAsia="Arial Unicode MS" w:hAnsiTheme="majorHAnsi" w:cstheme="majorHAnsi"/>
          <w:b/>
          <w:spacing w:val="-2"/>
          <w:sz w:val="24"/>
          <w:szCs w:val="24"/>
        </w:rPr>
        <w:t xml:space="preserve">Avaliação: Revista da avaliação da educação superior </w:t>
      </w:r>
      <w:r w:rsidRPr="00EA16B0">
        <w:rPr>
          <w:rFonts w:asciiTheme="majorHAnsi" w:eastAsia="Arial Unicode MS" w:hAnsiTheme="majorHAnsi" w:cstheme="majorHAnsi"/>
          <w:bCs/>
          <w:spacing w:val="-2"/>
          <w:sz w:val="24"/>
          <w:szCs w:val="24"/>
        </w:rPr>
        <w:t>(Campinas), Sorocaba, v. 15, n. 1</w:t>
      </w:r>
      <w:r w:rsidRPr="00EA16B0">
        <w:rPr>
          <w:rFonts w:asciiTheme="majorHAnsi" w:eastAsia="Arial Unicode MS" w:hAnsiTheme="majorHAnsi" w:cstheme="majorHAnsi"/>
          <w:b/>
          <w:spacing w:val="-2"/>
          <w:sz w:val="24"/>
          <w:szCs w:val="24"/>
        </w:rPr>
        <w:t xml:space="preserve">, </w:t>
      </w:r>
      <w:r w:rsidRPr="00EA16B0">
        <w:rPr>
          <w:rFonts w:asciiTheme="majorHAnsi" w:eastAsia="Arial Unicode MS" w:hAnsiTheme="majorHAnsi" w:cstheme="majorHAnsi"/>
          <w:spacing w:val="-2"/>
          <w:sz w:val="24"/>
          <w:szCs w:val="24"/>
        </w:rPr>
        <w:t>p. 195-224, 2010.</w:t>
      </w:r>
    </w:p>
    <w:p w14:paraId="10E1084C" w14:textId="77777777" w:rsidR="00D3608B" w:rsidRPr="00EA16B0" w:rsidRDefault="00D3608B" w:rsidP="00A45DA5">
      <w:pPr>
        <w:spacing w:line="276" w:lineRule="auto"/>
        <w:jc w:val="both"/>
        <w:rPr>
          <w:rFonts w:asciiTheme="majorHAnsi" w:eastAsia="Arial Unicode MS" w:hAnsiTheme="majorHAnsi" w:cstheme="majorHAnsi"/>
          <w:spacing w:val="-2"/>
          <w:sz w:val="24"/>
          <w:szCs w:val="24"/>
        </w:rPr>
      </w:pPr>
      <w:r w:rsidRPr="00EA16B0">
        <w:rPr>
          <w:rFonts w:asciiTheme="majorHAnsi" w:eastAsia="Arial Unicode MS" w:hAnsiTheme="majorHAnsi" w:cstheme="majorHAnsi"/>
          <w:spacing w:val="-2"/>
          <w:sz w:val="24"/>
          <w:szCs w:val="24"/>
        </w:rPr>
        <w:t xml:space="preserve">DIAS SOBRINHO, J. Responsabilidade social da Universidade em questão. </w:t>
      </w:r>
      <w:r w:rsidRPr="00EA16B0">
        <w:rPr>
          <w:rStyle w:val="articlebadge"/>
          <w:rFonts w:asciiTheme="majorHAnsi" w:hAnsiTheme="majorHAnsi" w:cstheme="majorHAnsi"/>
          <w:b/>
          <w:bCs/>
          <w:sz w:val="24"/>
          <w:szCs w:val="24"/>
          <w:shd w:val="clear" w:color="auto" w:fill="FFFFFF"/>
        </w:rPr>
        <w:t>Editorial</w:t>
      </w:r>
      <w:r w:rsidRPr="00EA16B0">
        <w:rPr>
          <w:rStyle w:val="separator"/>
          <w:rFonts w:asciiTheme="majorHAnsi" w:hAnsiTheme="majorHAnsi" w:cstheme="majorHAnsi"/>
          <w:b/>
          <w:sz w:val="24"/>
          <w:szCs w:val="24"/>
          <w:shd w:val="clear" w:color="auto" w:fill="FFFFFF"/>
        </w:rPr>
        <w:t xml:space="preserve"> - </w:t>
      </w:r>
      <w:r w:rsidRPr="00EA16B0">
        <w:rPr>
          <w:rStyle w:val="editionmeta"/>
          <w:rFonts w:asciiTheme="majorHAnsi" w:hAnsiTheme="majorHAnsi" w:cstheme="majorHAnsi"/>
          <w:b/>
          <w:sz w:val="24"/>
          <w:szCs w:val="24"/>
          <w:shd w:val="clear" w:color="auto" w:fill="FFFFFF"/>
        </w:rPr>
        <w:t>Avaliação (Campinas) 23 (3)</w:t>
      </w:r>
      <w:r w:rsidRPr="00EA16B0">
        <w:rPr>
          <w:rStyle w:val="editionmeta"/>
          <w:rFonts w:asciiTheme="majorHAnsi" w:hAnsiTheme="majorHAnsi" w:cstheme="majorHAnsi"/>
          <w:sz w:val="24"/>
          <w:szCs w:val="24"/>
          <w:shd w:val="clear" w:color="auto" w:fill="FFFFFF"/>
        </w:rPr>
        <w:t xml:space="preserve">, </w:t>
      </w:r>
      <w:proofErr w:type="spellStart"/>
      <w:r w:rsidRPr="00EA16B0">
        <w:rPr>
          <w:rStyle w:val="editionmeta"/>
          <w:rFonts w:asciiTheme="majorHAnsi" w:hAnsiTheme="majorHAnsi" w:cstheme="majorHAnsi"/>
          <w:sz w:val="24"/>
          <w:szCs w:val="24"/>
          <w:shd w:val="clear" w:color="auto" w:fill="FFFFFF"/>
        </w:rPr>
        <w:t>Sep-Dec</w:t>
      </w:r>
      <w:proofErr w:type="spellEnd"/>
      <w:r w:rsidRPr="00EA16B0">
        <w:rPr>
          <w:rStyle w:val="editionmeta"/>
          <w:rFonts w:asciiTheme="majorHAnsi" w:hAnsiTheme="majorHAnsi" w:cstheme="majorHAnsi"/>
          <w:sz w:val="24"/>
          <w:szCs w:val="24"/>
          <w:shd w:val="clear" w:color="auto" w:fill="FFFFFF"/>
        </w:rPr>
        <w:t xml:space="preserve"> 2018. </w:t>
      </w:r>
      <w:r w:rsidRPr="00EA16B0">
        <w:rPr>
          <w:rStyle w:val="group-doi"/>
          <w:rFonts w:asciiTheme="majorHAnsi" w:hAnsiTheme="majorHAnsi" w:cstheme="majorHAnsi"/>
          <w:sz w:val="24"/>
          <w:szCs w:val="24"/>
        </w:rPr>
        <w:t>https://doi.org/10.1590/S1414-40772018000300001.</w:t>
      </w:r>
    </w:p>
    <w:p w14:paraId="24080036"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z w:val="24"/>
          <w:szCs w:val="24"/>
        </w:rPr>
        <w:t xml:space="preserve">DISTRITO FEDERAL, 2021a. </w:t>
      </w:r>
      <w:r w:rsidRPr="00EA16B0">
        <w:rPr>
          <w:rFonts w:asciiTheme="majorHAnsi" w:hAnsiTheme="majorHAnsi" w:cstheme="majorHAnsi"/>
          <w:b/>
          <w:sz w:val="24"/>
          <w:szCs w:val="24"/>
        </w:rPr>
        <w:t>Lei Complementar n. 987, de 26 de julho de 2021</w:t>
      </w:r>
      <w:r w:rsidRPr="00EA16B0">
        <w:rPr>
          <w:rFonts w:asciiTheme="majorHAnsi" w:hAnsiTheme="majorHAnsi" w:cstheme="majorHAnsi"/>
          <w:sz w:val="24"/>
          <w:szCs w:val="24"/>
        </w:rPr>
        <w:t xml:space="preserve">. Autoriza a criação e define as áreas de atuação da Universidade do Distrito Federal – </w:t>
      </w:r>
      <w:proofErr w:type="spellStart"/>
      <w:r w:rsidRPr="00EA16B0">
        <w:rPr>
          <w:rFonts w:asciiTheme="majorHAnsi" w:hAnsiTheme="majorHAnsi" w:cstheme="majorHAnsi"/>
          <w:sz w:val="24"/>
          <w:szCs w:val="24"/>
        </w:rPr>
        <w:t>UnDF</w:t>
      </w:r>
      <w:proofErr w:type="spellEnd"/>
      <w:r w:rsidRPr="00EA16B0">
        <w:rPr>
          <w:rFonts w:asciiTheme="majorHAnsi" w:hAnsiTheme="majorHAnsi" w:cstheme="majorHAnsi"/>
          <w:sz w:val="24"/>
          <w:szCs w:val="24"/>
        </w:rPr>
        <w:t xml:space="preserve"> e dá outras providências. Disponível em: http://www.tc.df.gov.br/ </w:t>
      </w:r>
      <w:proofErr w:type="spellStart"/>
      <w:r w:rsidRPr="00EA16B0">
        <w:rPr>
          <w:rFonts w:asciiTheme="majorHAnsi" w:hAnsiTheme="majorHAnsi" w:cstheme="majorHAnsi"/>
          <w:sz w:val="24"/>
          <w:szCs w:val="24"/>
        </w:rPr>
        <w:t>sinj</w:t>
      </w:r>
      <w:proofErr w:type="spellEnd"/>
      <w:r w:rsidRPr="00EA16B0">
        <w:rPr>
          <w:rFonts w:asciiTheme="majorHAnsi" w:hAnsiTheme="majorHAnsi" w:cstheme="majorHAnsi"/>
          <w:sz w:val="24"/>
          <w:szCs w:val="24"/>
        </w:rPr>
        <w:t>/Norma/d63441567ac346e3bb12c2ac68f43b7b/LC_987_2021.html. Acesso em: 6 dez. 2021.</w:t>
      </w:r>
    </w:p>
    <w:p w14:paraId="61FCDEB9"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z w:val="24"/>
          <w:szCs w:val="24"/>
        </w:rPr>
        <w:t xml:space="preserve">DISTRITO FEDERAL, 2021b. </w:t>
      </w:r>
      <w:r w:rsidRPr="00EA16B0">
        <w:rPr>
          <w:rFonts w:asciiTheme="majorHAnsi" w:hAnsiTheme="majorHAnsi" w:cstheme="majorHAnsi"/>
          <w:b/>
          <w:sz w:val="24"/>
          <w:szCs w:val="24"/>
        </w:rPr>
        <w:t>Decreto 42.333, de 26 de julho de 2021</w:t>
      </w:r>
      <w:r w:rsidRPr="00EA16B0">
        <w:rPr>
          <w:rFonts w:asciiTheme="majorHAnsi" w:hAnsiTheme="majorHAnsi" w:cstheme="majorHAnsi"/>
          <w:sz w:val="24"/>
          <w:szCs w:val="24"/>
        </w:rPr>
        <w:t xml:space="preserve">. Institui a Universidade do Distrito Federal – </w:t>
      </w:r>
      <w:proofErr w:type="spellStart"/>
      <w:r w:rsidRPr="00EA16B0">
        <w:rPr>
          <w:rFonts w:asciiTheme="majorHAnsi" w:hAnsiTheme="majorHAnsi" w:cstheme="majorHAnsi"/>
          <w:sz w:val="24"/>
          <w:szCs w:val="24"/>
        </w:rPr>
        <w:t>UnDF</w:t>
      </w:r>
      <w:proofErr w:type="spellEnd"/>
      <w:r w:rsidRPr="00EA16B0">
        <w:rPr>
          <w:rFonts w:asciiTheme="majorHAnsi" w:hAnsiTheme="majorHAnsi" w:cstheme="majorHAnsi"/>
          <w:sz w:val="24"/>
          <w:szCs w:val="24"/>
        </w:rPr>
        <w:t xml:space="preserve"> e dá outras providências. Disponível em:  http://www.tc.df.gov.br/sinj/Norma/ dc1b76852bb043b59abb774a0ffac9d4/exec_dec_42333_2021.html#art1. Acesso em: 6 nov. 2021.</w:t>
      </w:r>
    </w:p>
    <w:p w14:paraId="3CF94782"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z w:val="24"/>
          <w:szCs w:val="24"/>
        </w:rPr>
        <w:t xml:space="preserve">DUARTE, C.S. Direito Público Subjetivo e Políticas Educacionais. </w:t>
      </w:r>
      <w:r w:rsidRPr="00EA16B0">
        <w:rPr>
          <w:rFonts w:asciiTheme="majorHAnsi" w:hAnsiTheme="majorHAnsi" w:cstheme="majorHAnsi"/>
          <w:b/>
          <w:sz w:val="24"/>
          <w:szCs w:val="24"/>
        </w:rPr>
        <w:t xml:space="preserve">Revista São Paulo em perspectiva, Fundação </w:t>
      </w:r>
      <w:proofErr w:type="spellStart"/>
      <w:r w:rsidRPr="00EA16B0">
        <w:rPr>
          <w:rFonts w:asciiTheme="majorHAnsi" w:hAnsiTheme="majorHAnsi" w:cstheme="majorHAnsi"/>
          <w:b/>
          <w:sz w:val="24"/>
          <w:szCs w:val="24"/>
        </w:rPr>
        <w:t>Sead</w:t>
      </w:r>
      <w:proofErr w:type="spellEnd"/>
      <w:r w:rsidRPr="00EA16B0">
        <w:rPr>
          <w:rFonts w:asciiTheme="majorHAnsi" w:hAnsiTheme="majorHAnsi" w:cstheme="majorHAnsi"/>
          <w:b/>
          <w:sz w:val="24"/>
          <w:szCs w:val="24"/>
        </w:rPr>
        <w:t>, v. 18, n. 2,</w:t>
      </w:r>
      <w:r w:rsidRPr="00EA16B0">
        <w:rPr>
          <w:rFonts w:asciiTheme="majorHAnsi" w:hAnsiTheme="majorHAnsi" w:cstheme="majorHAnsi"/>
          <w:sz w:val="24"/>
          <w:szCs w:val="24"/>
        </w:rPr>
        <w:t xml:space="preserve"> p. 113-118, 2004</w:t>
      </w:r>
    </w:p>
    <w:p w14:paraId="42391A12"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z w:val="24"/>
          <w:szCs w:val="24"/>
        </w:rPr>
        <w:lastRenderedPageBreak/>
        <w:t xml:space="preserve">ESCS – Escola Superior de Ciências da Saúde. </w:t>
      </w:r>
      <w:r w:rsidRPr="00EA16B0">
        <w:rPr>
          <w:rFonts w:asciiTheme="majorHAnsi" w:hAnsiTheme="majorHAnsi" w:cstheme="majorHAnsi"/>
          <w:b/>
          <w:sz w:val="24"/>
          <w:szCs w:val="24"/>
        </w:rPr>
        <w:t>Sítio institucional</w:t>
      </w:r>
      <w:r w:rsidRPr="00EA16B0">
        <w:rPr>
          <w:rFonts w:asciiTheme="majorHAnsi" w:hAnsiTheme="majorHAnsi" w:cstheme="majorHAnsi"/>
          <w:sz w:val="24"/>
          <w:szCs w:val="24"/>
        </w:rPr>
        <w:t>. Disponível em: http://www.escs.edu.br/. Acesso em: 18 fev. 2022.</w:t>
      </w:r>
    </w:p>
    <w:p w14:paraId="23AA0832"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z w:val="24"/>
          <w:szCs w:val="24"/>
        </w:rPr>
        <w:t xml:space="preserve">FUNAB – Fundação Universidade Aberta do Distrito Federal. </w:t>
      </w:r>
      <w:r w:rsidRPr="00EA16B0">
        <w:rPr>
          <w:rFonts w:asciiTheme="majorHAnsi" w:hAnsiTheme="majorHAnsi" w:cstheme="majorHAnsi"/>
          <w:b/>
          <w:sz w:val="24"/>
          <w:szCs w:val="24"/>
        </w:rPr>
        <w:t>Sítio Institucional.</w:t>
      </w:r>
      <w:r w:rsidRPr="00EA16B0">
        <w:rPr>
          <w:rFonts w:asciiTheme="majorHAnsi" w:hAnsiTheme="majorHAnsi" w:cstheme="majorHAnsi"/>
          <w:sz w:val="24"/>
          <w:szCs w:val="24"/>
        </w:rPr>
        <w:t xml:space="preserve"> Disponível em: http://www.funab.se.df.gov.br/. Acesso em: 6 nov. 2021.</w:t>
      </w:r>
    </w:p>
    <w:p w14:paraId="4D092FF8"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z w:val="24"/>
          <w:szCs w:val="24"/>
        </w:rPr>
        <w:t xml:space="preserve">INEP. Instituto Nacional de Estudos e Pesquisas Educacionais Anísio Teixeira, 2020. </w:t>
      </w:r>
      <w:r w:rsidRPr="00EA16B0">
        <w:rPr>
          <w:rFonts w:asciiTheme="majorHAnsi" w:hAnsiTheme="majorHAnsi" w:cstheme="majorHAnsi"/>
          <w:b/>
          <w:sz w:val="24"/>
          <w:szCs w:val="24"/>
        </w:rPr>
        <w:t xml:space="preserve">Sinopse Estatística da Educação Superior 2014 (on-line). </w:t>
      </w:r>
      <w:r w:rsidRPr="00EA16B0">
        <w:rPr>
          <w:rFonts w:asciiTheme="majorHAnsi" w:hAnsiTheme="majorHAnsi" w:cstheme="majorHAnsi"/>
          <w:sz w:val="24"/>
          <w:szCs w:val="24"/>
        </w:rPr>
        <w:t>Brasília, INEP, 2015. Disponível em: https://www.gov.br/inep/pt-br/acesso-a-informacao/dados-abertos/sinopses-estatisticas/educacao-superior-graduacao. Acesso em: 8 fev. 2022.</w:t>
      </w:r>
    </w:p>
    <w:p w14:paraId="748213B5" w14:textId="77777777" w:rsidR="00D3608B" w:rsidRPr="00EA16B0" w:rsidRDefault="00D3608B" w:rsidP="00A45DA5">
      <w:pPr>
        <w:spacing w:line="276" w:lineRule="auto"/>
        <w:rPr>
          <w:rFonts w:asciiTheme="majorHAnsi" w:eastAsia="Times New Roman" w:hAnsiTheme="majorHAnsi" w:cstheme="majorHAnsi"/>
          <w:sz w:val="24"/>
          <w:szCs w:val="24"/>
          <w:lang w:eastAsia="pt-BR"/>
        </w:rPr>
      </w:pPr>
      <w:r w:rsidRPr="00EA16B0">
        <w:rPr>
          <w:rFonts w:asciiTheme="majorHAnsi" w:hAnsiTheme="majorHAnsi" w:cstheme="majorHAnsi"/>
          <w:sz w:val="24"/>
          <w:szCs w:val="24"/>
        </w:rPr>
        <w:t xml:space="preserve">INEP. Instituto Nacional de Estudos e Pesquisas Educacionais Anísio Teixeira, 2018. </w:t>
      </w:r>
      <w:r w:rsidRPr="00EA16B0">
        <w:rPr>
          <w:rFonts w:asciiTheme="majorHAnsi" w:hAnsiTheme="majorHAnsi" w:cstheme="majorHAnsi"/>
          <w:b/>
          <w:sz w:val="24"/>
          <w:szCs w:val="24"/>
        </w:rPr>
        <w:t>Relatório do 2</w:t>
      </w:r>
      <w:r w:rsidRPr="00EA16B0">
        <w:rPr>
          <w:rFonts w:asciiTheme="majorHAnsi" w:hAnsiTheme="majorHAnsi" w:cstheme="majorHAnsi"/>
          <w:spacing w:val="-2"/>
          <w:sz w:val="24"/>
          <w:szCs w:val="24"/>
        </w:rPr>
        <w:t>.</w:t>
      </w:r>
      <w:r w:rsidRPr="00EA16B0">
        <w:rPr>
          <w:rFonts w:asciiTheme="majorHAnsi" w:hAnsiTheme="majorHAnsi" w:cstheme="majorHAnsi"/>
          <w:b/>
          <w:bCs/>
          <w:spacing w:val="-2"/>
          <w:sz w:val="24"/>
          <w:szCs w:val="24"/>
          <w:vertAlign w:val="superscript"/>
        </w:rPr>
        <w:t>o</w:t>
      </w:r>
      <w:r w:rsidRPr="00EA16B0">
        <w:rPr>
          <w:rFonts w:asciiTheme="majorHAnsi" w:hAnsiTheme="majorHAnsi" w:cstheme="majorHAnsi"/>
          <w:b/>
          <w:sz w:val="24"/>
          <w:szCs w:val="24"/>
        </w:rPr>
        <w:t xml:space="preserve"> ciclo de Monitoramento das Metas do Plano Nacional de Educação (PNE) – 2018. </w:t>
      </w:r>
      <w:r w:rsidRPr="00EA16B0">
        <w:rPr>
          <w:rFonts w:asciiTheme="majorHAnsi" w:hAnsiTheme="majorHAnsi" w:cstheme="majorHAnsi"/>
          <w:sz w:val="24"/>
          <w:szCs w:val="24"/>
        </w:rPr>
        <w:t xml:space="preserve">Brasília, INEP, 2018. Disponível em: </w:t>
      </w:r>
      <w:r w:rsidRPr="00EA16B0">
        <w:rPr>
          <w:rFonts w:asciiTheme="majorHAnsi" w:eastAsia="Times New Roman" w:hAnsiTheme="majorHAnsi" w:cstheme="majorHAnsi"/>
          <w:sz w:val="24"/>
          <w:szCs w:val="24"/>
          <w:lang w:eastAsia="pt-BR"/>
        </w:rPr>
        <w:t>https://www.gov.br/inep/pt-br/centrais-de-conteudo/acervo-linha-editorial/publicacoes-institucionais/ plano-nacional-de-educacao/relatorio-do-2o-ciclo-de-monitoramento-das-metas-do-pne-2018. Acesso em: 10 fev. 2022.</w:t>
      </w:r>
    </w:p>
    <w:p w14:paraId="3D3B060F"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z w:val="24"/>
          <w:szCs w:val="24"/>
        </w:rPr>
        <w:t xml:space="preserve">INEP. Instituto Nacional de Estudos e Pesquisas Educacionais Anísio Teixeira, 2020. </w:t>
      </w:r>
      <w:r w:rsidRPr="00EA16B0">
        <w:rPr>
          <w:rFonts w:asciiTheme="majorHAnsi" w:hAnsiTheme="majorHAnsi" w:cstheme="majorHAnsi"/>
          <w:b/>
          <w:sz w:val="24"/>
          <w:szCs w:val="24"/>
        </w:rPr>
        <w:t xml:space="preserve">Sinopse Estatística da Educação Superior 2019 (on-line). </w:t>
      </w:r>
      <w:r w:rsidRPr="00EA16B0">
        <w:rPr>
          <w:rFonts w:asciiTheme="majorHAnsi" w:hAnsiTheme="majorHAnsi" w:cstheme="majorHAnsi"/>
          <w:sz w:val="24"/>
          <w:szCs w:val="24"/>
        </w:rPr>
        <w:t>Brasília, INEP, 2020ª. Disponível em:  https://www.gov.br/inep/pt-br/areas-de-atuacao/pesquisas-estatisticas-e-indicadores/censo-da-educacao-superior/resultados. Acesso em: 8 fev. 2022.</w:t>
      </w:r>
    </w:p>
    <w:p w14:paraId="1C64384E"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z w:val="24"/>
          <w:szCs w:val="24"/>
        </w:rPr>
        <w:t xml:space="preserve">INEP. Instituto Nacional de Estudos e Pesquisas Educacionais Anísio Teixeira, 2021. </w:t>
      </w:r>
      <w:r w:rsidRPr="00EA16B0">
        <w:rPr>
          <w:rFonts w:asciiTheme="majorHAnsi" w:hAnsiTheme="majorHAnsi" w:cstheme="majorHAnsi"/>
          <w:b/>
          <w:sz w:val="24"/>
          <w:szCs w:val="24"/>
        </w:rPr>
        <w:t>Relatório do 3</w:t>
      </w:r>
      <w:r w:rsidRPr="00EA16B0">
        <w:rPr>
          <w:rFonts w:asciiTheme="majorHAnsi" w:hAnsiTheme="majorHAnsi" w:cstheme="majorHAnsi"/>
          <w:spacing w:val="-2"/>
          <w:sz w:val="24"/>
          <w:szCs w:val="24"/>
        </w:rPr>
        <w:t>.</w:t>
      </w:r>
      <w:r w:rsidRPr="00EA16B0">
        <w:rPr>
          <w:rFonts w:asciiTheme="majorHAnsi" w:hAnsiTheme="majorHAnsi" w:cstheme="majorHAnsi"/>
          <w:b/>
          <w:bCs/>
          <w:spacing w:val="-2"/>
          <w:sz w:val="24"/>
          <w:szCs w:val="24"/>
          <w:vertAlign w:val="superscript"/>
        </w:rPr>
        <w:t>o</w:t>
      </w:r>
      <w:r w:rsidRPr="00EA16B0" w:rsidDel="00E13117">
        <w:rPr>
          <w:rFonts w:asciiTheme="majorHAnsi" w:hAnsiTheme="majorHAnsi" w:cstheme="majorHAnsi"/>
          <w:b/>
          <w:bCs/>
          <w:sz w:val="24"/>
          <w:szCs w:val="24"/>
        </w:rPr>
        <w:t xml:space="preserve"> </w:t>
      </w:r>
      <w:r w:rsidRPr="00EA16B0">
        <w:rPr>
          <w:rFonts w:asciiTheme="majorHAnsi" w:hAnsiTheme="majorHAnsi" w:cstheme="majorHAnsi"/>
          <w:b/>
          <w:sz w:val="24"/>
          <w:szCs w:val="24"/>
        </w:rPr>
        <w:t xml:space="preserve">ciclo de Monitoramento das Metas do Plano Nacional de Educação (PNE) – 2020. </w:t>
      </w:r>
      <w:r w:rsidRPr="00EA16B0">
        <w:rPr>
          <w:rFonts w:asciiTheme="majorHAnsi" w:hAnsiTheme="majorHAnsi" w:cstheme="majorHAnsi"/>
          <w:sz w:val="24"/>
          <w:szCs w:val="24"/>
        </w:rPr>
        <w:t>Brasília, INEP, 2020b. Disponível em: https://www.gov.br/inep/pt-br/centrais-de-conteudo/acervo-linha-editorial/publicacoes-institucionais/plano-nacional-de-educacao/relatorio-do-3o-ciclo-de-monitoramento-das-metas-do-plano-nacional-de-educacao-2020. Acesso em: 10 fev. 2022.</w:t>
      </w:r>
    </w:p>
    <w:p w14:paraId="4BD0CD6B"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z w:val="24"/>
          <w:szCs w:val="24"/>
        </w:rPr>
        <w:t xml:space="preserve">INEP. Instituto Nacional de Estudos e Pesquisas Educacionais Anísio Teixeira, 2022. </w:t>
      </w:r>
      <w:r w:rsidRPr="00EA16B0">
        <w:rPr>
          <w:rFonts w:asciiTheme="majorHAnsi" w:hAnsiTheme="majorHAnsi" w:cstheme="majorHAnsi"/>
          <w:b/>
          <w:sz w:val="24"/>
          <w:szCs w:val="24"/>
        </w:rPr>
        <w:t xml:space="preserve">Sinopse Estatística da Educação Básica 2021 (on-line). </w:t>
      </w:r>
      <w:r w:rsidRPr="00EA16B0">
        <w:rPr>
          <w:rFonts w:asciiTheme="majorHAnsi" w:hAnsiTheme="majorHAnsi" w:cstheme="majorHAnsi"/>
          <w:sz w:val="24"/>
          <w:szCs w:val="24"/>
        </w:rPr>
        <w:t>Brasília, INEP, 2022. Disponível em: https://www.gov.br/inep/pt-br/areas-de-atuacao/pesquisas-estatisticas-e-indicadores/censo-escolar/resultados. Acesso em: 18 fev. 2022.</w:t>
      </w:r>
    </w:p>
    <w:p w14:paraId="24656DD8" w14:textId="77777777" w:rsidR="00D3608B" w:rsidRPr="00EA16B0" w:rsidRDefault="00D3608B" w:rsidP="00A45DA5">
      <w:pPr>
        <w:tabs>
          <w:tab w:val="left" w:pos="851"/>
        </w:tabs>
        <w:spacing w:line="276" w:lineRule="auto"/>
        <w:rPr>
          <w:rFonts w:asciiTheme="majorHAnsi" w:hAnsiTheme="majorHAnsi" w:cstheme="majorHAnsi"/>
          <w:spacing w:val="-4"/>
          <w:sz w:val="24"/>
          <w:szCs w:val="24"/>
        </w:rPr>
      </w:pPr>
      <w:r w:rsidRPr="00EA16B0">
        <w:rPr>
          <w:rFonts w:asciiTheme="majorHAnsi" w:hAnsiTheme="majorHAnsi" w:cstheme="majorHAnsi"/>
          <w:sz w:val="24"/>
          <w:szCs w:val="24"/>
        </w:rPr>
        <w:t xml:space="preserve">LIMA, C.V.D.; PEIXOTO, M.S.; SILVA, S.C. Formação continuada de Professores. Fortalecimento da Prática Pedagógica. </w:t>
      </w:r>
      <w:r w:rsidRPr="00EA16B0">
        <w:rPr>
          <w:rFonts w:asciiTheme="majorHAnsi" w:hAnsiTheme="majorHAnsi" w:cstheme="majorHAnsi"/>
          <w:b/>
          <w:sz w:val="24"/>
          <w:szCs w:val="24"/>
        </w:rPr>
        <w:t xml:space="preserve">Trabalho de Conclusão de Curso de Pedagogia. </w:t>
      </w:r>
      <w:r w:rsidRPr="00EA16B0">
        <w:rPr>
          <w:rFonts w:asciiTheme="majorHAnsi" w:hAnsiTheme="majorHAnsi" w:cstheme="majorHAnsi"/>
          <w:sz w:val="24"/>
          <w:szCs w:val="24"/>
        </w:rPr>
        <w:t xml:space="preserve">Centro Universitário de Brasília – </w:t>
      </w:r>
      <w:proofErr w:type="spellStart"/>
      <w:r w:rsidRPr="00EA16B0">
        <w:rPr>
          <w:rFonts w:asciiTheme="majorHAnsi" w:hAnsiTheme="majorHAnsi" w:cstheme="majorHAnsi"/>
          <w:sz w:val="24"/>
          <w:szCs w:val="24"/>
        </w:rPr>
        <w:t>Uniceub</w:t>
      </w:r>
      <w:proofErr w:type="spellEnd"/>
      <w:r w:rsidRPr="00EA16B0">
        <w:rPr>
          <w:rFonts w:asciiTheme="majorHAnsi" w:hAnsiTheme="majorHAnsi" w:cstheme="majorHAnsi"/>
          <w:sz w:val="24"/>
          <w:szCs w:val="24"/>
        </w:rPr>
        <w:t>, 2005, 82pp.</w:t>
      </w:r>
    </w:p>
    <w:p w14:paraId="6233C77E" w14:textId="77777777" w:rsidR="00D3608B" w:rsidRPr="00EA16B0" w:rsidRDefault="00D3608B" w:rsidP="00A45DA5">
      <w:pPr>
        <w:tabs>
          <w:tab w:val="left" w:pos="851"/>
        </w:tabs>
        <w:spacing w:line="276" w:lineRule="auto"/>
        <w:rPr>
          <w:rFonts w:asciiTheme="majorHAnsi" w:hAnsiTheme="majorHAnsi" w:cstheme="majorHAnsi"/>
          <w:sz w:val="24"/>
          <w:szCs w:val="24"/>
          <w:lang w:val="en-GB"/>
        </w:rPr>
      </w:pPr>
      <w:r w:rsidRPr="00EA16B0">
        <w:rPr>
          <w:rFonts w:asciiTheme="majorHAnsi" w:hAnsiTheme="majorHAnsi" w:cstheme="majorHAnsi"/>
          <w:spacing w:val="-4"/>
          <w:sz w:val="24"/>
          <w:szCs w:val="24"/>
        </w:rPr>
        <w:t xml:space="preserve">LIMA, F.S.; ZAGO, N. Evasão no Ensino Superior: Desafios Conceituais. </w:t>
      </w:r>
      <w:proofErr w:type="spellStart"/>
      <w:r w:rsidRPr="00EA16B0">
        <w:rPr>
          <w:rFonts w:asciiTheme="majorHAnsi" w:hAnsiTheme="majorHAnsi" w:cstheme="majorHAnsi"/>
          <w:b/>
          <w:spacing w:val="-4"/>
          <w:sz w:val="24"/>
          <w:szCs w:val="24"/>
        </w:rPr>
        <w:t>Congresos</w:t>
      </w:r>
      <w:proofErr w:type="spellEnd"/>
      <w:r w:rsidRPr="00EA16B0">
        <w:rPr>
          <w:rFonts w:asciiTheme="majorHAnsi" w:hAnsiTheme="majorHAnsi" w:cstheme="majorHAnsi"/>
          <w:b/>
          <w:spacing w:val="-4"/>
          <w:sz w:val="24"/>
          <w:szCs w:val="24"/>
        </w:rPr>
        <w:t xml:space="preserve"> CLABES, VII, </w:t>
      </w:r>
      <w:r w:rsidRPr="00EA16B0">
        <w:rPr>
          <w:rFonts w:asciiTheme="majorHAnsi" w:hAnsiTheme="majorHAnsi" w:cstheme="majorHAnsi"/>
          <w:bCs/>
          <w:spacing w:val="-4"/>
          <w:sz w:val="24"/>
          <w:szCs w:val="24"/>
        </w:rPr>
        <w:t>Córdoba, Argentina</w:t>
      </w:r>
      <w:r w:rsidRPr="00EA16B0">
        <w:rPr>
          <w:rFonts w:asciiTheme="majorHAnsi" w:hAnsiTheme="majorHAnsi" w:cstheme="majorHAnsi"/>
          <w:sz w:val="24"/>
          <w:szCs w:val="24"/>
        </w:rPr>
        <w:t xml:space="preserve">. Disponível em http://revistas.utp.ac.pa/index.php/clabes/article/view/ 1666/ 2402. </w:t>
      </w:r>
      <w:proofErr w:type="spellStart"/>
      <w:r w:rsidRPr="00EA16B0">
        <w:rPr>
          <w:rFonts w:asciiTheme="majorHAnsi" w:hAnsiTheme="majorHAnsi" w:cstheme="majorHAnsi"/>
          <w:sz w:val="24"/>
          <w:szCs w:val="24"/>
          <w:lang w:val="en-GB"/>
        </w:rPr>
        <w:t>Acesso</w:t>
      </w:r>
      <w:proofErr w:type="spellEnd"/>
      <w:r w:rsidRPr="00EA16B0">
        <w:rPr>
          <w:rFonts w:asciiTheme="majorHAnsi" w:hAnsiTheme="majorHAnsi" w:cstheme="majorHAnsi"/>
          <w:sz w:val="24"/>
          <w:szCs w:val="24"/>
          <w:lang w:val="en-GB"/>
        </w:rPr>
        <w:t xml:space="preserve"> </w:t>
      </w:r>
      <w:proofErr w:type="spellStart"/>
      <w:r w:rsidRPr="00EA16B0">
        <w:rPr>
          <w:rFonts w:asciiTheme="majorHAnsi" w:hAnsiTheme="majorHAnsi" w:cstheme="majorHAnsi"/>
          <w:sz w:val="24"/>
          <w:szCs w:val="24"/>
          <w:lang w:val="en-GB"/>
        </w:rPr>
        <w:t>em</w:t>
      </w:r>
      <w:proofErr w:type="spellEnd"/>
      <w:r w:rsidRPr="00EA16B0">
        <w:rPr>
          <w:rFonts w:asciiTheme="majorHAnsi" w:hAnsiTheme="majorHAnsi" w:cstheme="majorHAnsi"/>
          <w:sz w:val="24"/>
          <w:szCs w:val="24"/>
          <w:lang w:val="en-GB"/>
        </w:rPr>
        <w:t xml:space="preserve">: 10 </w:t>
      </w:r>
      <w:proofErr w:type="spellStart"/>
      <w:r w:rsidRPr="00EA16B0">
        <w:rPr>
          <w:rFonts w:asciiTheme="majorHAnsi" w:hAnsiTheme="majorHAnsi" w:cstheme="majorHAnsi"/>
          <w:sz w:val="24"/>
          <w:szCs w:val="24"/>
          <w:lang w:val="en-GB"/>
        </w:rPr>
        <w:t>nov.</w:t>
      </w:r>
      <w:proofErr w:type="spellEnd"/>
      <w:r w:rsidRPr="00EA16B0">
        <w:rPr>
          <w:rFonts w:asciiTheme="majorHAnsi" w:hAnsiTheme="majorHAnsi" w:cstheme="majorHAnsi"/>
          <w:sz w:val="24"/>
          <w:szCs w:val="24"/>
          <w:lang w:val="en-GB"/>
        </w:rPr>
        <w:t xml:space="preserve"> 2021.</w:t>
      </w:r>
    </w:p>
    <w:p w14:paraId="7779064F" w14:textId="77777777" w:rsidR="00D3608B" w:rsidRPr="00EA16B0" w:rsidRDefault="00D3608B" w:rsidP="00A45DA5">
      <w:pPr>
        <w:spacing w:line="276" w:lineRule="auto"/>
        <w:rPr>
          <w:rFonts w:asciiTheme="majorHAnsi" w:hAnsiTheme="majorHAnsi" w:cstheme="majorHAnsi"/>
          <w:sz w:val="24"/>
          <w:szCs w:val="24"/>
          <w:lang w:val="en-GB"/>
        </w:rPr>
      </w:pPr>
      <w:r w:rsidRPr="00EA16B0">
        <w:rPr>
          <w:rFonts w:asciiTheme="majorHAnsi" w:hAnsiTheme="majorHAnsi" w:cstheme="majorHAnsi"/>
          <w:sz w:val="24"/>
          <w:szCs w:val="24"/>
          <w:lang w:val="en-GB"/>
        </w:rPr>
        <w:t xml:space="preserve">MALONEY, D.H. Solving problems that count. </w:t>
      </w:r>
      <w:r w:rsidRPr="00EA16B0">
        <w:rPr>
          <w:rFonts w:asciiTheme="majorHAnsi" w:hAnsiTheme="majorHAnsi" w:cstheme="majorHAnsi"/>
          <w:b/>
          <w:sz w:val="24"/>
          <w:szCs w:val="24"/>
          <w:lang w:val="en-GB"/>
        </w:rPr>
        <w:t xml:space="preserve">Educational Leadership, </w:t>
      </w:r>
      <w:r w:rsidRPr="00EA16B0">
        <w:rPr>
          <w:rFonts w:asciiTheme="majorHAnsi" w:hAnsiTheme="majorHAnsi" w:cstheme="majorHAnsi"/>
          <w:bCs/>
          <w:sz w:val="24"/>
          <w:szCs w:val="24"/>
          <w:lang w:val="en-GB"/>
        </w:rPr>
        <w:t>Alexandria, v. 68, n. 1,</w:t>
      </w:r>
      <w:r w:rsidRPr="00EA16B0">
        <w:rPr>
          <w:rFonts w:asciiTheme="majorHAnsi" w:hAnsiTheme="majorHAnsi" w:cstheme="majorHAnsi"/>
          <w:sz w:val="24"/>
          <w:szCs w:val="24"/>
          <w:lang w:val="en-GB"/>
        </w:rPr>
        <w:t xml:space="preserve"> p. 55-58, 2010.</w:t>
      </w:r>
    </w:p>
    <w:p w14:paraId="78F40739" w14:textId="77777777" w:rsidR="00D3608B" w:rsidRPr="00EA16B0" w:rsidRDefault="00D3608B" w:rsidP="00A45DA5">
      <w:pPr>
        <w:spacing w:line="276" w:lineRule="auto"/>
        <w:jc w:val="both"/>
        <w:rPr>
          <w:rFonts w:asciiTheme="majorHAnsi" w:hAnsiTheme="majorHAnsi" w:cstheme="majorHAnsi"/>
          <w:sz w:val="24"/>
          <w:szCs w:val="24"/>
        </w:rPr>
      </w:pPr>
      <w:r w:rsidRPr="00EA16B0">
        <w:rPr>
          <w:rFonts w:asciiTheme="majorHAnsi" w:hAnsiTheme="majorHAnsi" w:cstheme="majorHAnsi"/>
          <w:sz w:val="24"/>
          <w:szCs w:val="24"/>
        </w:rPr>
        <w:t xml:space="preserve">MARTINS, C.B. A reforma universitária de 1968 e a abertura para o ensino superior privado no Brasil. </w:t>
      </w:r>
      <w:r w:rsidRPr="00EA16B0">
        <w:rPr>
          <w:rFonts w:asciiTheme="majorHAnsi" w:hAnsiTheme="majorHAnsi" w:cstheme="majorHAnsi"/>
          <w:b/>
          <w:bCs/>
          <w:sz w:val="24"/>
          <w:szCs w:val="24"/>
        </w:rPr>
        <w:t>Educação e sociedade, Campinas</w:t>
      </w:r>
      <w:r w:rsidRPr="00EA16B0">
        <w:rPr>
          <w:rFonts w:asciiTheme="majorHAnsi" w:hAnsiTheme="majorHAnsi" w:cstheme="majorHAnsi"/>
          <w:i/>
          <w:iCs/>
          <w:sz w:val="24"/>
          <w:szCs w:val="24"/>
        </w:rPr>
        <w:t xml:space="preserve">, </w:t>
      </w:r>
      <w:r w:rsidRPr="00EA16B0">
        <w:rPr>
          <w:rFonts w:asciiTheme="majorHAnsi" w:hAnsiTheme="majorHAnsi" w:cstheme="majorHAnsi"/>
          <w:sz w:val="24"/>
          <w:szCs w:val="24"/>
        </w:rPr>
        <w:t>30(106): p. 15-35, 2009.</w:t>
      </w:r>
    </w:p>
    <w:p w14:paraId="44C5FFBB"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z w:val="24"/>
          <w:szCs w:val="24"/>
        </w:rPr>
        <w:lastRenderedPageBreak/>
        <w:t xml:space="preserve">MEC – Ministério da Educação, 2016. </w:t>
      </w:r>
      <w:r w:rsidRPr="00EA16B0">
        <w:rPr>
          <w:rFonts w:asciiTheme="majorHAnsi" w:hAnsiTheme="majorHAnsi" w:cstheme="majorHAnsi"/>
          <w:b/>
          <w:sz w:val="24"/>
          <w:szCs w:val="24"/>
        </w:rPr>
        <w:t>Catálogo Nacional de Cursos Superiores de Tecnologia.</w:t>
      </w:r>
      <w:r w:rsidRPr="00EA16B0">
        <w:rPr>
          <w:rFonts w:asciiTheme="majorHAnsi" w:hAnsiTheme="majorHAnsi" w:cstheme="majorHAnsi"/>
          <w:sz w:val="24"/>
          <w:szCs w:val="24"/>
        </w:rPr>
        <w:t xml:space="preserve"> Disponível em: http://portal.mec.gov.br/index.php?option=com_docman&amp;view=download&amp;alias=98211-cncst-2016-a&amp;category_slug=outubro-2018-pdf-1&amp;Itemid=30192. Acesso em: 1</w:t>
      </w:r>
      <w:r w:rsidRPr="00EA16B0">
        <w:rPr>
          <w:rFonts w:asciiTheme="majorHAnsi" w:hAnsiTheme="majorHAnsi" w:cstheme="majorHAnsi"/>
          <w:spacing w:val="-2"/>
          <w:sz w:val="24"/>
          <w:szCs w:val="24"/>
        </w:rPr>
        <w:t>.</w:t>
      </w:r>
      <w:r w:rsidRPr="00EA16B0">
        <w:rPr>
          <w:rFonts w:asciiTheme="majorHAnsi" w:hAnsiTheme="majorHAnsi" w:cstheme="majorHAnsi"/>
          <w:spacing w:val="-2"/>
          <w:sz w:val="24"/>
          <w:szCs w:val="24"/>
          <w:vertAlign w:val="superscript"/>
        </w:rPr>
        <w:t>o</w:t>
      </w:r>
      <w:r w:rsidRPr="00EA16B0">
        <w:rPr>
          <w:rFonts w:asciiTheme="majorHAnsi" w:hAnsiTheme="majorHAnsi" w:cstheme="majorHAnsi"/>
          <w:sz w:val="24"/>
          <w:szCs w:val="24"/>
        </w:rPr>
        <w:t xml:space="preserve"> fev. 2022.</w:t>
      </w:r>
    </w:p>
    <w:p w14:paraId="7AF083AB"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z w:val="24"/>
          <w:szCs w:val="24"/>
        </w:rPr>
        <w:t xml:space="preserve">MEC – Ministério da Educação. 2017. </w:t>
      </w:r>
      <w:r w:rsidRPr="00EA16B0">
        <w:rPr>
          <w:rFonts w:asciiTheme="majorHAnsi" w:hAnsiTheme="majorHAnsi" w:cstheme="majorHAnsi"/>
          <w:b/>
          <w:sz w:val="24"/>
          <w:szCs w:val="24"/>
        </w:rPr>
        <w:t>BNCC – Base Nacional Comum Curricular</w:t>
      </w:r>
      <w:r w:rsidRPr="00EA16B0">
        <w:rPr>
          <w:rFonts w:asciiTheme="majorHAnsi" w:hAnsiTheme="majorHAnsi" w:cstheme="majorHAnsi"/>
          <w:sz w:val="24"/>
          <w:szCs w:val="24"/>
        </w:rPr>
        <w:t>. Disponível em: http://portal.mec.gov.br/conselho-nacional-de-educacao/base-nacional-comum-curricular-bncc. Acesso em:  15 dez. 2021.</w:t>
      </w:r>
    </w:p>
    <w:p w14:paraId="77F8360C"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z w:val="24"/>
          <w:szCs w:val="24"/>
        </w:rPr>
        <w:t xml:space="preserve">MEC - Ministério da Educação e Cultura. </w:t>
      </w:r>
      <w:r w:rsidRPr="00EA16B0">
        <w:rPr>
          <w:rFonts w:asciiTheme="majorHAnsi" w:hAnsiTheme="majorHAnsi" w:cstheme="majorHAnsi"/>
          <w:b/>
          <w:sz w:val="24"/>
          <w:szCs w:val="24"/>
        </w:rPr>
        <w:t>Portaria n. 2.117, de 6 de dezembro de 2019.</w:t>
      </w:r>
      <w:r w:rsidRPr="00EA16B0">
        <w:rPr>
          <w:rFonts w:asciiTheme="majorHAnsi" w:hAnsiTheme="majorHAnsi" w:cstheme="majorHAnsi"/>
          <w:sz w:val="24"/>
          <w:szCs w:val="24"/>
        </w:rPr>
        <w:t xml:space="preserve"> </w:t>
      </w:r>
      <w:r w:rsidRPr="00EA16B0">
        <w:rPr>
          <w:rFonts w:asciiTheme="majorHAnsi" w:hAnsiTheme="majorHAnsi" w:cstheme="majorHAnsi"/>
          <w:sz w:val="24"/>
          <w:szCs w:val="24"/>
          <w:shd w:val="clear" w:color="auto" w:fill="FFFFFF"/>
        </w:rPr>
        <w:t xml:space="preserve">Dispõe sobre a oferta de carga horária na modalidade de Ensino a Distância – </w:t>
      </w:r>
      <w:proofErr w:type="spellStart"/>
      <w:r w:rsidRPr="00EA16B0">
        <w:rPr>
          <w:rFonts w:asciiTheme="majorHAnsi" w:hAnsiTheme="majorHAnsi" w:cstheme="majorHAnsi"/>
          <w:sz w:val="24"/>
          <w:szCs w:val="24"/>
          <w:shd w:val="clear" w:color="auto" w:fill="FFFFFF"/>
        </w:rPr>
        <w:t>EaD</w:t>
      </w:r>
      <w:proofErr w:type="spellEnd"/>
      <w:r w:rsidRPr="00EA16B0">
        <w:rPr>
          <w:rFonts w:asciiTheme="majorHAnsi" w:hAnsiTheme="majorHAnsi" w:cstheme="majorHAnsi"/>
          <w:sz w:val="24"/>
          <w:szCs w:val="24"/>
          <w:shd w:val="clear" w:color="auto" w:fill="FFFFFF"/>
        </w:rPr>
        <w:t xml:space="preserve"> em cursos de graduação presenciais ofertados por Instituições de Educação Superior – IES pertencentes ao Sistema Federal de Ensino. Disponível em: </w:t>
      </w:r>
      <w:r w:rsidRPr="00EA16B0">
        <w:rPr>
          <w:rFonts w:asciiTheme="majorHAnsi" w:hAnsiTheme="majorHAnsi" w:cstheme="majorHAnsi"/>
          <w:sz w:val="24"/>
          <w:szCs w:val="24"/>
        </w:rPr>
        <w:t>https://www.in.gov.br/en/web/dou/-/portaria-n-2.117-de-6-de-dezembro-de-2019-232670913. Acesso em: 27 dez. 2021.</w:t>
      </w:r>
    </w:p>
    <w:p w14:paraId="083E5F2D"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z w:val="24"/>
          <w:szCs w:val="24"/>
        </w:rPr>
        <w:t xml:space="preserve">MEC – Ministério da Educação. 2017. </w:t>
      </w:r>
      <w:r w:rsidRPr="00EA16B0">
        <w:rPr>
          <w:rFonts w:asciiTheme="majorHAnsi" w:hAnsiTheme="majorHAnsi" w:cstheme="majorHAnsi"/>
          <w:b/>
          <w:sz w:val="24"/>
          <w:szCs w:val="24"/>
        </w:rPr>
        <w:t xml:space="preserve">Portaria n. 389, de 23 de março de 2017 - Dispõe sobre o mestrado e doutorado profissional no âmbito da pós-graduação stricto sensu. </w:t>
      </w:r>
      <w:r w:rsidRPr="00EA16B0">
        <w:rPr>
          <w:rFonts w:asciiTheme="majorHAnsi" w:hAnsiTheme="majorHAnsi" w:cstheme="majorHAnsi"/>
          <w:sz w:val="24"/>
          <w:szCs w:val="24"/>
        </w:rPr>
        <w:t xml:space="preserve">Disponível em https://www.gov.br/capes/ </w:t>
      </w:r>
      <w:r w:rsidRPr="00EA16B0">
        <w:rPr>
          <w:rFonts w:asciiTheme="majorHAnsi" w:hAnsiTheme="majorHAnsi" w:cstheme="majorHAnsi"/>
          <w:spacing w:val="-2"/>
          <w:sz w:val="24"/>
          <w:szCs w:val="24"/>
        </w:rPr>
        <w:t>pt-br/centrais-de-conteudo/24032017-portaria-no-389-de-23-de-marco-de-2017-pdf. Acesso em: 05 fev. 2022.</w:t>
      </w:r>
    </w:p>
    <w:p w14:paraId="5BD5FBB7"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z w:val="24"/>
          <w:szCs w:val="24"/>
        </w:rPr>
        <w:t xml:space="preserve">MEC – Ministério da Educação. 2022. </w:t>
      </w:r>
      <w:r w:rsidRPr="00EA16B0">
        <w:rPr>
          <w:rFonts w:asciiTheme="majorHAnsi" w:hAnsiTheme="majorHAnsi" w:cstheme="majorHAnsi"/>
          <w:b/>
          <w:sz w:val="24"/>
          <w:szCs w:val="24"/>
        </w:rPr>
        <w:t>Diretrizes Curriculares - Cursos de Graduação</w:t>
      </w:r>
      <w:r w:rsidRPr="00EA16B0">
        <w:rPr>
          <w:rFonts w:asciiTheme="majorHAnsi" w:hAnsiTheme="majorHAnsi" w:cstheme="majorHAnsi"/>
          <w:sz w:val="24"/>
          <w:szCs w:val="24"/>
        </w:rPr>
        <w:t>. Disponível em: http://portal.mec.gov.br/component/content/article?id=12991. Acesso em: 3 fev. 2022.</w:t>
      </w:r>
    </w:p>
    <w:p w14:paraId="3B26886D"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z w:val="24"/>
          <w:szCs w:val="24"/>
        </w:rPr>
        <w:t xml:space="preserve">ONU – Organização das Nações Unidas, 1948. </w:t>
      </w:r>
      <w:r w:rsidRPr="00EA16B0">
        <w:rPr>
          <w:rFonts w:asciiTheme="majorHAnsi" w:hAnsiTheme="majorHAnsi" w:cstheme="majorHAnsi"/>
          <w:b/>
          <w:sz w:val="24"/>
          <w:szCs w:val="24"/>
        </w:rPr>
        <w:t>Resolução 217 A III:</w:t>
      </w:r>
      <w:r w:rsidRPr="00EA16B0">
        <w:rPr>
          <w:rFonts w:asciiTheme="majorHAnsi" w:hAnsiTheme="majorHAnsi" w:cstheme="majorHAnsi"/>
          <w:sz w:val="24"/>
          <w:szCs w:val="24"/>
        </w:rPr>
        <w:t xml:space="preserve"> </w:t>
      </w:r>
      <w:r w:rsidRPr="00EA16B0">
        <w:rPr>
          <w:rFonts w:asciiTheme="majorHAnsi" w:hAnsiTheme="majorHAnsi" w:cstheme="majorHAnsi"/>
          <w:b/>
          <w:sz w:val="24"/>
          <w:szCs w:val="24"/>
        </w:rPr>
        <w:t xml:space="preserve">Declaração Universal dos Direitos Humanos – </w:t>
      </w:r>
      <w:r w:rsidRPr="00EA16B0">
        <w:rPr>
          <w:rFonts w:asciiTheme="majorHAnsi" w:hAnsiTheme="majorHAnsi" w:cstheme="majorHAnsi"/>
          <w:sz w:val="24"/>
          <w:szCs w:val="24"/>
        </w:rPr>
        <w:t xml:space="preserve">adotada e proclamada pela Assembleia Geral das Nações Unidas em 10 de dezembro de 1948. </w:t>
      </w:r>
      <w:r w:rsidRPr="00EA16B0">
        <w:rPr>
          <w:rFonts w:asciiTheme="majorHAnsi" w:hAnsiTheme="majorHAnsi" w:cstheme="majorHAnsi"/>
          <w:spacing w:val="-6"/>
          <w:sz w:val="24"/>
          <w:szCs w:val="24"/>
        </w:rPr>
        <w:t>Disponível em: https://www.unicef.org/brazil/declaracao-universal-dos-direitos-humanos.  Acesso em: 1</w:t>
      </w:r>
      <w:r w:rsidRPr="00EA16B0">
        <w:rPr>
          <w:rFonts w:asciiTheme="majorHAnsi" w:hAnsiTheme="majorHAnsi" w:cstheme="majorHAnsi"/>
          <w:spacing w:val="-2"/>
          <w:sz w:val="24"/>
          <w:szCs w:val="24"/>
        </w:rPr>
        <w:t>.</w:t>
      </w:r>
      <w:r w:rsidRPr="00EA16B0">
        <w:rPr>
          <w:rFonts w:asciiTheme="majorHAnsi" w:hAnsiTheme="majorHAnsi" w:cstheme="majorHAnsi"/>
          <w:spacing w:val="-2"/>
          <w:sz w:val="24"/>
          <w:szCs w:val="24"/>
          <w:vertAlign w:val="superscript"/>
        </w:rPr>
        <w:t>o</w:t>
      </w:r>
      <w:r w:rsidRPr="00EA16B0" w:rsidDel="00E13117">
        <w:rPr>
          <w:rFonts w:asciiTheme="majorHAnsi" w:hAnsiTheme="majorHAnsi" w:cstheme="majorHAnsi"/>
          <w:spacing w:val="-6"/>
          <w:sz w:val="24"/>
          <w:szCs w:val="24"/>
        </w:rPr>
        <w:t xml:space="preserve"> </w:t>
      </w:r>
      <w:r w:rsidRPr="00EA16B0">
        <w:rPr>
          <w:rFonts w:asciiTheme="majorHAnsi" w:hAnsiTheme="majorHAnsi" w:cstheme="majorHAnsi"/>
          <w:spacing w:val="-6"/>
          <w:sz w:val="24"/>
          <w:szCs w:val="24"/>
        </w:rPr>
        <w:t>fev. 2022.</w:t>
      </w:r>
    </w:p>
    <w:p w14:paraId="504C9B7B"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z w:val="24"/>
          <w:szCs w:val="24"/>
        </w:rPr>
        <w:t xml:space="preserve">PIVA JR. D.; CORTELAZZO, A.L. Redução das taxas de evasão no ensino superior pela mudança do paradigma educacional. </w:t>
      </w:r>
      <w:r w:rsidRPr="00EA16B0">
        <w:rPr>
          <w:rFonts w:asciiTheme="majorHAnsi" w:hAnsiTheme="majorHAnsi" w:cstheme="majorHAnsi"/>
          <w:b/>
          <w:sz w:val="24"/>
          <w:szCs w:val="24"/>
        </w:rPr>
        <w:t>In:</w:t>
      </w:r>
      <w:r w:rsidRPr="00EA16B0">
        <w:rPr>
          <w:rFonts w:asciiTheme="majorHAnsi" w:hAnsiTheme="majorHAnsi" w:cstheme="majorHAnsi"/>
          <w:sz w:val="24"/>
          <w:szCs w:val="24"/>
        </w:rPr>
        <w:t xml:space="preserve"> </w:t>
      </w:r>
      <w:r w:rsidRPr="00EA16B0">
        <w:rPr>
          <w:rFonts w:asciiTheme="majorHAnsi" w:hAnsiTheme="majorHAnsi" w:cstheme="majorHAnsi"/>
          <w:b/>
          <w:sz w:val="24"/>
          <w:szCs w:val="24"/>
        </w:rPr>
        <w:t>E.R. Martins (org.) Informática na educação e suas tecnologias.</w:t>
      </w:r>
      <w:r w:rsidRPr="00EA16B0">
        <w:rPr>
          <w:rFonts w:asciiTheme="majorHAnsi" w:hAnsiTheme="majorHAnsi" w:cstheme="majorHAnsi"/>
          <w:sz w:val="24"/>
          <w:szCs w:val="24"/>
        </w:rPr>
        <w:t xml:space="preserve"> Cap. 4. Ponta Grossa, PR: Atena, 2019. DOI 10.22533/</w:t>
      </w:r>
      <w:proofErr w:type="spellStart"/>
      <w:r w:rsidRPr="00EA16B0">
        <w:rPr>
          <w:rFonts w:asciiTheme="majorHAnsi" w:hAnsiTheme="majorHAnsi" w:cstheme="majorHAnsi"/>
          <w:sz w:val="24"/>
          <w:szCs w:val="24"/>
        </w:rPr>
        <w:t>at</w:t>
      </w:r>
      <w:proofErr w:type="spellEnd"/>
      <w:r w:rsidRPr="00EA16B0">
        <w:rPr>
          <w:rFonts w:asciiTheme="majorHAnsi" w:hAnsiTheme="majorHAnsi" w:cstheme="majorHAnsi"/>
          <w:sz w:val="24"/>
          <w:szCs w:val="24"/>
        </w:rPr>
        <w:t>/</w:t>
      </w:r>
      <w:proofErr w:type="spellStart"/>
      <w:r w:rsidRPr="00EA16B0">
        <w:rPr>
          <w:rFonts w:asciiTheme="majorHAnsi" w:hAnsiTheme="majorHAnsi" w:cstheme="majorHAnsi"/>
          <w:sz w:val="24"/>
          <w:szCs w:val="24"/>
        </w:rPr>
        <w:t>ed</w:t>
      </w:r>
      <w:proofErr w:type="spellEnd"/>
      <w:r w:rsidRPr="00EA16B0">
        <w:rPr>
          <w:rFonts w:asciiTheme="majorHAnsi" w:hAnsiTheme="majorHAnsi" w:cstheme="majorHAnsi"/>
          <w:sz w:val="24"/>
          <w:szCs w:val="24"/>
        </w:rPr>
        <w:t>/5021920124.</w:t>
      </w:r>
    </w:p>
    <w:p w14:paraId="25F5AE61"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z w:val="24"/>
          <w:szCs w:val="24"/>
        </w:rPr>
        <w:t xml:space="preserve">RIBEIRO, J.C. Formação continuada e trabalho pedagógico: o caso de uma professora egressa do curso de Pedagogia para professores em exercício no início de escolarização - PIE. </w:t>
      </w:r>
      <w:r w:rsidRPr="00EA16B0">
        <w:rPr>
          <w:rFonts w:asciiTheme="majorHAnsi" w:hAnsiTheme="majorHAnsi" w:cstheme="majorHAnsi"/>
          <w:b/>
          <w:sz w:val="24"/>
          <w:szCs w:val="24"/>
        </w:rPr>
        <w:t>Dissertação de Mestrado em Educação da Universidade de Brasília</w:t>
      </w:r>
      <w:r w:rsidRPr="00EA16B0">
        <w:rPr>
          <w:rFonts w:asciiTheme="majorHAnsi" w:hAnsiTheme="majorHAnsi" w:cstheme="majorHAnsi"/>
          <w:sz w:val="24"/>
          <w:szCs w:val="24"/>
        </w:rPr>
        <w:t xml:space="preserve">. 2006. 137pp. Disponível em: </w:t>
      </w:r>
      <w:hyperlink r:id="rId31" w:history="1">
        <w:r w:rsidRPr="00EA16B0">
          <w:rPr>
            <w:rStyle w:val="Hyperlink"/>
            <w:rFonts w:asciiTheme="majorHAnsi" w:hAnsiTheme="majorHAnsi" w:cstheme="majorHAnsi"/>
            <w:sz w:val="24"/>
            <w:szCs w:val="24"/>
          </w:rPr>
          <w:t>https://repositorio.unb.br/bitstream/ 10482/2381</w:t>
        </w:r>
      </w:hyperlink>
      <w:r w:rsidRPr="00EA16B0">
        <w:rPr>
          <w:rFonts w:asciiTheme="majorHAnsi" w:hAnsiTheme="majorHAnsi" w:cstheme="majorHAnsi"/>
          <w:sz w:val="24"/>
          <w:szCs w:val="24"/>
        </w:rPr>
        <w:t xml:space="preserve"> /1/2006_Jacira%20Chaves%20Ribeiro.pdf. Acesso em: 10 mar. 2022.</w:t>
      </w:r>
    </w:p>
    <w:p w14:paraId="5D2F79E8" w14:textId="77777777" w:rsidR="00D3608B" w:rsidRPr="00EA16B0" w:rsidRDefault="00D3608B" w:rsidP="00A45DA5">
      <w:pPr>
        <w:tabs>
          <w:tab w:val="clear" w:pos="1615"/>
        </w:tabs>
        <w:spacing w:line="276" w:lineRule="auto"/>
        <w:rPr>
          <w:rFonts w:asciiTheme="majorHAnsi" w:eastAsia="Times New Roman" w:hAnsiTheme="majorHAnsi" w:cstheme="majorHAnsi"/>
          <w:sz w:val="24"/>
          <w:szCs w:val="24"/>
          <w:lang w:eastAsia="pt-BR"/>
        </w:rPr>
      </w:pPr>
      <w:proofErr w:type="spellStart"/>
      <w:r w:rsidRPr="00EA16B0">
        <w:rPr>
          <w:rFonts w:asciiTheme="majorHAnsi" w:eastAsia="Times New Roman" w:hAnsiTheme="majorHAnsi" w:cstheme="majorHAnsi"/>
          <w:sz w:val="24"/>
          <w:szCs w:val="24"/>
          <w:lang w:eastAsia="pt-BR"/>
        </w:rPr>
        <w:t>SiSU</w:t>
      </w:r>
      <w:proofErr w:type="spellEnd"/>
      <w:r w:rsidRPr="00EA16B0">
        <w:rPr>
          <w:rFonts w:asciiTheme="majorHAnsi" w:eastAsia="Times New Roman" w:hAnsiTheme="majorHAnsi" w:cstheme="majorHAnsi"/>
          <w:sz w:val="24"/>
          <w:szCs w:val="24"/>
          <w:lang w:eastAsia="pt-BR"/>
        </w:rPr>
        <w:t xml:space="preserve"> – Sistema de Seleção Unificado – MEC. </w:t>
      </w:r>
      <w:r w:rsidRPr="00EA16B0">
        <w:rPr>
          <w:rFonts w:asciiTheme="majorHAnsi" w:eastAsia="Times New Roman" w:hAnsiTheme="majorHAnsi" w:cstheme="majorHAnsi"/>
          <w:b/>
          <w:sz w:val="24"/>
          <w:szCs w:val="24"/>
          <w:lang w:eastAsia="pt-BR"/>
        </w:rPr>
        <w:t>Seleção 2022.1.</w:t>
      </w:r>
      <w:r w:rsidRPr="00EA16B0">
        <w:rPr>
          <w:rFonts w:asciiTheme="majorHAnsi" w:eastAsia="Times New Roman" w:hAnsiTheme="majorHAnsi" w:cstheme="majorHAnsi"/>
          <w:sz w:val="24"/>
          <w:szCs w:val="24"/>
          <w:lang w:eastAsia="pt-BR"/>
        </w:rPr>
        <w:t xml:space="preserve"> Disponível em: https://sisu.mec.gov.br/#/vagas# </w:t>
      </w:r>
      <w:proofErr w:type="spellStart"/>
      <w:r w:rsidRPr="00EA16B0">
        <w:rPr>
          <w:rFonts w:asciiTheme="majorHAnsi" w:eastAsia="Times New Roman" w:hAnsiTheme="majorHAnsi" w:cstheme="majorHAnsi"/>
          <w:sz w:val="24"/>
          <w:szCs w:val="24"/>
          <w:lang w:eastAsia="pt-BR"/>
        </w:rPr>
        <w:t>onepage</w:t>
      </w:r>
      <w:proofErr w:type="spellEnd"/>
      <w:r w:rsidRPr="00EA16B0">
        <w:rPr>
          <w:rFonts w:asciiTheme="majorHAnsi" w:eastAsia="Times New Roman" w:hAnsiTheme="majorHAnsi" w:cstheme="majorHAnsi"/>
          <w:sz w:val="24"/>
          <w:szCs w:val="24"/>
          <w:lang w:eastAsia="pt-BR"/>
        </w:rPr>
        <w:t>. Acesso em: 18 fev. 2022.</w:t>
      </w:r>
    </w:p>
    <w:p w14:paraId="01649BBE"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z w:val="24"/>
          <w:szCs w:val="24"/>
        </w:rPr>
        <w:t xml:space="preserve">UFABC – Universidade Federal do ABC. 2021. </w:t>
      </w:r>
      <w:r w:rsidRPr="00EA16B0">
        <w:rPr>
          <w:rFonts w:asciiTheme="majorHAnsi" w:hAnsiTheme="majorHAnsi" w:cstheme="majorHAnsi"/>
          <w:b/>
          <w:sz w:val="24"/>
          <w:szCs w:val="24"/>
        </w:rPr>
        <w:t>Edital 063/2021.</w:t>
      </w:r>
      <w:r w:rsidRPr="00EA16B0">
        <w:rPr>
          <w:rFonts w:asciiTheme="majorHAnsi" w:hAnsiTheme="majorHAnsi" w:cstheme="majorHAnsi"/>
          <w:sz w:val="24"/>
          <w:szCs w:val="24"/>
        </w:rPr>
        <w:t xml:space="preserve"> Ingresso nos Bacharelados e Licenciaturas Interdisciplinares em 2022. Disponível em: https://prograd.ufabc.edu.br/pdf/edital_063_2021_ingresso.pdf. Acesso em: 17 fev. 2022.</w:t>
      </w:r>
    </w:p>
    <w:p w14:paraId="0BB76F11" w14:textId="77777777" w:rsidR="00D3608B" w:rsidRPr="00EA16B0" w:rsidRDefault="00D3608B" w:rsidP="00A45DA5">
      <w:pPr>
        <w:spacing w:line="276" w:lineRule="auto"/>
        <w:rPr>
          <w:rFonts w:asciiTheme="majorHAnsi" w:hAnsiTheme="majorHAnsi" w:cstheme="majorHAnsi"/>
          <w:sz w:val="24"/>
          <w:szCs w:val="24"/>
        </w:rPr>
      </w:pPr>
      <w:r w:rsidRPr="00EA16B0">
        <w:rPr>
          <w:rFonts w:asciiTheme="majorHAnsi" w:hAnsiTheme="majorHAnsi" w:cstheme="majorHAnsi"/>
          <w:sz w:val="24"/>
          <w:szCs w:val="24"/>
        </w:rPr>
        <w:lastRenderedPageBreak/>
        <w:t xml:space="preserve">UFMA – Universidade Federal do Maranhão, 2021. </w:t>
      </w:r>
      <w:r w:rsidRPr="00EA16B0">
        <w:rPr>
          <w:rFonts w:asciiTheme="majorHAnsi" w:hAnsiTheme="majorHAnsi" w:cstheme="majorHAnsi"/>
          <w:b/>
          <w:sz w:val="24"/>
          <w:szCs w:val="24"/>
        </w:rPr>
        <w:t xml:space="preserve">Edital do Processo Seletivo n. 17/2022 – </w:t>
      </w:r>
      <w:proofErr w:type="spellStart"/>
      <w:r w:rsidRPr="00EA16B0">
        <w:rPr>
          <w:rFonts w:asciiTheme="majorHAnsi" w:hAnsiTheme="majorHAnsi" w:cstheme="majorHAnsi"/>
          <w:b/>
          <w:sz w:val="24"/>
          <w:szCs w:val="24"/>
        </w:rPr>
        <w:t>Proen</w:t>
      </w:r>
      <w:proofErr w:type="spellEnd"/>
      <w:r w:rsidRPr="00EA16B0">
        <w:rPr>
          <w:rFonts w:asciiTheme="majorHAnsi" w:hAnsiTheme="majorHAnsi" w:cstheme="majorHAnsi"/>
          <w:b/>
          <w:sz w:val="24"/>
          <w:szCs w:val="24"/>
        </w:rPr>
        <w:t>/UFMA</w:t>
      </w:r>
      <w:r w:rsidRPr="00EA16B0">
        <w:rPr>
          <w:rFonts w:asciiTheme="majorHAnsi" w:hAnsiTheme="majorHAnsi" w:cstheme="majorHAnsi"/>
          <w:sz w:val="24"/>
          <w:szCs w:val="24"/>
        </w:rPr>
        <w:t xml:space="preserve"> – Primeira Edição do Processo de Seleção Unificada </w:t>
      </w:r>
      <w:proofErr w:type="spellStart"/>
      <w:r w:rsidRPr="00EA16B0">
        <w:rPr>
          <w:rFonts w:asciiTheme="majorHAnsi" w:hAnsiTheme="majorHAnsi" w:cstheme="majorHAnsi"/>
          <w:sz w:val="24"/>
          <w:szCs w:val="24"/>
        </w:rPr>
        <w:t>SiSU</w:t>
      </w:r>
      <w:proofErr w:type="spellEnd"/>
      <w:r w:rsidRPr="00EA16B0">
        <w:rPr>
          <w:rFonts w:asciiTheme="majorHAnsi" w:hAnsiTheme="majorHAnsi" w:cstheme="majorHAnsi"/>
          <w:sz w:val="24"/>
          <w:szCs w:val="24"/>
        </w:rPr>
        <w:t xml:space="preserve"> 2022/1/. Disponível em: https://portalpadrao.ufma.br /proen/digrad/ingresso-sisu/2022.1/editais-sisu/arquivos-editais-sisu/edital_proen_ufma_ndeg17-2022_sisu_2022-1.pdf. Consulta em: 17 fev. 2022.</w:t>
      </w:r>
    </w:p>
    <w:p w14:paraId="6C81F892" w14:textId="172C84A5" w:rsidR="00D63EF9" w:rsidRPr="00EA16B0" w:rsidRDefault="00D3608B" w:rsidP="00A45DA5">
      <w:pPr>
        <w:tabs>
          <w:tab w:val="clear" w:pos="1615"/>
        </w:tabs>
        <w:spacing w:line="276" w:lineRule="auto"/>
        <w:ind w:firstLine="709"/>
        <w:jc w:val="both"/>
        <w:rPr>
          <w:rFonts w:asciiTheme="majorHAnsi" w:hAnsiTheme="majorHAnsi" w:cstheme="majorHAnsi"/>
          <w:b/>
          <w:bCs/>
          <w:sz w:val="24"/>
          <w:szCs w:val="24"/>
        </w:rPr>
      </w:pPr>
      <w:r w:rsidRPr="00EA16B0">
        <w:rPr>
          <w:rFonts w:asciiTheme="majorHAnsi" w:hAnsiTheme="majorHAnsi" w:cstheme="majorHAnsi"/>
          <w:sz w:val="24"/>
          <w:szCs w:val="24"/>
        </w:rPr>
        <w:t xml:space="preserve">UNICAMP – Universidade Estadual de Campinas, 2022. </w:t>
      </w:r>
      <w:r w:rsidRPr="00EA16B0">
        <w:rPr>
          <w:rFonts w:asciiTheme="majorHAnsi" w:hAnsiTheme="majorHAnsi" w:cstheme="majorHAnsi"/>
          <w:b/>
          <w:sz w:val="24"/>
          <w:szCs w:val="24"/>
        </w:rPr>
        <w:t>PROFIS – Programa de Formação Interdisciplinar Superior.</w:t>
      </w:r>
      <w:r w:rsidRPr="00EA16B0">
        <w:rPr>
          <w:rFonts w:asciiTheme="majorHAnsi" w:hAnsiTheme="majorHAnsi" w:cstheme="majorHAnsi"/>
          <w:sz w:val="24"/>
          <w:szCs w:val="24"/>
        </w:rPr>
        <w:t xml:space="preserve"> Disponível em: https://www.prg.unicamp.br/profis/. Acesso em: 10 fev. 2022.</w:t>
      </w:r>
    </w:p>
    <w:p w14:paraId="064A7379" w14:textId="77777777" w:rsidR="00027374" w:rsidRPr="00EA16B0" w:rsidRDefault="00027374" w:rsidP="00AA431F">
      <w:pPr>
        <w:tabs>
          <w:tab w:val="clear" w:pos="1615"/>
        </w:tabs>
        <w:spacing w:line="259" w:lineRule="auto"/>
        <w:rPr>
          <w:rFonts w:asciiTheme="majorHAnsi" w:eastAsia="Calibri" w:hAnsiTheme="majorHAnsi" w:cstheme="majorHAnsi"/>
          <w:color w:val="3B3B3A"/>
          <w:sz w:val="20"/>
          <w:szCs w:val="20"/>
        </w:rPr>
      </w:pPr>
      <w:r w:rsidRPr="00EA16B0">
        <w:rPr>
          <w:rFonts w:asciiTheme="majorHAnsi" w:eastAsia="Calibri" w:hAnsiTheme="majorHAnsi" w:cstheme="majorHAnsi"/>
          <w:color w:val="3B3B3A"/>
          <w:sz w:val="20"/>
          <w:szCs w:val="20"/>
        </w:rPr>
        <w:br w:type="page"/>
      </w:r>
    </w:p>
    <w:p w14:paraId="0512A71A" w14:textId="16E91154" w:rsidR="00021081" w:rsidRPr="00EA16B0" w:rsidRDefault="00021081" w:rsidP="00AA431F">
      <w:pPr>
        <w:tabs>
          <w:tab w:val="clear" w:pos="1615"/>
        </w:tabs>
        <w:spacing w:line="259" w:lineRule="auto"/>
        <w:jc w:val="both"/>
        <w:rPr>
          <w:rFonts w:asciiTheme="majorHAnsi" w:eastAsia="Calibri" w:hAnsiTheme="majorHAnsi" w:cstheme="majorHAnsi"/>
          <w:color w:val="3B3B3A"/>
          <w:sz w:val="20"/>
          <w:szCs w:val="20"/>
        </w:rPr>
      </w:pPr>
      <w:bookmarkStart w:id="84" w:name="_Hlk101295620"/>
      <w:r w:rsidRPr="00EA16B0">
        <w:rPr>
          <w:rFonts w:asciiTheme="majorHAnsi" w:eastAsia="Calibri" w:hAnsiTheme="majorHAnsi" w:cstheme="majorHAnsi"/>
          <w:color w:val="3B3B3A"/>
          <w:sz w:val="20"/>
          <w:szCs w:val="20"/>
        </w:rPr>
        <w:lastRenderedPageBreak/>
        <w:t xml:space="preserve">© </w:t>
      </w:r>
      <w:proofErr w:type="spellStart"/>
      <w:r w:rsidRPr="00EA16B0">
        <w:rPr>
          <w:rFonts w:asciiTheme="majorHAnsi" w:eastAsia="Calibri" w:hAnsiTheme="majorHAnsi" w:cstheme="majorHAnsi"/>
          <w:color w:val="3B3B3A"/>
          <w:sz w:val="20"/>
          <w:szCs w:val="20"/>
        </w:rPr>
        <w:t>Cebraspe</w:t>
      </w:r>
      <w:proofErr w:type="spellEnd"/>
      <w:r w:rsidRPr="00EA16B0">
        <w:rPr>
          <w:rFonts w:asciiTheme="majorHAnsi" w:eastAsia="Calibri" w:hAnsiTheme="majorHAnsi" w:cstheme="majorHAnsi"/>
          <w:color w:val="3B3B3A"/>
          <w:sz w:val="20"/>
          <w:szCs w:val="20"/>
        </w:rPr>
        <w:t>, 20</w:t>
      </w:r>
      <w:r w:rsidR="007526EF" w:rsidRPr="00EA16B0">
        <w:rPr>
          <w:rFonts w:asciiTheme="majorHAnsi" w:eastAsia="Calibri" w:hAnsiTheme="majorHAnsi" w:cstheme="majorHAnsi"/>
          <w:color w:val="3B3B3A"/>
          <w:sz w:val="20"/>
          <w:szCs w:val="20"/>
        </w:rPr>
        <w:t>21</w:t>
      </w:r>
      <w:r w:rsidRPr="00EA16B0">
        <w:rPr>
          <w:rFonts w:asciiTheme="majorHAnsi" w:eastAsia="Calibri" w:hAnsiTheme="majorHAnsi" w:cstheme="majorHAnsi"/>
          <w:color w:val="3B3B3A"/>
          <w:sz w:val="20"/>
          <w:szCs w:val="20"/>
        </w:rPr>
        <w:t>. Todos os direitos reservados. Nenhuma parte dessa publicação pode ser copiada, reproduzida ou distribuída em qualquer meio conhecido ou que venha a ser criado.</w:t>
      </w:r>
    </w:p>
    <w:p w14:paraId="746B2DB7" w14:textId="0EF007DE" w:rsidR="00A54802" w:rsidRPr="00EA16B0" w:rsidRDefault="00021081" w:rsidP="00AA431F">
      <w:pPr>
        <w:tabs>
          <w:tab w:val="clear" w:pos="1615"/>
        </w:tabs>
        <w:jc w:val="both"/>
        <w:rPr>
          <w:rFonts w:asciiTheme="majorHAnsi" w:hAnsiTheme="majorHAnsi" w:cstheme="majorHAnsi"/>
        </w:rPr>
      </w:pPr>
      <w:r w:rsidRPr="00EA16B0">
        <w:rPr>
          <w:rFonts w:asciiTheme="majorHAnsi" w:eastAsia="Calibri" w:hAnsiTheme="majorHAnsi" w:cstheme="majorHAnsi"/>
          <w:color w:val="3B3B3A"/>
          <w:sz w:val="20"/>
          <w:szCs w:val="20"/>
        </w:rPr>
        <w:t>Centro Brasileiro de Pesquisa em Avaliação e Seleção e de Promoção de Eventos (</w:t>
      </w:r>
      <w:proofErr w:type="spellStart"/>
      <w:r w:rsidRPr="00EA16B0">
        <w:rPr>
          <w:rFonts w:asciiTheme="majorHAnsi" w:eastAsia="Calibri" w:hAnsiTheme="majorHAnsi" w:cstheme="majorHAnsi"/>
          <w:color w:val="3B3B3A"/>
          <w:sz w:val="20"/>
          <w:szCs w:val="20"/>
        </w:rPr>
        <w:t>Cebraspe</w:t>
      </w:r>
      <w:proofErr w:type="spellEnd"/>
      <w:r w:rsidRPr="00EA16B0">
        <w:rPr>
          <w:rFonts w:asciiTheme="majorHAnsi" w:eastAsia="Calibri" w:hAnsiTheme="majorHAnsi" w:cstheme="majorHAnsi"/>
          <w:color w:val="3B3B3A"/>
          <w:sz w:val="20"/>
          <w:szCs w:val="20"/>
        </w:rPr>
        <w:t>), pessoa jurídica de direito privado, sem fins lucrativos, qualificado por meio do Decreto n.º 8.078/2013 como Organização Social (OS), tendo como finalidade precípua fomentar e promover o ensino, a pesquisa científica, o desenvolvimento tecnológico, o desenvolvimento institucional e a difusão de informações, experiências e projetos de interesse social e utilidade pública nas áreas de avaliação, certificação e seleção.</w:t>
      </w:r>
      <w:bookmarkEnd w:id="0"/>
      <w:bookmarkEnd w:id="4"/>
      <w:bookmarkEnd w:id="84"/>
    </w:p>
    <w:sectPr w:rsidR="00A54802" w:rsidRPr="00EA16B0" w:rsidSect="00027374">
      <w:pgSz w:w="11906" w:h="16838"/>
      <w:pgMar w:top="1134" w:right="1134" w:bottom="1701" w:left="1134"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4FA39" w14:textId="77777777" w:rsidR="003A7871" w:rsidRDefault="003A7871" w:rsidP="00D703CD">
      <w:pPr>
        <w:spacing w:after="0"/>
      </w:pPr>
      <w:r>
        <w:separator/>
      </w:r>
    </w:p>
    <w:p w14:paraId="014033C8" w14:textId="77777777" w:rsidR="003A7871" w:rsidRDefault="003A7871"/>
  </w:endnote>
  <w:endnote w:type="continuationSeparator" w:id="0">
    <w:p w14:paraId="3B3DE724" w14:textId="77777777" w:rsidR="003A7871" w:rsidRDefault="003A7871" w:rsidP="00D703CD">
      <w:pPr>
        <w:spacing w:after="0"/>
      </w:pPr>
      <w:r>
        <w:continuationSeparator/>
      </w:r>
    </w:p>
    <w:p w14:paraId="50D91CC4" w14:textId="77777777" w:rsidR="003A7871" w:rsidRDefault="003A78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utura Lt BT">
    <w:panose1 w:val="020B0402020204020303"/>
    <w:charset w:val="00"/>
    <w:family w:val="swiss"/>
    <w:pitch w:val="variable"/>
    <w:sig w:usb0="00000087" w:usb1="00000000" w:usb2="00000000" w:usb3="00000000" w:csb0="0000001B" w:csb1="00000000"/>
  </w:font>
  <w:font w:name="Helvetica Neue LT Std">
    <w:altName w:val="Arial"/>
    <w:charset w:val="00"/>
    <w:family w:val="swiss"/>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7A24B" w14:textId="30F7CD86" w:rsidR="00B64FD2" w:rsidRDefault="004254B5">
    <w:pPr>
      <w:pStyle w:val="Rodap"/>
    </w:pPr>
    <w:r>
      <w:rPr>
        <w:noProof/>
      </w:rPr>
      <w:drawing>
        <wp:anchor distT="0" distB="0" distL="114300" distR="114300" simplePos="0" relativeHeight="251659264" behindDoc="1" locked="0" layoutInCell="1" allowOverlap="1" wp14:anchorId="2D9458C2" wp14:editId="345B4386">
          <wp:simplePos x="0" y="0"/>
          <wp:positionH relativeFrom="margin">
            <wp:align>center</wp:align>
          </wp:positionH>
          <wp:positionV relativeFrom="margin">
            <wp:posOffset>9396210</wp:posOffset>
          </wp:positionV>
          <wp:extent cx="7560000" cy="563951"/>
          <wp:effectExtent l="0" t="0" r="3175" b="7620"/>
          <wp:wrapNone/>
          <wp:docPr id="1" name="Imagem 1" descr="For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Forma, Retângul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563951"/>
                  </a:xfrm>
                  <a:prstGeom prst="rect">
                    <a:avLst/>
                  </a:prstGeom>
                  <a:noFill/>
                  <a:ln>
                    <a:noFill/>
                  </a:ln>
                </pic:spPr>
              </pic:pic>
            </a:graphicData>
          </a:graphic>
          <wp14:sizeRelH relativeFrom="page">
            <wp14:pctWidth>0</wp14:pctWidth>
          </wp14:sizeRelH>
          <wp14:sizeRelV relativeFrom="page">
            <wp14:pctHeight>0</wp14:pctHeight>
          </wp14:sizeRelV>
        </wp:anchor>
      </w:drawing>
    </w:r>
    <w:r w:rsidR="006D0EA4" w:rsidRPr="006D0EA4">
      <w:ptab w:relativeTo="margin" w:alignment="center" w:leader="none"/>
    </w:r>
    <w:r w:rsidR="006D0EA4" w:rsidRPr="006D0EA4">
      <w:ptab w:relativeTo="margin" w:alignment="right" w:leader="none"/>
    </w:r>
    <w:r w:rsidR="006D0EA4" w:rsidRPr="00E436BA">
      <w:rPr>
        <w:color w:val="4875BD" w:themeColor="text1"/>
      </w:rPr>
      <w:fldChar w:fldCharType="begin"/>
    </w:r>
    <w:r w:rsidR="006D0EA4" w:rsidRPr="00E436BA">
      <w:rPr>
        <w:color w:val="4875BD" w:themeColor="text1"/>
      </w:rPr>
      <w:instrText>PAGE   \* MERGEFORMAT</w:instrText>
    </w:r>
    <w:r w:rsidR="006D0EA4" w:rsidRPr="00E436BA">
      <w:rPr>
        <w:color w:val="4875BD" w:themeColor="text1"/>
      </w:rPr>
      <w:fldChar w:fldCharType="separate"/>
    </w:r>
    <w:r w:rsidR="002A6742">
      <w:rPr>
        <w:noProof/>
        <w:color w:val="4875BD" w:themeColor="text1"/>
      </w:rPr>
      <w:t>11</w:t>
    </w:r>
    <w:r w:rsidR="006D0EA4" w:rsidRPr="00E436BA">
      <w:rPr>
        <w:color w:val="4875BD" w:themeColor="tex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7C8AB" w14:textId="77777777" w:rsidR="00E436BA" w:rsidRDefault="00E436BA">
    <w:pPr>
      <w:pStyle w:val="Rodap"/>
    </w:pPr>
    <w:r>
      <w:rPr>
        <w:noProof/>
        <w:lang w:eastAsia="pt-BR"/>
      </w:rPr>
      <mc:AlternateContent>
        <mc:Choice Requires="wpg">
          <w:drawing>
            <wp:anchor distT="0" distB="0" distL="114300" distR="114300" simplePos="0" relativeHeight="251657216" behindDoc="1" locked="0" layoutInCell="1" allowOverlap="1" wp14:anchorId="706D4F8F" wp14:editId="2C92080D">
              <wp:simplePos x="0" y="0"/>
              <wp:positionH relativeFrom="column">
                <wp:posOffset>6984365</wp:posOffset>
              </wp:positionH>
              <wp:positionV relativeFrom="paragraph">
                <wp:posOffset>-446405</wp:posOffset>
              </wp:positionV>
              <wp:extent cx="8664575" cy="1057247"/>
              <wp:effectExtent l="0" t="0" r="3175" b="0"/>
              <wp:wrapNone/>
              <wp:docPr id="23" name="Grupo 23"/>
              <wp:cNvGraphicFramePr/>
              <a:graphic xmlns:a="http://schemas.openxmlformats.org/drawingml/2006/main">
                <a:graphicData uri="http://schemas.microsoft.com/office/word/2010/wordprocessingGroup">
                  <wpg:wgp>
                    <wpg:cNvGrpSpPr/>
                    <wpg:grpSpPr>
                      <a:xfrm>
                        <a:off x="0" y="0"/>
                        <a:ext cx="8664575" cy="1057247"/>
                        <a:chOff x="0" y="0"/>
                        <a:chExt cx="8664575" cy="1057247"/>
                      </a:xfrm>
                    </wpg:grpSpPr>
                    <pic:pic xmlns:pic="http://schemas.openxmlformats.org/drawingml/2006/picture">
                      <pic:nvPicPr>
                        <pic:cNvPr id="24" name="Imagem 24"/>
                        <pic:cNvPicPr>
                          <a:picLocks/>
                        </pic:cNvPicPr>
                      </pic:nvPicPr>
                      <pic:blipFill>
                        <a:blip r:embed="rId1" cstate="print">
                          <a:extLst>
                            <a:ext uri="{28A0092B-C50C-407E-A947-70E740481C1C}">
                              <a14:useLocalDpi xmlns:a14="http://schemas.microsoft.com/office/drawing/2010/main" val="0"/>
                            </a:ext>
                          </a:extLst>
                        </a:blip>
                        <a:stretch>
                          <a:fillRect/>
                        </a:stretch>
                      </pic:blipFill>
                      <pic:spPr>
                        <a:xfrm>
                          <a:off x="0" y="996287"/>
                          <a:ext cx="8664575" cy="60960"/>
                        </a:xfrm>
                        <a:prstGeom prst="rect">
                          <a:avLst/>
                        </a:prstGeom>
                      </pic:spPr>
                    </pic:pic>
                    <pic:pic xmlns:pic="http://schemas.openxmlformats.org/drawingml/2006/picture">
                      <pic:nvPicPr>
                        <pic:cNvPr id="25" name="Imagem 2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59558" y="0"/>
                          <a:ext cx="2769870" cy="976630"/>
                        </a:xfrm>
                        <a:prstGeom prst="rect">
                          <a:avLst/>
                        </a:prstGeom>
                      </pic:spPr>
                    </pic:pic>
                  </wpg:wgp>
                </a:graphicData>
              </a:graphic>
            </wp:anchor>
          </w:drawing>
        </mc:Choice>
        <mc:Fallback>
          <w:pict>
            <v:group w14:anchorId="2069572B" id="Grupo 23" o:spid="_x0000_s1026" style="position:absolute;margin-left:549.95pt;margin-top:-35.15pt;width:682.25pt;height:83.25pt;z-index:-251659264" coordsize="86645,105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cmljbyBWYWxu&#10;ZXkgZGUgT2xpdmVpcmEgTW91cmEAAAAFkAMAAgAAABQAABC4kAQAAgAAABQAABDMkpEAAgAAAAMx&#10;MwAAkpIAAgAAAAMxMwAA6hwABwAACAwAAAis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xOTowNjowNiAxMjo1OToy&#10;MgAyMDE5OjA2OjA2IDEyOjU5OjIyAAAARQByAGkAYwBvACAAVgBhAGwAbgBlAHkAIABkAGUAIABP&#10;AGwAaQB2AGUAaQByAGEAIABNAG8AdQByAGEA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4Qsx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4" o:spid="_x0000_s1027" type="#_x0000_t75" style="position:absolute;top:9962;width:86645;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">
                <v:imagedata r:id="rId3" o:title=""/>
                <o:lock v:ext="edit" aspectratio="f"/>
              </v:shape>
              <v:shape id="Imagem 25" o:spid="_x0000_s1028" type="#_x0000_t75" style="position:absolute;left:5595;width:27699;height: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40576" w14:textId="77777777" w:rsidR="003A7871" w:rsidRDefault="003A7871" w:rsidP="00D703CD">
      <w:pPr>
        <w:spacing w:after="0"/>
      </w:pPr>
      <w:r>
        <w:separator/>
      </w:r>
    </w:p>
    <w:p w14:paraId="3EF25DE7" w14:textId="77777777" w:rsidR="003A7871" w:rsidRDefault="003A7871"/>
  </w:footnote>
  <w:footnote w:type="continuationSeparator" w:id="0">
    <w:p w14:paraId="44C9C6DD" w14:textId="77777777" w:rsidR="003A7871" w:rsidRDefault="003A7871" w:rsidP="00D703CD">
      <w:pPr>
        <w:spacing w:after="0"/>
      </w:pPr>
      <w:r>
        <w:continuationSeparator/>
      </w:r>
    </w:p>
    <w:p w14:paraId="0BDEEF92" w14:textId="77777777" w:rsidR="003A7871" w:rsidRDefault="003A7871"/>
  </w:footnote>
  <w:footnote w:id="1">
    <w:p w14:paraId="2C7FC834" w14:textId="77777777" w:rsidR="00D3608B" w:rsidRDefault="00D3608B" w:rsidP="00D3608B">
      <w:pPr>
        <w:pStyle w:val="Textodenotaderodap"/>
      </w:pPr>
      <w:r>
        <w:rPr>
          <w:rStyle w:val="Refdenotaderodap"/>
        </w:rPr>
        <w:footnoteRef/>
      </w:r>
      <w:r>
        <w:t xml:space="preserve"> Para detalhes, ver Relatório do </w:t>
      </w:r>
      <w:proofErr w:type="spellStart"/>
      <w:r>
        <w:t>Cebraspe</w:t>
      </w:r>
      <w:proofErr w:type="spellEnd"/>
      <w:r>
        <w:t xml:space="preserve"> (2022a).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61151"/>
    <w:multiLevelType w:val="hybridMultilevel"/>
    <w:tmpl w:val="F41098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E0E5867"/>
    <w:multiLevelType w:val="hybridMultilevel"/>
    <w:tmpl w:val="5F526B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0A04905"/>
    <w:multiLevelType w:val="hybridMultilevel"/>
    <w:tmpl w:val="215645B0"/>
    <w:lvl w:ilvl="0" w:tplc="BD8C193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2A06580"/>
    <w:multiLevelType w:val="hybridMultilevel"/>
    <w:tmpl w:val="76B21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334078F"/>
    <w:multiLevelType w:val="hybridMultilevel"/>
    <w:tmpl w:val="DAF237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6062236"/>
    <w:multiLevelType w:val="multilevel"/>
    <w:tmpl w:val="52B0B45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609"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793F84"/>
    <w:multiLevelType w:val="hybridMultilevel"/>
    <w:tmpl w:val="85BAC4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9CD5D88"/>
    <w:multiLevelType w:val="hybridMultilevel"/>
    <w:tmpl w:val="9E20CF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66092C0C"/>
    <w:multiLevelType w:val="hybridMultilevel"/>
    <w:tmpl w:val="4F94652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70720CBC"/>
    <w:multiLevelType w:val="multilevel"/>
    <w:tmpl w:val="52C01282"/>
    <w:lvl w:ilvl="0">
      <w:start w:val="1"/>
      <w:numFmt w:val="decimal"/>
      <w:lvlText w:val="%1."/>
      <w:lvlJc w:val="left"/>
      <w:pPr>
        <w:ind w:left="720" w:hanging="360"/>
      </w:pPr>
    </w:lvl>
    <w:lvl w:ilvl="1">
      <w:start w:val="1"/>
      <w:numFmt w:val="decimal"/>
      <w:isLgl/>
      <w:lvlText w:val="%1.%2"/>
      <w:lvlJc w:val="left"/>
      <w:pPr>
        <w:ind w:left="1137" w:hanging="720"/>
      </w:pPr>
      <w:rPr>
        <w:rFonts w:hint="default"/>
      </w:rPr>
    </w:lvl>
    <w:lvl w:ilvl="2">
      <w:start w:val="1"/>
      <w:numFmt w:val="decimal"/>
      <w:isLgl/>
      <w:lvlText w:val="%1.%2.%3"/>
      <w:lvlJc w:val="left"/>
      <w:pPr>
        <w:ind w:left="1194" w:hanging="720"/>
      </w:pPr>
      <w:rPr>
        <w:rFonts w:hint="default"/>
      </w:rPr>
    </w:lvl>
    <w:lvl w:ilvl="3">
      <w:start w:val="1"/>
      <w:numFmt w:val="decimal"/>
      <w:isLgl/>
      <w:lvlText w:val="%1.%2.%3.%4"/>
      <w:lvlJc w:val="left"/>
      <w:pPr>
        <w:ind w:left="1611" w:hanging="1080"/>
      </w:pPr>
      <w:rPr>
        <w:rFonts w:hint="default"/>
      </w:rPr>
    </w:lvl>
    <w:lvl w:ilvl="4">
      <w:start w:val="1"/>
      <w:numFmt w:val="decimal"/>
      <w:isLgl/>
      <w:lvlText w:val="%1.%2.%3.%4.%5"/>
      <w:lvlJc w:val="left"/>
      <w:pPr>
        <w:ind w:left="2028" w:hanging="1440"/>
      </w:pPr>
      <w:rPr>
        <w:rFonts w:hint="default"/>
      </w:rPr>
    </w:lvl>
    <w:lvl w:ilvl="5">
      <w:start w:val="1"/>
      <w:numFmt w:val="decimal"/>
      <w:isLgl/>
      <w:lvlText w:val="%1.%2.%3.%4.%5.%6"/>
      <w:lvlJc w:val="left"/>
      <w:pPr>
        <w:ind w:left="2085" w:hanging="1440"/>
      </w:pPr>
      <w:rPr>
        <w:rFonts w:hint="default"/>
      </w:rPr>
    </w:lvl>
    <w:lvl w:ilvl="6">
      <w:start w:val="1"/>
      <w:numFmt w:val="decimal"/>
      <w:isLgl/>
      <w:lvlText w:val="%1.%2.%3.%4.%5.%6.%7"/>
      <w:lvlJc w:val="left"/>
      <w:pPr>
        <w:ind w:left="2502" w:hanging="1800"/>
      </w:pPr>
      <w:rPr>
        <w:rFonts w:hint="default"/>
      </w:rPr>
    </w:lvl>
    <w:lvl w:ilvl="7">
      <w:start w:val="1"/>
      <w:numFmt w:val="decimal"/>
      <w:isLgl/>
      <w:lvlText w:val="%1.%2.%3.%4.%5.%6.%7.%8"/>
      <w:lvlJc w:val="left"/>
      <w:pPr>
        <w:ind w:left="2919" w:hanging="2160"/>
      </w:pPr>
      <w:rPr>
        <w:rFonts w:hint="default"/>
      </w:rPr>
    </w:lvl>
    <w:lvl w:ilvl="8">
      <w:start w:val="1"/>
      <w:numFmt w:val="decimal"/>
      <w:isLgl/>
      <w:lvlText w:val="%1.%2.%3.%4.%5.%6.%7.%8.%9"/>
      <w:lvlJc w:val="left"/>
      <w:pPr>
        <w:ind w:left="2976" w:hanging="2160"/>
      </w:pPr>
      <w:rPr>
        <w:rFonts w:hint="default"/>
      </w:rPr>
    </w:lvl>
  </w:abstractNum>
  <w:num w:numId="1" w16cid:durableId="364062958">
    <w:abstractNumId w:val="9"/>
  </w:num>
  <w:num w:numId="2" w16cid:durableId="1604922118">
    <w:abstractNumId w:val="2"/>
  </w:num>
  <w:num w:numId="3" w16cid:durableId="554856191">
    <w:abstractNumId w:val="8"/>
  </w:num>
  <w:num w:numId="4" w16cid:durableId="823549257">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5" w16cid:durableId="107428706">
    <w:abstractNumId w:val="4"/>
  </w:num>
  <w:num w:numId="6" w16cid:durableId="1826705559">
    <w:abstractNumId w:val="1"/>
  </w:num>
  <w:num w:numId="7" w16cid:durableId="17438271">
    <w:abstractNumId w:val="0"/>
  </w:num>
  <w:num w:numId="8" w16cid:durableId="1245332739">
    <w:abstractNumId w:val="3"/>
  </w:num>
  <w:num w:numId="9" w16cid:durableId="1464232039">
    <w:abstractNumId w:val="7"/>
  </w:num>
  <w:num w:numId="10" w16cid:durableId="155806935">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 w:vendorID="64" w:dllVersion="6" w:nlCheck="1" w:checkStyle="0"/>
  <w:activeWritingStyle w:appName="MSWord" w:lang="pt-BR"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pt-PT" w:vendorID="64" w:dllVersion="4096" w:nlCheck="1" w:checkStyle="0"/>
  <w:activeWritingStyle w:appName="MSWord" w:lang="en-GB" w:vendorID="64" w:dllVersion="0" w:nlCheck="1" w:checkStyle="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A72"/>
    <w:rsid w:val="00004B8E"/>
    <w:rsid w:val="000073DE"/>
    <w:rsid w:val="00010A7F"/>
    <w:rsid w:val="00020DCD"/>
    <w:rsid w:val="00021081"/>
    <w:rsid w:val="0002311B"/>
    <w:rsid w:val="0002326F"/>
    <w:rsid w:val="00023610"/>
    <w:rsid w:val="00027374"/>
    <w:rsid w:val="000275C3"/>
    <w:rsid w:val="00027836"/>
    <w:rsid w:val="00030F3B"/>
    <w:rsid w:val="00032C7D"/>
    <w:rsid w:val="000348E4"/>
    <w:rsid w:val="000445F5"/>
    <w:rsid w:val="00045967"/>
    <w:rsid w:val="00051186"/>
    <w:rsid w:val="000530F9"/>
    <w:rsid w:val="00055DC4"/>
    <w:rsid w:val="00057D8B"/>
    <w:rsid w:val="000609CF"/>
    <w:rsid w:val="000638D7"/>
    <w:rsid w:val="00065BED"/>
    <w:rsid w:val="00070EFA"/>
    <w:rsid w:val="00072114"/>
    <w:rsid w:val="0007511A"/>
    <w:rsid w:val="00076130"/>
    <w:rsid w:val="00086BCD"/>
    <w:rsid w:val="000970DB"/>
    <w:rsid w:val="000A1814"/>
    <w:rsid w:val="000A3861"/>
    <w:rsid w:val="000A7D5D"/>
    <w:rsid w:val="000B2476"/>
    <w:rsid w:val="000B26B6"/>
    <w:rsid w:val="000C121C"/>
    <w:rsid w:val="000C2F9E"/>
    <w:rsid w:val="000C38B3"/>
    <w:rsid w:val="000C3BE8"/>
    <w:rsid w:val="000C54A7"/>
    <w:rsid w:val="000C5D59"/>
    <w:rsid w:val="000D1568"/>
    <w:rsid w:val="000D24F8"/>
    <w:rsid w:val="000D3AC2"/>
    <w:rsid w:val="000D7AF2"/>
    <w:rsid w:val="000E1C64"/>
    <w:rsid w:val="000E2D86"/>
    <w:rsid w:val="000E3248"/>
    <w:rsid w:val="000E5237"/>
    <w:rsid w:val="000E5793"/>
    <w:rsid w:val="000E7FA2"/>
    <w:rsid w:val="000F242D"/>
    <w:rsid w:val="000F2A2A"/>
    <w:rsid w:val="000F49F3"/>
    <w:rsid w:val="000F51BF"/>
    <w:rsid w:val="000F568F"/>
    <w:rsid w:val="000F608D"/>
    <w:rsid w:val="00101137"/>
    <w:rsid w:val="00106F1B"/>
    <w:rsid w:val="00110290"/>
    <w:rsid w:val="0011037B"/>
    <w:rsid w:val="00111C7C"/>
    <w:rsid w:val="001122E8"/>
    <w:rsid w:val="00114CBB"/>
    <w:rsid w:val="00116124"/>
    <w:rsid w:val="00124FB9"/>
    <w:rsid w:val="001256B8"/>
    <w:rsid w:val="0013189F"/>
    <w:rsid w:val="00132F2E"/>
    <w:rsid w:val="00133C60"/>
    <w:rsid w:val="0014139C"/>
    <w:rsid w:val="00141FDB"/>
    <w:rsid w:val="00147514"/>
    <w:rsid w:val="0015125F"/>
    <w:rsid w:val="00155C99"/>
    <w:rsid w:val="00156C0D"/>
    <w:rsid w:val="001620DC"/>
    <w:rsid w:val="001647D9"/>
    <w:rsid w:val="001703DC"/>
    <w:rsid w:val="00172771"/>
    <w:rsid w:val="001760CB"/>
    <w:rsid w:val="0018606C"/>
    <w:rsid w:val="001864E3"/>
    <w:rsid w:val="001875CF"/>
    <w:rsid w:val="0019023B"/>
    <w:rsid w:val="001A2595"/>
    <w:rsid w:val="001B29A7"/>
    <w:rsid w:val="001C7514"/>
    <w:rsid w:val="001D1971"/>
    <w:rsid w:val="001D4E60"/>
    <w:rsid w:val="001E12B9"/>
    <w:rsid w:val="001E3720"/>
    <w:rsid w:val="001E4C33"/>
    <w:rsid w:val="001F6D52"/>
    <w:rsid w:val="001F78BF"/>
    <w:rsid w:val="00201089"/>
    <w:rsid w:val="00203B1B"/>
    <w:rsid w:val="002109D0"/>
    <w:rsid w:val="00210B56"/>
    <w:rsid w:val="00210E4A"/>
    <w:rsid w:val="00211C8D"/>
    <w:rsid w:val="00215E70"/>
    <w:rsid w:val="002268D7"/>
    <w:rsid w:val="00227034"/>
    <w:rsid w:val="002316A6"/>
    <w:rsid w:val="002465F6"/>
    <w:rsid w:val="00247DDD"/>
    <w:rsid w:val="00251210"/>
    <w:rsid w:val="00254250"/>
    <w:rsid w:val="0026199B"/>
    <w:rsid w:val="0026297B"/>
    <w:rsid w:val="00262D35"/>
    <w:rsid w:val="00266AEB"/>
    <w:rsid w:val="002723CD"/>
    <w:rsid w:val="0027346B"/>
    <w:rsid w:val="002800C0"/>
    <w:rsid w:val="00284E26"/>
    <w:rsid w:val="002949F1"/>
    <w:rsid w:val="002A5227"/>
    <w:rsid w:val="002A530B"/>
    <w:rsid w:val="002A6742"/>
    <w:rsid w:val="002B032B"/>
    <w:rsid w:val="002B1C0B"/>
    <w:rsid w:val="002B2F20"/>
    <w:rsid w:val="002B419F"/>
    <w:rsid w:val="002D7FB4"/>
    <w:rsid w:val="002E0E0B"/>
    <w:rsid w:val="002E13FB"/>
    <w:rsid w:val="002E208A"/>
    <w:rsid w:val="002E37C2"/>
    <w:rsid w:val="002F1B0F"/>
    <w:rsid w:val="002F3333"/>
    <w:rsid w:val="002F5FC0"/>
    <w:rsid w:val="00304D2A"/>
    <w:rsid w:val="00305623"/>
    <w:rsid w:val="0031256A"/>
    <w:rsid w:val="0031268D"/>
    <w:rsid w:val="00313552"/>
    <w:rsid w:val="00313DDC"/>
    <w:rsid w:val="00320B63"/>
    <w:rsid w:val="00325DC3"/>
    <w:rsid w:val="003354EB"/>
    <w:rsid w:val="00346197"/>
    <w:rsid w:val="0035235E"/>
    <w:rsid w:val="00353099"/>
    <w:rsid w:val="00354633"/>
    <w:rsid w:val="003554D7"/>
    <w:rsid w:val="00356F65"/>
    <w:rsid w:val="003625E3"/>
    <w:rsid w:val="00367620"/>
    <w:rsid w:val="0037013F"/>
    <w:rsid w:val="00375170"/>
    <w:rsid w:val="00377296"/>
    <w:rsid w:val="00386FC6"/>
    <w:rsid w:val="00390F44"/>
    <w:rsid w:val="00391DAD"/>
    <w:rsid w:val="00392DBD"/>
    <w:rsid w:val="00395CFE"/>
    <w:rsid w:val="003A3101"/>
    <w:rsid w:val="003A3A5A"/>
    <w:rsid w:val="003A7453"/>
    <w:rsid w:val="003A7871"/>
    <w:rsid w:val="003B308F"/>
    <w:rsid w:val="003B6B2A"/>
    <w:rsid w:val="003C7DE7"/>
    <w:rsid w:val="003D0F77"/>
    <w:rsid w:val="003D4F1A"/>
    <w:rsid w:val="003E2854"/>
    <w:rsid w:val="003F47C0"/>
    <w:rsid w:val="003F5FC7"/>
    <w:rsid w:val="00406475"/>
    <w:rsid w:val="00414640"/>
    <w:rsid w:val="00421AD7"/>
    <w:rsid w:val="00421B66"/>
    <w:rsid w:val="00421B87"/>
    <w:rsid w:val="0042249C"/>
    <w:rsid w:val="004247D5"/>
    <w:rsid w:val="004254B5"/>
    <w:rsid w:val="004267B1"/>
    <w:rsid w:val="00431D19"/>
    <w:rsid w:val="00432C1C"/>
    <w:rsid w:val="00436C9A"/>
    <w:rsid w:val="00437C3B"/>
    <w:rsid w:val="00446E72"/>
    <w:rsid w:val="0045047B"/>
    <w:rsid w:val="00452042"/>
    <w:rsid w:val="00453328"/>
    <w:rsid w:val="00454D74"/>
    <w:rsid w:val="00455BAD"/>
    <w:rsid w:val="00462B6A"/>
    <w:rsid w:val="0046561C"/>
    <w:rsid w:val="00475E0D"/>
    <w:rsid w:val="00483446"/>
    <w:rsid w:val="00487A72"/>
    <w:rsid w:val="004A7107"/>
    <w:rsid w:val="004C1C06"/>
    <w:rsid w:val="004C6012"/>
    <w:rsid w:val="004D6417"/>
    <w:rsid w:val="004E0F68"/>
    <w:rsid w:val="004E2ACF"/>
    <w:rsid w:val="004E7BB2"/>
    <w:rsid w:val="004F055D"/>
    <w:rsid w:val="004F1FD4"/>
    <w:rsid w:val="004F3139"/>
    <w:rsid w:val="004F67D1"/>
    <w:rsid w:val="004F6C15"/>
    <w:rsid w:val="00500FF4"/>
    <w:rsid w:val="00504EBB"/>
    <w:rsid w:val="00507D6A"/>
    <w:rsid w:val="00522EBE"/>
    <w:rsid w:val="005256BF"/>
    <w:rsid w:val="00535262"/>
    <w:rsid w:val="00536161"/>
    <w:rsid w:val="00544EA3"/>
    <w:rsid w:val="0055384A"/>
    <w:rsid w:val="0055573E"/>
    <w:rsid w:val="00556033"/>
    <w:rsid w:val="00563366"/>
    <w:rsid w:val="00565D98"/>
    <w:rsid w:val="00572ED2"/>
    <w:rsid w:val="00573A4C"/>
    <w:rsid w:val="00576FCC"/>
    <w:rsid w:val="0058263C"/>
    <w:rsid w:val="0058285F"/>
    <w:rsid w:val="0058490E"/>
    <w:rsid w:val="005932A1"/>
    <w:rsid w:val="0059636A"/>
    <w:rsid w:val="005A1BE6"/>
    <w:rsid w:val="005A1CCA"/>
    <w:rsid w:val="005A302F"/>
    <w:rsid w:val="005A7C76"/>
    <w:rsid w:val="005A7E80"/>
    <w:rsid w:val="005B18EC"/>
    <w:rsid w:val="005B7A80"/>
    <w:rsid w:val="005C0A19"/>
    <w:rsid w:val="005C57BD"/>
    <w:rsid w:val="005C7F8F"/>
    <w:rsid w:val="005D139E"/>
    <w:rsid w:val="005D2522"/>
    <w:rsid w:val="005D4291"/>
    <w:rsid w:val="005E30D6"/>
    <w:rsid w:val="005E32B5"/>
    <w:rsid w:val="005E4910"/>
    <w:rsid w:val="005E6B6A"/>
    <w:rsid w:val="005F15A0"/>
    <w:rsid w:val="005F4C98"/>
    <w:rsid w:val="005F6C2D"/>
    <w:rsid w:val="00602945"/>
    <w:rsid w:val="006060F9"/>
    <w:rsid w:val="00607EBD"/>
    <w:rsid w:val="00620331"/>
    <w:rsid w:val="00621682"/>
    <w:rsid w:val="00631827"/>
    <w:rsid w:val="006342D5"/>
    <w:rsid w:val="00634E3E"/>
    <w:rsid w:val="00651D91"/>
    <w:rsid w:val="0065246F"/>
    <w:rsid w:val="006566D0"/>
    <w:rsid w:val="006613C6"/>
    <w:rsid w:val="006633C8"/>
    <w:rsid w:val="00663474"/>
    <w:rsid w:val="006653B8"/>
    <w:rsid w:val="00672A4D"/>
    <w:rsid w:val="00672CAC"/>
    <w:rsid w:val="00677B2F"/>
    <w:rsid w:val="0068529A"/>
    <w:rsid w:val="0069406D"/>
    <w:rsid w:val="00694589"/>
    <w:rsid w:val="006A03D6"/>
    <w:rsid w:val="006A24D3"/>
    <w:rsid w:val="006A5718"/>
    <w:rsid w:val="006A649D"/>
    <w:rsid w:val="006B2C9B"/>
    <w:rsid w:val="006B3122"/>
    <w:rsid w:val="006B7949"/>
    <w:rsid w:val="006C2BE8"/>
    <w:rsid w:val="006C65BC"/>
    <w:rsid w:val="006D01BA"/>
    <w:rsid w:val="006D0312"/>
    <w:rsid w:val="006D0A6F"/>
    <w:rsid w:val="006D0EA4"/>
    <w:rsid w:val="006D2CF4"/>
    <w:rsid w:val="006D531E"/>
    <w:rsid w:val="006E04CB"/>
    <w:rsid w:val="006E1360"/>
    <w:rsid w:val="006E3A6A"/>
    <w:rsid w:val="006E5E71"/>
    <w:rsid w:val="006E64C6"/>
    <w:rsid w:val="00707761"/>
    <w:rsid w:val="00716011"/>
    <w:rsid w:val="0072249C"/>
    <w:rsid w:val="00723438"/>
    <w:rsid w:val="007302A5"/>
    <w:rsid w:val="00730B84"/>
    <w:rsid w:val="0073281F"/>
    <w:rsid w:val="0073336D"/>
    <w:rsid w:val="007348E3"/>
    <w:rsid w:val="00734C6C"/>
    <w:rsid w:val="00740E2F"/>
    <w:rsid w:val="007438C4"/>
    <w:rsid w:val="0075025F"/>
    <w:rsid w:val="00750A3D"/>
    <w:rsid w:val="00751777"/>
    <w:rsid w:val="007526EF"/>
    <w:rsid w:val="007573F6"/>
    <w:rsid w:val="007606F2"/>
    <w:rsid w:val="00762DBC"/>
    <w:rsid w:val="0076506A"/>
    <w:rsid w:val="007653A5"/>
    <w:rsid w:val="00765E6C"/>
    <w:rsid w:val="007661E3"/>
    <w:rsid w:val="00772856"/>
    <w:rsid w:val="00772B49"/>
    <w:rsid w:val="007803D5"/>
    <w:rsid w:val="00783EE4"/>
    <w:rsid w:val="00791630"/>
    <w:rsid w:val="007A0941"/>
    <w:rsid w:val="007A3762"/>
    <w:rsid w:val="007A7075"/>
    <w:rsid w:val="007B0724"/>
    <w:rsid w:val="007B4EDE"/>
    <w:rsid w:val="007C2E52"/>
    <w:rsid w:val="007C4F95"/>
    <w:rsid w:val="007C5AAB"/>
    <w:rsid w:val="007C63DB"/>
    <w:rsid w:val="007C6AFE"/>
    <w:rsid w:val="007D484A"/>
    <w:rsid w:val="007E5B52"/>
    <w:rsid w:val="007F55FA"/>
    <w:rsid w:val="007F5762"/>
    <w:rsid w:val="007F6F13"/>
    <w:rsid w:val="008035CC"/>
    <w:rsid w:val="008205CE"/>
    <w:rsid w:val="00824AD5"/>
    <w:rsid w:val="00832857"/>
    <w:rsid w:val="00835106"/>
    <w:rsid w:val="0083581A"/>
    <w:rsid w:val="00837DC6"/>
    <w:rsid w:val="00841E05"/>
    <w:rsid w:val="00842045"/>
    <w:rsid w:val="00842E9F"/>
    <w:rsid w:val="00843E09"/>
    <w:rsid w:val="00844AA8"/>
    <w:rsid w:val="0085632D"/>
    <w:rsid w:val="00860927"/>
    <w:rsid w:val="00860BED"/>
    <w:rsid w:val="00862736"/>
    <w:rsid w:val="008630BD"/>
    <w:rsid w:val="0087133D"/>
    <w:rsid w:val="00875BBB"/>
    <w:rsid w:val="00881511"/>
    <w:rsid w:val="00881513"/>
    <w:rsid w:val="00886112"/>
    <w:rsid w:val="00886676"/>
    <w:rsid w:val="00886977"/>
    <w:rsid w:val="00890806"/>
    <w:rsid w:val="00891563"/>
    <w:rsid w:val="00892CA4"/>
    <w:rsid w:val="00894745"/>
    <w:rsid w:val="00895F44"/>
    <w:rsid w:val="008A0D6F"/>
    <w:rsid w:val="008A6D8F"/>
    <w:rsid w:val="008A7C5B"/>
    <w:rsid w:val="008B0D14"/>
    <w:rsid w:val="008D161E"/>
    <w:rsid w:val="008D5A80"/>
    <w:rsid w:val="008D6C7D"/>
    <w:rsid w:val="008E12B2"/>
    <w:rsid w:val="008E3630"/>
    <w:rsid w:val="008E59C6"/>
    <w:rsid w:val="008E64BE"/>
    <w:rsid w:val="008F1FC7"/>
    <w:rsid w:val="008F33C8"/>
    <w:rsid w:val="008F4C72"/>
    <w:rsid w:val="008F7EB7"/>
    <w:rsid w:val="00901614"/>
    <w:rsid w:val="00912E20"/>
    <w:rsid w:val="009130FE"/>
    <w:rsid w:val="00915FE1"/>
    <w:rsid w:val="00916A11"/>
    <w:rsid w:val="00917B1B"/>
    <w:rsid w:val="0092028F"/>
    <w:rsid w:val="00925743"/>
    <w:rsid w:val="009260BC"/>
    <w:rsid w:val="00934AA6"/>
    <w:rsid w:val="00946C37"/>
    <w:rsid w:val="0094781A"/>
    <w:rsid w:val="0095288D"/>
    <w:rsid w:val="00952B3C"/>
    <w:rsid w:val="009665C1"/>
    <w:rsid w:val="00977607"/>
    <w:rsid w:val="00977B00"/>
    <w:rsid w:val="00982E58"/>
    <w:rsid w:val="00987A9E"/>
    <w:rsid w:val="00990425"/>
    <w:rsid w:val="0099249D"/>
    <w:rsid w:val="0099284E"/>
    <w:rsid w:val="00996977"/>
    <w:rsid w:val="009A1C1D"/>
    <w:rsid w:val="009A215F"/>
    <w:rsid w:val="009A59CC"/>
    <w:rsid w:val="009C4E6E"/>
    <w:rsid w:val="009C5819"/>
    <w:rsid w:val="009C709E"/>
    <w:rsid w:val="009D0B2B"/>
    <w:rsid w:val="009D60F5"/>
    <w:rsid w:val="009D6DB4"/>
    <w:rsid w:val="009E54D0"/>
    <w:rsid w:val="009F3E9C"/>
    <w:rsid w:val="009F4DB4"/>
    <w:rsid w:val="009F57C6"/>
    <w:rsid w:val="00A1520C"/>
    <w:rsid w:val="00A2264F"/>
    <w:rsid w:val="00A26DDF"/>
    <w:rsid w:val="00A31A20"/>
    <w:rsid w:val="00A41AEC"/>
    <w:rsid w:val="00A4267C"/>
    <w:rsid w:val="00A44BF3"/>
    <w:rsid w:val="00A45DA5"/>
    <w:rsid w:val="00A4616C"/>
    <w:rsid w:val="00A46A05"/>
    <w:rsid w:val="00A516E4"/>
    <w:rsid w:val="00A51AC7"/>
    <w:rsid w:val="00A51DEC"/>
    <w:rsid w:val="00A54802"/>
    <w:rsid w:val="00A578FF"/>
    <w:rsid w:val="00A606F4"/>
    <w:rsid w:val="00A61AA8"/>
    <w:rsid w:val="00A61DAB"/>
    <w:rsid w:val="00A62122"/>
    <w:rsid w:val="00A6256F"/>
    <w:rsid w:val="00A64E15"/>
    <w:rsid w:val="00A64FEB"/>
    <w:rsid w:val="00A659C6"/>
    <w:rsid w:val="00A66202"/>
    <w:rsid w:val="00A73061"/>
    <w:rsid w:val="00A74EAB"/>
    <w:rsid w:val="00A80E27"/>
    <w:rsid w:val="00A93D12"/>
    <w:rsid w:val="00A971B6"/>
    <w:rsid w:val="00AA288C"/>
    <w:rsid w:val="00AA35B2"/>
    <w:rsid w:val="00AA431F"/>
    <w:rsid w:val="00AB0C71"/>
    <w:rsid w:val="00AB2435"/>
    <w:rsid w:val="00AB75CC"/>
    <w:rsid w:val="00AC105E"/>
    <w:rsid w:val="00AC160B"/>
    <w:rsid w:val="00AC3897"/>
    <w:rsid w:val="00AC7254"/>
    <w:rsid w:val="00AD2E0F"/>
    <w:rsid w:val="00AD48DA"/>
    <w:rsid w:val="00AE7EB4"/>
    <w:rsid w:val="00AF627D"/>
    <w:rsid w:val="00B014A4"/>
    <w:rsid w:val="00B01688"/>
    <w:rsid w:val="00B01950"/>
    <w:rsid w:val="00B0423B"/>
    <w:rsid w:val="00B0624F"/>
    <w:rsid w:val="00B06BA7"/>
    <w:rsid w:val="00B07706"/>
    <w:rsid w:val="00B128FB"/>
    <w:rsid w:val="00B14AD7"/>
    <w:rsid w:val="00B17973"/>
    <w:rsid w:val="00B24BFE"/>
    <w:rsid w:val="00B24EEB"/>
    <w:rsid w:val="00B2698A"/>
    <w:rsid w:val="00B26C65"/>
    <w:rsid w:val="00B27787"/>
    <w:rsid w:val="00B37C99"/>
    <w:rsid w:val="00B50A7A"/>
    <w:rsid w:val="00B53604"/>
    <w:rsid w:val="00B54486"/>
    <w:rsid w:val="00B5556C"/>
    <w:rsid w:val="00B62101"/>
    <w:rsid w:val="00B62C8E"/>
    <w:rsid w:val="00B64FD2"/>
    <w:rsid w:val="00B67F21"/>
    <w:rsid w:val="00B72CA9"/>
    <w:rsid w:val="00B73640"/>
    <w:rsid w:val="00B741C0"/>
    <w:rsid w:val="00B7435A"/>
    <w:rsid w:val="00B81E33"/>
    <w:rsid w:val="00B829E3"/>
    <w:rsid w:val="00B849FF"/>
    <w:rsid w:val="00B870A4"/>
    <w:rsid w:val="00BA68CF"/>
    <w:rsid w:val="00BB0F7D"/>
    <w:rsid w:val="00BB2A53"/>
    <w:rsid w:val="00BC026F"/>
    <w:rsid w:val="00BC1199"/>
    <w:rsid w:val="00BC301F"/>
    <w:rsid w:val="00BC3957"/>
    <w:rsid w:val="00BD188C"/>
    <w:rsid w:val="00BD3CC7"/>
    <w:rsid w:val="00BD4818"/>
    <w:rsid w:val="00BD509F"/>
    <w:rsid w:val="00BD6283"/>
    <w:rsid w:val="00BD67F8"/>
    <w:rsid w:val="00BF1CB4"/>
    <w:rsid w:val="00C029F4"/>
    <w:rsid w:val="00C02E69"/>
    <w:rsid w:val="00C04716"/>
    <w:rsid w:val="00C05DA3"/>
    <w:rsid w:val="00C12B8F"/>
    <w:rsid w:val="00C13EE2"/>
    <w:rsid w:val="00C14081"/>
    <w:rsid w:val="00C15682"/>
    <w:rsid w:val="00C159A5"/>
    <w:rsid w:val="00C255C8"/>
    <w:rsid w:val="00C264F3"/>
    <w:rsid w:val="00C27908"/>
    <w:rsid w:val="00C4080B"/>
    <w:rsid w:val="00C419C7"/>
    <w:rsid w:val="00C43E69"/>
    <w:rsid w:val="00C5082F"/>
    <w:rsid w:val="00C5409C"/>
    <w:rsid w:val="00C5585E"/>
    <w:rsid w:val="00C5590C"/>
    <w:rsid w:val="00C56A98"/>
    <w:rsid w:val="00C5758E"/>
    <w:rsid w:val="00C63DAB"/>
    <w:rsid w:val="00C64BBA"/>
    <w:rsid w:val="00C67FB0"/>
    <w:rsid w:val="00C76C8A"/>
    <w:rsid w:val="00C77D7B"/>
    <w:rsid w:val="00C863EA"/>
    <w:rsid w:val="00C877F1"/>
    <w:rsid w:val="00C92C6F"/>
    <w:rsid w:val="00C94F8F"/>
    <w:rsid w:val="00CA0B80"/>
    <w:rsid w:val="00CA1152"/>
    <w:rsid w:val="00CA1416"/>
    <w:rsid w:val="00CA1C37"/>
    <w:rsid w:val="00CA2D37"/>
    <w:rsid w:val="00CA3B0F"/>
    <w:rsid w:val="00CA7C45"/>
    <w:rsid w:val="00CB5810"/>
    <w:rsid w:val="00CB7499"/>
    <w:rsid w:val="00CB7DB2"/>
    <w:rsid w:val="00CC1053"/>
    <w:rsid w:val="00CC13BA"/>
    <w:rsid w:val="00CC1D5C"/>
    <w:rsid w:val="00CC598E"/>
    <w:rsid w:val="00CD062E"/>
    <w:rsid w:val="00CD13C8"/>
    <w:rsid w:val="00CD5BCA"/>
    <w:rsid w:val="00CD621A"/>
    <w:rsid w:val="00CE203F"/>
    <w:rsid w:val="00CE20A0"/>
    <w:rsid w:val="00CE4FDB"/>
    <w:rsid w:val="00CE73DB"/>
    <w:rsid w:val="00CF2DB8"/>
    <w:rsid w:val="00D02B63"/>
    <w:rsid w:val="00D063E0"/>
    <w:rsid w:val="00D07147"/>
    <w:rsid w:val="00D07A15"/>
    <w:rsid w:val="00D1036A"/>
    <w:rsid w:val="00D14F86"/>
    <w:rsid w:val="00D16363"/>
    <w:rsid w:val="00D20855"/>
    <w:rsid w:val="00D2172D"/>
    <w:rsid w:val="00D21E9E"/>
    <w:rsid w:val="00D22607"/>
    <w:rsid w:val="00D22FEF"/>
    <w:rsid w:val="00D252CA"/>
    <w:rsid w:val="00D2667A"/>
    <w:rsid w:val="00D26B49"/>
    <w:rsid w:val="00D33498"/>
    <w:rsid w:val="00D35688"/>
    <w:rsid w:val="00D3608B"/>
    <w:rsid w:val="00D3793B"/>
    <w:rsid w:val="00D408FA"/>
    <w:rsid w:val="00D40B4F"/>
    <w:rsid w:val="00D43072"/>
    <w:rsid w:val="00D4394E"/>
    <w:rsid w:val="00D4796F"/>
    <w:rsid w:val="00D47DF0"/>
    <w:rsid w:val="00D54077"/>
    <w:rsid w:val="00D5515C"/>
    <w:rsid w:val="00D62897"/>
    <w:rsid w:val="00D63EF9"/>
    <w:rsid w:val="00D66146"/>
    <w:rsid w:val="00D66AE4"/>
    <w:rsid w:val="00D703CD"/>
    <w:rsid w:val="00D806C1"/>
    <w:rsid w:val="00D80EEB"/>
    <w:rsid w:val="00D8231E"/>
    <w:rsid w:val="00D86AD5"/>
    <w:rsid w:val="00D930F0"/>
    <w:rsid w:val="00D93654"/>
    <w:rsid w:val="00D970F9"/>
    <w:rsid w:val="00DB3140"/>
    <w:rsid w:val="00DB74AE"/>
    <w:rsid w:val="00DC4D21"/>
    <w:rsid w:val="00DC6044"/>
    <w:rsid w:val="00DC6C69"/>
    <w:rsid w:val="00DD2ED3"/>
    <w:rsid w:val="00DD55FC"/>
    <w:rsid w:val="00DE11AB"/>
    <w:rsid w:val="00DE3B11"/>
    <w:rsid w:val="00DE586F"/>
    <w:rsid w:val="00DE5981"/>
    <w:rsid w:val="00DF1301"/>
    <w:rsid w:val="00DF35C2"/>
    <w:rsid w:val="00DF4936"/>
    <w:rsid w:val="00DF4EFC"/>
    <w:rsid w:val="00DF7BBE"/>
    <w:rsid w:val="00E04099"/>
    <w:rsid w:val="00E10056"/>
    <w:rsid w:val="00E21F43"/>
    <w:rsid w:val="00E22866"/>
    <w:rsid w:val="00E22A70"/>
    <w:rsid w:val="00E24143"/>
    <w:rsid w:val="00E34EC9"/>
    <w:rsid w:val="00E35FEE"/>
    <w:rsid w:val="00E3732E"/>
    <w:rsid w:val="00E41BF8"/>
    <w:rsid w:val="00E436BA"/>
    <w:rsid w:val="00E43E52"/>
    <w:rsid w:val="00E44AD6"/>
    <w:rsid w:val="00E50E2A"/>
    <w:rsid w:val="00E514FE"/>
    <w:rsid w:val="00E56326"/>
    <w:rsid w:val="00E6220E"/>
    <w:rsid w:val="00E63397"/>
    <w:rsid w:val="00E65079"/>
    <w:rsid w:val="00E664F3"/>
    <w:rsid w:val="00E711B9"/>
    <w:rsid w:val="00E73C7C"/>
    <w:rsid w:val="00E81AF8"/>
    <w:rsid w:val="00E8260E"/>
    <w:rsid w:val="00E836CE"/>
    <w:rsid w:val="00E85076"/>
    <w:rsid w:val="00E867B5"/>
    <w:rsid w:val="00E92988"/>
    <w:rsid w:val="00E93F12"/>
    <w:rsid w:val="00E9414D"/>
    <w:rsid w:val="00E94957"/>
    <w:rsid w:val="00EA02FD"/>
    <w:rsid w:val="00EA16B0"/>
    <w:rsid w:val="00EA38FA"/>
    <w:rsid w:val="00EB16DB"/>
    <w:rsid w:val="00EB3B7B"/>
    <w:rsid w:val="00EB46DA"/>
    <w:rsid w:val="00EC374B"/>
    <w:rsid w:val="00EC48D5"/>
    <w:rsid w:val="00EC754F"/>
    <w:rsid w:val="00ED085D"/>
    <w:rsid w:val="00ED22D6"/>
    <w:rsid w:val="00ED270E"/>
    <w:rsid w:val="00ED29DB"/>
    <w:rsid w:val="00ED2C23"/>
    <w:rsid w:val="00ED6FEB"/>
    <w:rsid w:val="00EE0AD0"/>
    <w:rsid w:val="00EE11D8"/>
    <w:rsid w:val="00EE2665"/>
    <w:rsid w:val="00EE704F"/>
    <w:rsid w:val="00EF4B36"/>
    <w:rsid w:val="00EF561B"/>
    <w:rsid w:val="00EF689B"/>
    <w:rsid w:val="00F04948"/>
    <w:rsid w:val="00F052A5"/>
    <w:rsid w:val="00F109ED"/>
    <w:rsid w:val="00F25CBB"/>
    <w:rsid w:val="00F3265E"/>
    <w:rsid w:val="00F342BD"/>
    <w:rsid w:val="00F4278F"/>
    <w:rsid w:val="00F4472B"/>
    <w:rsid w:val="00F519CC"/>
    <w:rsid w:val="00F52FFE"/>
    <w:rsid w:val="00F60094"/>
    <w:rsid w:val="00F64645"/>
    <w:rsid w:val="00F6724A"/>
    <w:rsid w:val="00F70A01"/>
    <w:rsid w:val="00F82AE8"/>
    <w:rsid w:val="00F837B1"/>
    <w:rsid w:val="00F96542"/>
    <w:rsid w:val="00F97EDC"/>
    <w:rsid w:val="00FA6AA8"/>
    <w:rsid w:val="00FB0963"/>
    <w:rsid w:val="00FB4F0C"/>
    <w:rsid w:val="00FC0459"/>
    <w:rsid w:val="00FC0826"/>
    <w:rsid w:val="00FD0C78"/>
    <w:rsid w:val="00FD5F29"/>
    <w:rsid w:val="00FE200A"/>
    <w:rsid w:val="00FF0944"/>
    <w:rsid w:val="00FF200E"/>
    <w:rsid w:val="00FF2CF5"/>
    <w:rsid w:val="00FF5ABC"/>
    <w:rsid w:val="00FF74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DF177"/>
  <w15:docId w15:val="{496672ED-221C-4014-9D19-4E954E96E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08B"/>
    <w:pPr>
      <w:tabs>
        <w:tab w:val="left" w:pos="1615"/>
      </w:tabs>
      <w:spacing w:line="240" w:lineRule="auto"/>
    </w:pPr>
    <w:rPr>
      <w:rFonts w:ascii="Calibri Light" w:hAnsi="Calibri Light"/>
    </w:rPr>
  </w:style>
  <w:style w:type="paragraph" w:styleId="Ttulo1">
    <w:name w:val="heading 1"/>
    <w:basedOn w:val="Normal"/>
    <w:next w:val="Normal"/>
    <w:link w:val="Ttulo1Char"/>
    <w:uiPriority w:val="9"/>
    <w:qFormat/>
    <w:rsid w:val="007661E3"/>
    <w:pPr>
      <w:spacing w:before="120"/>
      <w:outlineLvl w:val="0"/>
    </w:pPr>
    <w:rPr>
      <w:rFonts w:ascii="Calibri" w:hAnsi="Calibri"/>
      <w:b/>
      <w:color w:val="0C4A87" w:themeColor="accent2"/>
      <w:sz w:val="44"/>
      <w:szCs w:val="44"/>
    </w:rPr>
  </w:style>
  <w:style w:type="paragraph" w:styleId="Ttulo2">
    <w:name w:val="heading 2"/>
    <w:basedOn w:val="Normal"/>
    <w:next w:val="Normal"/>
    <w:link w:val="Ttulo2Char"/>
    <w:uiPriority w:val="9"/>
    <w:unhideWhenUsed/>
    <w:qFormat/>
    <w:rsid w:val="007661E3"/>
    <w:pPr>
      <w:spacing w:before="480"/>
      <w:jc w:val="both"/>
      <w:outlineLvl w:val="1"/>
    </w:pPr>
    <w:rPr>
      <w:rFonts w:ascii="Calibri" w:hAnsi="Calibri"/>
      <w:b/>
      <w:color w:val="4875BD" w:themeColor="accent1"/>
      <w:sz w:val="32"/>
      <w:szCs w:val="32"/>
    </w:rPr>
  </w:style>
  <w:style w:type="paragraph" w:styleId="Ttulo3">
    <w:name w:val="heading 3"/>
    <w:basedOn w:val="Normal"/>
    <w:next w:val="Normal"/>
    <w:link w:val="Ttulo3Char"/>
    <w:uiPriority w:val="9"/>
    <w:unhideWhenUsed/>
    <w:qFormat/>
    <w:rsid w:val="007661E3"/>
    <w:pPr>
      <w:spacing w:before="480"/>
      <w:jc w:val="both"/>
      <w:outlineLvl w:val="2"/>
    </w:pPr>
    <w:rPr>
      <w:rFonts w:ascii="Calibri" w:hAnsi="Calibri"/>
      <w:color w:val="3692ED" w:themeColor="accent2" w:themeTint="99"/>
      <w:sz w:val="28"/>
      <w:szCs w:val="28"/>
    </w:rPr>
  </w:style>
  <w:style w:type="paragraph" w:styleId="Ttulo4">
    <w:name w:val="heading 4"/>
    <w:basedOn w:val="Normal"/>
    <w:next w:val="Normal"/>
    <w:link w:val="Ttulo4Char"/>
    <w:uiPriority w:val="9"/>
    <w:unhideWhenUsed/>
    <w:qFormat/>
    <w:rsid w:val="007661E3"/>
    <w:pPr>
      <w:keepNext/>
      <w:keepLines/>
      <w:spacing w:before="360"/>
      <w:jc w:val="both"/>
      <w:outlineLvl w:val="3"/>
    </w:pPr>
    <w:rPr>
      <w:rFonts w:ascii="Calibri" w:eastAsiaTheme="majorEastAsia" w:hAnsi="Calibri" w:cstheme="majorBidi"/>
      <w:iCs/>
      <w:color w:val="79B6F3" w:themeColor="accent2" w:themeTint="66"/>
      <w:sz w:val="24"/>
    </w:rPr>
  </w:style>
  <w:style w:type="paragraph" w:styleId="Ttulo5">
    <w:name w:val="heading 5"/>
    <w:basedOn w:val="Normal"/>
    <w:next w:val="Normal"/>
    <w:link w:val="Ttulo5Char"/>
    <w:uiPriority w:val="9"/>
    <w:unhideWhenUsed/>
    <w:qFormat/>
    <w:rsid w:val="007653A5"/>
    <w:pPr>
      <w:keepNext/>
      <w:keepLines/>
      <w:spacing w:before="40" w:after="0"/>
      <w:outlineLvl w:val="4"/>
    </w:pPr>
    <w:rPr>
      <w:rFonts w:asciiTheme="majorHAnsi" w:eastAsiaTheme="majorEastAsia" w:hAnsiTheme="majorHAnsi" w:cstheme="majorBidi"/>
      <w:color w:val="34578F" w:themeColor="accent1" w:themeShade="BF"/>
    </w:rPr>
  </w:style>
  <w:style w:type="paragraph" w:styleId="Ttulo6">
    <w:name w:val="heading 6"/>
    <w:basedOn w:val="Normal"/>
    <w:next w:val="Normal"/>
    <w:link w:val="Ttulo6Char"/>
    <w:uiPriority w:val="9"/>
    <w:unhideWhenUsed/>
    <w:qFormat/>
    <w:rsid w:val="007653A5"/>
    <w:pPr>
      <w:keepNext/>
      <w:keepLines/>
      <w:spacing w:before="40" w:after="0"/>
      <w:outlineLvl w:val="5"/>
    </w:pPr>
    <w:rPr>
      <w:rFonts w:asciiTheme="majorHAnsi" w:eastAsiaTheme="majorEastAsia" w:hAnsiTheme="majorHAnsi" w:cstheme="majorBidi"/>
      <w:color w:val="22395F" w:themeColor="accent1" w:themeShade="7F"/>
    </w:rPr>
  </w:style>
  <w:style w:type="paragraph" w:styleId="Ttulo7">
    <w:name w:val="heading 7"/>
    <w:basedOn w:val="Normal"/>
    <w:next w:val="Normal"/>
    <w:link w:val="Ttulo7Char"/>
    <w:uiPriority w:val="9"/>
    <w:semiHidden/>
    <w:unhideWhenUsed/>
    <w:qFormat/>
    <w:rsid w:val="007653A5"/>
    <w:pPr>
      <w:keepNext/>
      <w:keepLines/>
      <w:spacing w:before="40" w:after="0"/>
      <w:outlineLvl w:val="6"/>
    </w:pPr>
    <w:rPr>
      <w:rFonts w:asciiTheme="majorHAnsi" w:eastAsiaTheme="majorEastAsia" w:hAnsiTheme="majorHAnsi" w:cstheme="majorBidi"/>
      <w:i/>
      <w:iCs/>
      <w:color w:val="22395F" w:themeColor="accent1" w:themeShade="7F"/>
    </w:rPr>
  </w:style>
  <w:style w:type="paragraph" w:styleId="Ttulo8">
    <w:name w:val="heading 8"/>
    <w:basedOn w:val="Normal"/>
    <w:next w:val="Normal"/>
    <w:link w:val="Ttulo8Char"/>
    <w:uiPriority w:val="9"/>
    <w:semiHidden/>
    <w:unhideWhenUsed/>
    <w:qFormat/>
    <w:rsid w:val="007653A5"/>
    <w:pPr>
      <w:keepNext/>
      <w:keepLines/>
      <w:spacing w:before="40" w:after="0"/>
      <w:outlineLvl w:val="7"/>
    </w:pPr>
    <w:rPr>
      <w:rFonts w:asciiTheme="majorHAnsi" w:eastAsiaTheme="majorEastAsia" w:hAnsiTheme="majorHAnsi" w:cstheme="majorBidi"/>
      <w:color w:val="638AC7" w:themeColor="text1" w:themeTint="D8"/>
      <w:sz w:val="21"/>
      <w:szCs w:val="21"/>
    </w:rPr>
  </w:style>
  <w:style w:type="paragraph" w:styleId="Ttulo9">
    <w:name w:val="heading 9"/>
    <w:basedOn w:val="Normal"/>
    <w:next w:val="Normal"/>
    <w:link w:val="Ttulo9Char"/>
    <w:uiPriority w:val="9"/>
    <w:semiHidden/>
    <w:unhideWhenUsed/>
    <w:qFormat/>
    <w:rsid w:val="007653A5"/>
    <w:pPr>
      <w:keepNext/>
      <w:keepLines/>
      <w:spacing w:before="40" w:after="0"/>
      <w:outlineLvl w:val="8"/>
    </w:pPr>
    <w:rPr>
      <w:rFonts w:asciiTheme="majorHAnsi" w:eastAsiaTheme="majorEastAsia" w:hAnsiTheme="majorHAnsi" w:cstheme="majorBidi"/>
      <w:i/>
      <w:iCs/>
      <w:color w:val="638AC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661E3"/>
    <w:rPr>
      <w:rFonts w:ascii="Calibri" w:hAnsi="Calibri"/>
      <w:b/>
      <w:color w:val="0C4A87" w:themeColor="accent2"/>
      <w:sz w:val="44"/>
      <w:szCs w:val="44"/>
    </w:rPr>
  </w:style>
  <w:style w:type="character" w:customStyle="1" w:styleId="Ttulo2Char">
    <w:name w:val="Título 2 Char"/>
    <w:basedOn w:val="Fontepargpadro"/>
    <w:link w:val="Ttulo2"/>
    <w:uiPriority w:val="9"/>
    <w:rsid w:val="007661E3"/>
    <w:rPr>
      <w:rFonts w:ascii="Calibri" w:hAnsi="Calibri"/>
      <w:b/>
      <w:color w:val="4875BD" w:themeColor="accent1"/>
      <w:sz w:val="32"/>
      <w:szCs w:val="32"/>
    </w:rPr>
  </w:style>
  <w:style w:type="character" w:customStyle="1" w:styleId="Ttulo3Char">
    <w:name w:val="Título 3 Char"/>
    <w:basedOn w:val="Fontepargpadro"/>
    <w:link w:val="Ttulo3"/>
    <w:uiPriority w:val="9"/>
    <w:rsid w:val="007661E3"/>
    <w:rPr>
      <w:rFonts w:ascii="Calibri" w:hAnsi="Calibri"/>
      <w:color w:val="3692ED" w:themeColor="accent2" w:themeTint="99"/>
      <w:sz w:val="28"/>
      <w:szCs w:val="28"/>
    </w:rPr>
  </w:style>
  <w:style w:type="paragraph" w:styleId="SemEspaamento">
    <w:name w:val="No Spacing"/>
    <w:aliases w:val="Fonte"/>
    <w:basedOn w:val="Normal"/>
    <w:uiPriority w:val="1"/>
    <w:qFormat/>
    <w:rsid w:val="00AB2435"/>
    <w:pPr>
      <w:jc w:val="center"/>
    </w:pPr>
    <w:rPr>
      <w:rFonts w:ascii="Calibri" w:hAnsi="Calibri"/>
      <w:noProof/>
      <w:sz w:val="16"/>
      <w:szCs w:val="16"/>
      <w:lang w:eastAsia="pt-BR"/>
    </w:rPr>
  </w:style>
  <w:style w:type="paragraph" w:styleId="Textodebalo">
    <w:name w:val="Balloon Text"/>
    <w:basedOn w:val="Normal"/>
    <w:link w:val="TextodebaloChar"/>
    <w:uiPriority w:val="99"/>
    <w:semiHidden/>
    <w:unhideWhenUsed/>
    <w:rsid w:val="003A3A5A"/>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A3A5A"/>
    <w:rPr>
      <w:rFonts w:ascii="Segoe UI" w:hAnsi="Segoe UI" w:cs="Segoe UI"/>
      <w:sz w:val="18"/>
      <w:szCs w:val="18"/>
    </w:rPr>
  </w:style>
  <w:style w:type="table" w:styleId="Tabelacomgrade">
    <w:name w:val="Table Grid"/>
    <w:basedOn w:val="Tabelanormal"/>
    <w:uiPriority w:val="39"/>
    <w:rsid w:val="00D70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1122E8"/>
    <w:pPr>
      <w:tabs>
        <w:tab w:val="clear" w:pos="1615"/>
        <w:tab w:val="center" w:pos="4252"/>
        <w:tab w:val="right" w:pos="8504"/>
      </w:tabs>
      <w:spacing w:after="0"/>
    </w:pPr>
  </w:style>
  <w:style w:type="character" w:customStyle="1" w:styleId="CabealhoChar">
    <w:name w:val="Cabeçalho Char"/>
    <w:basedOn w:val="Fontepargpadro"/>
    <w:link w:val="Cabealho"/>
    <w:uiPriority w:val="99"/>
    <w:rsid w:val="001122E8"/>
  </w:style>
  <w:style w:type="paragraph" w:styleId="Rodap">
    <w:name w:val="footer"/>
    <w:basedOn w:val="Normal"/>
    <w:link w:val="RodapChar"/>
    <w:uiPriority w:val="99"/>
    <w:unhideWhenUsed/>
    <w:rsid w:val="001122E8"/>
    <w:pPr>
      <w:tabs>
        <w:tab w:val="clear" w:pos="1615"/>
        <w:tab w:val="center" w:pos="4252"/>
        <w:tab w:val="right" w:pos="8504"/>
      </w:tabs>
      <w:spacing w:after="0"/>
    </w:pPr>
  </w:style>
  <w:style w:type="character" w:customStyle="1" w:styleId="RodapChar">
    <w:name w:val="Rodapé Char"/>
    <w:basedOn w:val="Fontepargpadro"/>
    <w:link w:val="Rodap"/>
    <w:uiPriority w:val="99"/>
    <w:rsid w:val="001122E8"/>
  </w:style>
  <w:style w:type="table" w:customStyle="1" w:styleId="TabeladeGrade41">
    <w:name w:val="Tabela de Grade 41"/>
    <w:basedOn w:val="Tabelanormal"/>
    <w:uiPriority w:val="49"/>
    <w:rsid w:val="00E436BA"/>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insideV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insideV w:val="nil"/>
        </w:tcBorders>
        <w:shd w:val="clear" w:color="auto" w:fill="4875BD" w:themeFill="text1"/>
      </w:tcPr>
    </w:tblStylePr>
    <w:tblStylePr w:type="lastRow">
      <w:rPr>
        <w:b/>
        <w:bCs/>
      </w:rPr>
      <w:tblPr/>
      <w:tcPr>
        <w:tcBorders>
          <w:top w:val="double" w:sz="4" w:space="0" w:color="4875BD" w:themeColor="text1"/>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TabeladeGrade4-nfase21">
    <w:name w:val="Tabela de Grade 4 - Ênfase 21"/>
    <w:basedOn w:val="Tabelanormal"/>
    <w:uiPriority w:val="49"/>
    <w:rsid w:val="00E436BA"/>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insideV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insideV w:val="nil"/>
        </w:tcBorders>
        <w:shd w:val="clear" w:color="auto" w:fill="0C4A87" w:themeFill="accent2"/>
      </w:tcPr>
    </w:tblStylePr>
    <w:tblStylePr w:type="lastRow">
      <w:rPr>
        <w:b/>
        <w:bCs/>
      </w:rPr>
      <w:tblPr/>
      <w:tcPr>
        <w:tcBorders>
          <w:top w:val="double" w:sz="4" w:space="0" w:color="0C4A87" w:themeColor="accent2"/>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Grade4-nfase41">
    <w:name w:val="Tabela de Grade 4 - Ênfase 41"/>
    <w:basedOn w:val="Tabelanormal"/>
    <w:uiPriority w:val="49"/>
    <w:rsid w:val="00E436BA"/>
    <w:pPr>
      <w:spacing w:after="0" w:line="240" w:lineRule="auto"/>
    </w:pPr>
    <w:tblPr>
      <w:tblStyleRowBandSize w:val="1"/>
      <w:tblStyleColBandSize w:val="1"/>
      <w:tblBorders>
        <w:top w:val="single" w:sz="4" w:space="0" w:color="B2AEB3" w:themeColor="accent4" w:themeTint="99"/>
        <w:left w:val="single" w:sz="4" w:space="0" w:color="B2AEB3" w:themeColor="accent4" w:themeTint="99"/>
        <w:bottom w:val="single" w:sz="4" w:space="0" w:color="B2AEB3" w:themeColor="accent4" w:themeTint="99"/>
        <w:right w:val="single" w:sz="4" w:space="0" w:color="B2AEB3" w:themeColor="accent4" w:themeTint="99"/>
        <w:insideH w:val="single" w:sz="4" w:space="0" w:color="B2AEB3" w:themeColor="accent4" w:themeTint="99"/>
        <w:insideV w:val="single" w:sz="4" w:space="0" w:color="B2AEB3" w:themeColor="accent4" w:themeTint="99"/>
      </w:tblBorders>
    </w:tblPr>
    <w:tblStylePr w:type="firstRow">
      <w:rPr>
        <w:b/>
        <w:bCs/>
        <w:color w:val="FFFFFF" w:themeColor="background1"/>
      </w:rPr>
      <w:tblPr/>
      <w:tcPr>
        <w:tcBorders>
          <w:top w:val="single" w:sz="4" w:space="0" w:color="7F7981" w:themeColor="accent4"/>
          <w:left w:val="single" w:sz="4" w:space="0" w:color="7F7981" w:themeColor="accent4"/>
          <w:bottom w:val="single" w:sz="4" w:space="0" w:color="7F7981" w:themeColor="accent4"/>
          <w:right w:val="single" w:sz="4" w:space="0" w:color="7F7981" w:themeColor="accent4"/>
          <w:insideH w:val="nil"/>
          <w:insideV w:val="nil"/>
        </w:tcBorders>
        <w:shd w:val="clear" w:color="auto" w:fill="7F7981" w:themeFill="accent4"/>
      </w:tcPr>
    </w:tblStylePr>
    <w:tblStylePr w:type="lastRow">
      <w:rPr>
        <w:b/>
        <w:bCs/>
      </w:rPr>
      <w:tblPr/>
      <w:tcPr>
        <w:tcBorders>
          <w:top w:val="double" w:sz="4" w:space="0" w:color="7F7981" w:themeColor="accent4"/>
        </w:tcBorders>
      </w:tcPr>
    </w:tblStylePr>
    <w:tblStylePr w:type="firstCol">
      <w:rPr>
        <w:b/>
        <w:bCs/>
      </w:rPr>
    </w:tblStylePr>
    <w:tblStylePr w:type="lastCol">
      <w:rPr>
        <w:b/>
        <w:bCs/>
      </w:rPr>
    </w:tblStylePr>
    <w:tblStylePr w:type="band1Vert">
      <w:tblPr/>
      <w:tcPr>
        <w:shd w:val="clear" w:color="auto" w:fill="E5E4E5" w:themeFill="accent4" w:themeFillTint="33"/>
      </w:tcPr>
    </w:tblStylePr>
    <w:tblStylePr w:type="band1Horz">
      <w:tblPr/>
      <w:tcPr>
        <w:shd w:val="clear" w:color="auto" w:fill="E5E4E5" w:themeFill="accent4" w:themeFillTint="33"/>
      </w:tcPr>
    </w:tblStylePr>
  </w:style>
  <w:style w:type="paragraph" w:styleId="NormalWeb">
    <w:name w:val="Normal (Web)"/>
    <w:aliases w:val="Char"/>
    <w:basedOn w:val="Normal"/>
    <w:link w:val="NormalWebChar"/>
    <w:uiPriority w:val="99"/>
    <w:unhideWhenUsed/>
    <w:rsid w:val="00C5585E"/>
    <w:pPr>
      <w:tabs>
        <w:tab w:val="clear" w:pos="1615"/>
      </w:tabs>
      <w:spacing w:before="100" w:beforeAutospacing="1" w:after="100" w:afterAutospacing="1"/>
    </w:pPr>
    <w:rPr>
      <w:rFonts w:ascii="Calibri" w:eastAsia="Times New Roman" w:hAnsi="Calibri" w:cs="Times New Roman"/>
      <w:color w:val="1C407A" w:themeColor="accent3"/>
      <w:sz w:val="28"/>
      <w:szCs w:val="24"/>
      <w:lang w:eastAsia="pt-BR"/>
    </w:rPr>
  </w:style>
  <w:style w:type="paragraph" w:styleId="Ttulo">
    <w:name w:val="Title"/>
    <w:basedOn w:val="Normal"/>
    <w:next w:val="Normal"/>
    <w:link w:val="TtuloChar"/>
    <w:uiPriority w:val="10"/>
    <w:qFormat/>
    <w:rsid w:val="00211C8D"/>
    <w:pPr>
      <w:spacing w:after="0"/>
      <w:contextualSpacing/>
    </w:pPr>
    <w:rPr>
      <w:rFonts w:ascii="Calibri" w:eastAsiaTheme="majorEastAsia" w:hAnsi="Calibri" w:cstheme="majorBidi"/>
      <w:b/>
      <w:spacing w:val="-10"/>
      <w:kern w:val="28"/>
      <w:sz w:val="28"/>
      <w:szCs w:val="56"/>
    </w:rPr>
  </w:style>
  <w:style w:type="character" w:customStyle="1" w:styleId="TtuloChar">
    <w:name w:val="Título Char"/>
    <w:basedOn w:val="Fontepargpadro"/>
    <w:link w:val="Ttulo"/>
    <w:uiPriority w:val="10"/>
    <w:rsid w:val="00211C8D"/>
    <w:rPr>
      <w:rFonts w:ascii="Calibri" w:eastAsiaTheme="majorEastAsia" w:hAnsi="Calibri" w:cstheme="majorBidi"/>
      <w:b/>
      <w:spacing w:val="-10"/>
      <w:kern w:val="28"/>
      <w:sz w:val="28"/>
      <w:szCs w:val="56"/>
    </w:rPr>
  </w:style>
  <w:style w:type="table" w:customStyle="1" w:styleId="TabeladeGrade1Clara1">
    <w:name w:val="Tabela de Grade 1 Clara1"/>
    <w:basedOn w:val="Tabelanormal"/>
    <w:uiPriority w:val="46"/>
    <w:rsid w:val="00901614"/>
    <w:pPr>
      <w:spacing w:after="0" w:line="240" w:lineRule="auto"/>
    </w:pPr>
    <w:tblPr>
      <w:tblStyleRowBandSize w:val="1"/>
      <w:tblStyleColBandSize w:val="1"/>
      <w:tblBorders>
        <w:top w:val="single" w:sz="4" w:space="0" w:color="B5C7E4" w:themeColor="text1" w:themeTint="66"/>
        <w:left w:val="single" w:sz="4" w:space="0" w:color="B5C7E4" w:themeColor="text1" w:themeTint="66"/>
        <w:bottom w:val="single" w:sz="4" w:space="0" w:color="B5C7E4" w:themeColor="text1" w:themeTint="66"/>
        <w:right w:val="single" w:sz="4" w:space="0" w:color="B5C7E4" w:themeColor="text1" w:themeTint="66"/>
        <w:insideH w:val="single" w:sz="4" w:space="0" w:color="B5C7E4" w:themeColor="text1" w:themeTint="66"/>
        <w:insideV w:val="single" w:sz="4" w:space="0" w:color="B5C7E4" w:themeColor="text1" w:themeTint="66"/>
      </w:tblBorders>
    </w:tblPr>
    <w:tblStylePr w:type="firstRow">
      <w:rPr>
        <w:b/>
        <w:bCs/>
      </w:rPr>
      <w:tblPr/>
      <w:tcPr>
        <w:tcBorders>
          <w:bottom w:val="single" w:sz="12" w:space="0" w:color="91ACD7" w:themeColor="text1" w:themeTint="99"/>
        </w:tcBorders>
      </w:tcPr>
    </w:tblStylePr>
    <w:tblStylePr w:type="lastRow">
      <w:rPr>
        <w:b/>
        <w:bCs/>
      </w:rPr>
      <w:tblPr/>
      <w:tcPr>
        <w:tcBorders>
          <w:top w:val="double" w:sz="2" w:space="0" w:color="91ACD7" w:themeColor="text1" w:themeTint="99"/>
        </w:tcBorders>
      </w:tcPr>
    </w:tblStylePr>
    <w:tblStylePr w:type="firstCol">
      <w:rPr>
        <w:b/>
        <w:bCs/>
      </w:rPr>
    </w:tblStylePr>
    <w:tblStylePr w:type="lastCol">
      <w:rPr>
        <w:b/>
        <w:bCs/>
      </w:rPr>
    </w:tblStylePr>
  </w:style>
  <w:style w:type="table" w:customStyle="1" w:styleId="SimplesTabela21">
    <w:name w:val="Simples Tabela 21"/>
    <w:basedOn w:val="Tabelanormal"/>
    <w:uiPriority w:val="42"/>
    <w:rsid w:val="009A59CC"/>
    <w:pPr>
      <w:spacing w:after="0" w:line="240" w:lineRule="auto"/>
    </w:pPr>
    <w:tblPr>
      <w:tblStyleRowBandSize w:val="1"/>
      <w:tblStyleColBandSize w:val="1"/>
      <w:tblBorders>
        <w:top w:val="single" w:sz="4" w:space="0" w:color="A3B9DD" w:themeColor="text1" w:themeTint="80"/>
        <w:bottom w:val="single" w:sz="4" w:space="0" w:color="A3B9DD" w:themeColor="text1" w:themeTint="80"/>
      </w:tblBorders>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styleId="Forte">
    <w:name w:val="Strong"/>
    <w:basedOn w:val="Fontepargpadro"/>
    <w:uiPriority w:val="22"/>
    <w:qFormat/>
    <w:rsid w:val="00A93D12"/>
    <w:rPr>
      <w:rFonts w:ascii="Calibri" w:hAnsi="Calibri"/>
      <w:b w:val="0"/>
      <w:bCs/>
      <w:i w:val="0"/>
    </w:rPr>
  </w:style>
  <w:style w:type="character" w:customStyle="1" w:styleId="Ttulo4Char">
    <w:name w:val="Título 4 Char"/>
    <w:basedOn w:val="Fontepargpadro"/>
    <w:link w:val="Ttulo4"/>
    <w:uiPriority w:val="9"/>
    <w:rsid w:val="007661E3"/>
    <w:rPr>
      <w:rFonts w:ascii="Calibri" w:eastAsiaTheme="majorEastAsia" w:hAnsi="Calibri" w:cstheme="majorBidi"/>
      <w:iCs/>
      <w:color w:val="79B6F3" w:themeColor="accent2" w:themeTint="66"/>
      <w:sz w:val="24"/>
    </w:rPr>
  </w:style>
  <w:style w:type="paragraph" w:styleId="Subttulo">
    <w:name w:val="Subtitle"/>
    <w:basedOn w:val="Normal"/>
    <w:next w:val="Normal"/>
    <w:link w:val="SubttuloChar"/>
    <w:uiPriority w:val="11"/>
    <w:qFormat/>
    <w:rsid w:val="007803D5"/>
    <w:pPr>
      <w:numPr>
        <w:ilvl w:val="1"/>
      </w:numPr>
    </w:pPr>
    <w:rPr>
      <w:rFonts w:ascii="Calibri" w:eastAsiaTheme="minorEastAsia" w:hAnsi="Calibri"/>
      <w:color w:val="0C4A87" w:themeColor="accent2"/>
      <w:spacing w:val="15"/>
      <w:sz w:val="32"/>
    </w:rPr>
  </w:style>
  <w:style w:type="character" w:customStyle="1" w:styleId="SubttuloChar">
    <w:name w:val="Subtítulo Char"/>
    <w:basedOn w:val="Fontepargpadro"/>
    <w:link w:val="Subttulo"/>
    <w:uiPriority w:val="11"/>
    <w:rsid w:val="007803D5"/>
    <w:rPr>
      <w:rFonts w:ascii="Calibri" w:eastAsiaTheme="minorEastAsia" w:hAnsi="Calibri"/>
      <w:color w:val="0C4A87" w:themeColor="accent2"/>
      <w:spacing w:val="15"/>
      <w:sz w:val="32"/>
    </w:rPr>
  </w:style>
  <w:style w:type="character" w:styleId="nfaseSutil">
    <w:name w:val="Subtle Emphasis"/>
    <w:basedOn w:val="Fontepargpadro"/>
    <w:uiPriority w:val="19"/>
    <w:qFormat/>
    <w:rsid w:val="007803D5"/>
    <w:rPr>
      <w:i/>
      <w:iCs/>
      <w:color w:val="7597CD" w:themeColor="text1" w:themeTint="BF"/>
    </w:rPr>
  </w:style>
  <w:style w:type="character" w:styleId="nfase">
    <w:name w:val="Emphasis"/>
    <w:basedOn w:val="Fontepargpadro"/>
    <w:uiPriority w:val="20"/>
    <w:qFormat/>
    <w:rsid w:val="00421B87"/>
    <w:rPr>
      <w:rFonts w:ascii="Calibri" w:hAnsi="Calibri"/>
      <w:b/>
      <w:i/>
      <w:iCs/>
      <w:color w:val="4875BD" w:themeColor="text1"/>
    </w:rPr>
  </w:style>
  <w:style w:type="character" w:styleId="nfaseIntensa">
    <w:name w:val="Intense Emphasis"/>
    <w:basedOn w:val="Fontepargpadro"/>
    <w:uiPriority w:val="21"/>
    <w:qFormat/>
    <w:rsid w:val="00C5758E"/>
    <w:rPr>
      <w:rFonts w:ascii="Calibri" w:hAnsi="Calibri"/>
      <w:b w:val="0"/>
      <w:i/>
      <w:iCs/>
      <w:color w:val="0C4A87" w:themeColor="accent2"/>
    </w:rPr>
  </w:style>
  <w:style w:type="paragraph" w:styleId="Citao">
    <w:name w:val="Quote"/>
    <w:basedOn w:val="Normal"/>
    <w:next w:val="Normal"/>
    <w:link w:val="CitaoChar"/>
    <w:uiPriority w:val="29"/>
    <w:qFormat/>
    <w:rsid w:val="00A54802"/>
    <w:pPr>
      <w:spacing w:before="200"/>
      <w:ind w:left="2268" w:right="864"/>
      <w:jc w:val="both"/>
    </w:pPr>
    <w:rPr>
      <w:iCs/>
      <w:lang w:val="en-US"/>
    </w:rPr>
  </w:style>
  <w:style w:type="character" w:customStyle="1" w:styleId="CitaoChar">
    <w:name w:val="Citação Char"/>
    <w:basedOn w:val="Fontepargpadro"/>
    <w:link w:val="Citao"/>
    <w:uiPriority w:val="29"/>
    <w:rsid w:val="00A54802"/>
    <w:rPr>
      <w:rFonts w:ascii="Calibri Light" w:hAnsi="Calibri Light"/>
      <w:iCs/>
      <w:lang w:val="en-US"/>
    </w:rPr>
  </w:style>
  <w:style w:type="paragraph" w:styleId="CitaoIntensa">
    <w:name w:val="Intense Quote"/>
    <w:basedOn w:val="Normal"/>
    <w:next w:val="Normal"/>
    <w:link w:val="CitaoIntensaChar"/>
    <w:autoRedefine/>
    <w:uiPriority w:val="30"/>
    <w:qFormat/>
    <w:rsid w:val="00A54802"/>
    <w:pPr>
      <w:pBdr>
        <w:top w:val="single" w:sz="4" w:space="10" w:color="4875BD" w:themeColor="accent1"/>
        <w:bottom w:val="single" w:sz="4" w:space="10" w:color="4875BD" w:themeColor="accent1"/>
      </w:pBdr>
      <w:spacing w:before="360" w:after="360"/>
      <w:ind w:left="864" w:right="864"/>
      <w:jc w:val="both"/>
    </w:pPr>
    <w:rPr>
      <w:rFonts w:ascii="Calibri" w:hAnsi="Calibri"/>
      <w:b/>
      <w:iCs/>
      <w:color w:val="1C407A" w:themeColor="accent3"/>
    </w:rPr>
  </w:style>
  <w:style w:type="character" w:customStyle="1" w:styleId="CitaoIntensaChar">
    <w:name w:val="Citação Intensa Char"/>
    <w:basedOn w:val="Fontepargpadro"/>
    <w:link w:val="CitaoIntensa"/>
    <w:uiPriority w:val="30"/>
    <w:rsid w:val="00A54802"/>
    <w:rPr>
      <w:rFonts w:ascii="Calibri" w:hAnsi="Calibri"/>
      <w:b/>
      <w:iCs/>
      <w:color w:val="1C407A" w:themeColor="accent3"/>
    </w:rPr>
  </w:style>
  <w:style w:type="character" w:styleId="RefernciaSutil">
    <w:name w:val="Subtle Reference"/>
    <w:basedOn w:val="Fontepargpadro"/>
    <w:uiPriority w:val="31"/>
    <w:qFormat/>
    <w:rsid w:val="00421B87"/>
    <w:rPr>
      <w:rFonts w:ascii="Calibri" w:hAnsi="Calibri"/>
      <w:smallCaps/>
      <w:color w:val="4875BD" w:themeColor="text1"/>
    </w:rPr>
  </w:style>
  <w:style w:type="character" w:styleId="RefernciaIntensa">
    <w:name w:val="Intense Reference"/>
    <w:basedOn w:val="Fontepargpadro"/>
    <w:uiPriority w:val="32"/>
    <w:qFormat/>
    <w:rsid w:val="0055384A"/>
    <w:rPr>
      <w:rFonts w:ascii="Calibri" w:hAnsi="Calibri"/>
      <w:b w:val="0"/>
      <w:bCs/>
      <w:smallCaps/>
      <w:color w:val="0C4A87" w:themeColor="accent2"/>
      <w:spacing w:val="5"/>
    </w:rPr>
  </w:style>
  <w:style w:type="character" w:styleId="TtulodoLivro">
    <w:name w:val="Book Title"/>
    <w:basedOn w:val="Fontepargpadro"/>
    <w:uiPriority w:val="33"/>
    <w:qFormat/>
    <w:rsid w:val="000348E4"/>
    <w:rPr>
      <w:rFonts w:ascii="Calibri" w:hAnsi="Calibri"/>
      <w:b/>
      <w:bCs/>
      <w:i/>
      <w:iCs/>
      <w:spacing w:val="5"/>
    </w:rPr>
  </w:style>
  <w:style w:type="paragraph" w:styleId="PargrafodaLista">
    <w:name w:val="List Paragraph"/>
    <w:basedOn w:val="Normal"/>
    <w:uiPriority w:val="34"/>
    <w:qFormat/>
    <w:rsid w:val="000348E4"/>
    <w:pPr>
      <w:ind w:left="720"/>
      <w:contextualSpacing/>
    </w:pPr>
  </w:style>
  <w:style w:type="paragraph" w:styleId="CabealhodoSumrio">
    <w:name w:val="TOC Heading"/>
    <w:basedOn w:val="Ttulo1"/>
    <w:next w:val="Normal"/>
    <w:uiPriority w:val="39"/>
    <w:unhideWhenUsed/>
    <w:qFormat/>
    <w:rsid w:val="0026297B"/>
    <w:pPr>
      <w:keepNext/>
      <w:keepLines/>
      <w:tabs>
        <w:tab w:val="clear" w:pos="1615"/>
      </w:tabs>
      <w:spacing w:before="240" w:after="0" w:line="259" w:lineRule="auto"/>
      <w:jc w:val="center"/>
      <w:outlineLvl w:val="9"/>
    </w:pPr>
    <w:rPr>
      <w:rFonts w:eastAsiaTheme="majorEastAsia" w:cstheme="majorBidi"/>
      <w:b w:val="0"/>
      <w:color w:val="34578F" w:themeColor="accent1" w:themeShade="BF"/>
      <w:szCs w:val="32"/>
      <w:lang w:eastAsia="pt-BR"/>
    </w:rPr>
  </w:style>
  <w:style w:type="paragraph" w:styleId="Sumrio1">
    <w:name w:val="toc 1"/>
    <w:basedOn w:val="Normal"/>
    <w:next w:val="Normal"/>
    <w:autoRedefine/>
    <w:uiPriority w:val="39"/>
    <w:unhideWhenUsed/>
    <w:rsid w:val="00D4796F"/>
    <w:pPr>
      <w:tabs>
        <w:tab w:val="clear" w:pos="1615"/>
        <w:tab w:val="left" w:pos="480"/>
        <w:tab w:val="right" w:pos="8505"/>
      </w:tabs>
      <w:spacing w:after="240"/>
    </w:pPr>
  </w:style>
  <w:style w:type="paragraph" w:styleId="Sumrio2">
    <w:name w:val="toc 2"/>
    <w:basedOn w:val="Normal"/>
    <w:next w:val="Normal"/>
    <w:autoRedefine/>
    <w:uiPriority w:val="39"/>
    <w:unhideWhenUsed/>
    <w:rsid w:val="003C7DE7"/>
    <w:pPr>
      <w:tabs>
        <w:tab w:val="clear" w:pos="1615"/>
        <w:tab w:val="left" w:pos="284"/>
        <w:tab w:val="right" w:pos="8931"/>
      </w:tabs>
      <w:spacing w:after="240"/>
      <w:ind w:left="284" w:hanging="284"/>
      <w:jc w:val="both"/>
    </w:pPr>
    <w:rPr>
      <w:rFonts w:asciiTheme="minorHAnsi" w:hAnsiTheme="minorHAnsi" w:cstheme="minorHAnsi"/>
      <w:b/>
      <w:bCs/>
      <w:noProof/>
      <w:spacing w:val="-4"/>
      <w:sz w:val="24"/>
      <w:szCs w:val="24"/>
    </w:rPr>
  </w:style>
  <w:style w:type="paragraph" w:styleId="Sumrio3">
    <w:name w:val="toc 3"/>
    <w:basedOn w:val="Normal"/>
    <w:next w:val="Normal"/>
    <w:autoRedefine/>
    <w:uiPriority w:val="39"/>
    <w:unhideWhenUsed/>
    <w:rsid w:val="009F4DB4"/>
    <w:pPr>
      <w:tabs>
        <w:tab w:val="clear" w:pos="1615"/>
      </w:tabs>
      <w:spacing w:after="100"/>
      <w:ind w:left="480"/>
    </w:pPr>
  </w:style>
  <w:style w:type="character" w:styleId="Hyperlink">
    <w:name w:val="Hyperlink"/>
    <w:basedOn w:val="Fontepargpadro"/>
    <w:uiPriority w:val="99"/>
    <w:unhideWhenUsed/>
    <w:rsid w:val="009F4DB4"/>
    <w:rPr>
      <w:rFonts w:ascii="Calibri" w:hAnsi="Calibri"/>
      <w:color w:val="4875BD" w:themeColor="accent1"/>
      <w:u w:val="single"/>
    </w:rPr>
  </w:style>
  <w:style w:type="paragraph" w:styleId="Legenda">
    <w:name w:val="caption"/>
    <w:basedOn w:val="Normal"/>
    <w:next w:val="Normal"/>
    <w:autoRedefine/>
    <w:uiPriority w:val="35"/>
    <w:unhideWhenUsed/>
    <w:qFormat/>
    <w:rsid w:val="00A54802"/>
    <w:pPr>
      <w:spacing w:after="200"/>
    </w:pPr>
    <w:rPr>
      <w:iCs/>
      <w:color w:val="1C407A" w:themeColor="accent3"/>
      <w:sz w:val="20"/>
      <w:szCs w:val="18"/>
    </w:rPr>
  </w:style>
  <w:style w:type="paragraph" w:styleId="ndicedeilustraes">
    <w:name w:val="table of figures"/>
    <w:basedOn w:val="Normal"/>
    <w:next w:val="Normal"/>
    <w:uiPriority w:val="99"/>
    <w:unhideWhenUsed/>
    <w:rsid w:val="004F67D1"/>
    <w:pPr>
      <w:tabs>
        <w:tab w:val="clear" w:pos="1615"/>
      </w:tabs>
      <w:spacing w:after="0"/>
    </w:pPr>
  </w:style>
  <w:style w:type="table" w:customStyle="1" w:styleId="TabeladeLista1Clara-nfase11">
    <w:name w:val="Tabela de Lista 1 Clara - Ênfase 11"/>
    <w:basedOn w:val="Tabelanormal"/>
    <w:uiPriority w:val="46"/>
    <w:rsid w:val="007661E3"/>
    <w:pPr>
      <w:spacing w:after="0" w:line="240" w:lineRule="auto"/>
    </w:pPr>
    <w:tblPr>
      <w:tblStyleRowBandSize w:val="1"/>
      <w:tblStyleColBandSize w:val="1"/>
    </w:tblPr>
    <w:tblStylePr w:type="firstRow">
      <w:rPr>
        <w:b/>
        <w:bCs/>
      </w:rPr>
      <w:tblPr/>
      <w:tcPr>
        <w:tcBorders>
          <w:bottom w:val="single" w:sz="4" w:space="0" w:color="91ACD7" w:themeColor="accent1" w:themeTint="99"/>
        </w:tcBorders>
      </w:tcPr>
    </w:tblStylePr>
    <w:tblStylePr w:type="lastRow">
      <w:rPr>
        <w:b/>
        <w:bCs/>
      </w:rPr>
      <w:tblPr/>
      <w:tcPr>
        <w:tcBorders>
          <w:top w:val="sing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nfase11">
    <w:name w:val="Tabela de Lista 4 - Ênfase 11"/>
    <w:basedOn w:val="Tabelanormal"/>
    <w:uiPriority w:val="49"/>
    <w:rsid w:val="007661E3"/>
    <w:pPr>
      <w:spacing w:after="0" w:line="240" w:lineRule="auto"/>
    </w:pPr>
    <w:tblPr>
      <w:tblStyleRowBandSize w:val="1"/>
      <w:tblStyleColBandSize w:val="1"/>
      <w:tblBorders>
        <w:top w:val="single" w:sz="4" w:space="0" w:color="91ACD7" w:themeColor="accent1" w:themeTint="99"/>
        <w:left w:val="single" w:sz="4" w:space="0" w:color="91ACD7" w:themeColor="accent1" w:themeTint="99"/>
        <w:bottom w:val="single" w:sz="4" w:space="0" w:color="91ACD7" w:themeColor="accent1" w:themeTint="99"/>
        <w:right w:val="single" w:sz="4" w:space="0" w:color="91ACD7" w:themeColor="accent1" w:themeTint="99"/>
        <w:insideH w:val="single" w:sz="4" w:space="0" w:color="91ACD7" w:themeColor="accent1" w:themeTint="99"/>
      </w:tblBorders>
    </w:tblPr>
    <w:tblStylePr w:type="firstRow">
      <w:rPr>
        <w:b/>
        <w:bCs/>
        <w:color w:val="FFFFFF" w:themeColor="background1"/>
      </w:rPr>
      <w:tblPr/>
      <w:tcPr>
        <w:tcBorders>
          <w:top w:val="single" w:sz="4" w:space="0" w:color="4875BD" w:themeColor="accent1"/>
          <w:left w:val="single" w:sz="4" w:space="0" w:color="4875BD" w:themeColor="accent1"/>
          <w:bottom w:val="single" w:sz="4" w:space="0" w:color="4875BD" w:themeColor="accent1"/>
          <w:right w:val="single" w:sz="4" w:space="0" w:color="4875BD" w:themeColor="accent1"/>
          <w:insideH w:val="nil"/>
        </w:tcBorders>
        <w:shd w:val="clear" w:color="auto" w:fill="4875BD" w:themeFill="accent1"/>
      </w:tcPr>
    </w:tblStylePr>
    <w:tblStylePr w:type="lastRow">
      <w:rPr>
        <w:b/>
        <w:bCs/>
      </w:rPr>
      <w:tblPr/>
      <w:tcPr>
        <w:tcBorders>
          <w:top w:val="doub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1">
    <w:name w:val="Tabela de Lista 41"/>
    <w:basedOn w:val="Tabelanormal"/>
    <w:uiPriority w:val="49"/>
    <w:rsid w:val="007661E3"/>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tcBorders>
        <w:shd w:val="clear" w:color="auto" w:fill="4875BD" w:themeFill="text1"/>
      </w:tcPr>
    </w:tblStylePr>
    <w:tblStylePr w:type="lastRow">
      <w:rPr>
        <w:b/>
        <w:bCs/>
      </w:rPr>
      <w:tblPr/>
      <w:tcPr>
        <w:tcBorders>
          <w:top w:val="double" w:sz="4" w:space="0" w:color="91ACD7" w:themeColor="text1" w:themeTint="99"/>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Cebraspe">
    <w:name w:val="Cebraspe"/>
    <w:basedOn w:val="Tabelanormal"/>
    <w:uiPriority w:val="99"/>
    <w:rsid w:val="007661E3"/>
    <w:pPr>
      <w:spacing w:after="0" w:line="240" w:lineRule="auto"/>
    </w:pPr>
    <w:tblPr/>
  </w:style>
  <w:style w:type="table" w:customStyle="1" w:styleId="TabeladeLista4-nfase21">
    <w:name w:val="Tabela de Lista 4 - Ênfase 21"/>
    <w:basedOn w:val="Tabelanormal"/>
    <w:uiPriority w:val="49"/>
    <w:rsid w:val="007661E3"/>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tcBorders>
        <w:shd w:val="clear" w:color="auto" w:fill="0C4A87" w:themeFill="accent2"/>
      </w:tcPr>
    </w:tblStylePr>
    <w:tblStylePr w:type="lastRow">
      <w:rPr>
        <w:b/>
        <w:bCs/>
      </w:rPr>
      <w:tblPr/>
      <w:tcPr>
        <w:tcBorders>
          <w:top w:val="double" w:sz="4" w:space="0" w:color="3692ED" w:themeColor="accent2" w:themeTint="99"/>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Lista4-nfase31">
    <w:name w:val="Tabela de Lista 4 - Ênfase 31"/>
    <w:basedOn w:val="Tabelanormal"/>
    <w:uiPriority w:val="49"/>
    <w:rsid w:val="007661E3"/>
    <w:pPr>
      <w:spacing w:after="0" w:line="240" w:lineRule="auto"/>
    </w:pPr>
    <w:tblPr>
      <w:tblStyleRowBandSize w:val="1"/>
      <w:tblStyleColBandSize w:val="1"/>
      <w:tblBorders>
        <w:top w:val="single" w:sz="4" w:space="0" w:color="4F82D6" w:themeColor="accent3" w:themeTint="99"/>
        <w:left w:val="single" w:sz="4" w:space="0" w:color="4F82D6" w:themeColor="accent3" w:themeTint="99"/>
        <w:bottom w:val="single" w:sz="4" w:space="0" w:color="4F82D6" w:themeColor="accent3" w:themeTint="99"/>
        <w:right w:val="single" w:sz="4" w:space="0" w:color="4F82D6" w:themeColor="accent3" w:themeTint="99"/>
        <w:insideH w:val="single" w:sz="4" w:space="0" w:color="4F82D6" w:themeColor="accent3" w:themeTint="99"/>
      </w:tblBorders>
    </w:tblPr>
    <w:tblStylePr w:type="firstRow">
      <w:rPr>
        <w:b/>
        <w:bCs/>
        <w:color w:val="FFFFFF" w:themeColor="background1"/>
      </w:rPr>
      <w:tblPr/>
      <w:tcPr>
        <w:tcBorders>
          <w:top w:val="single" w:sz="4" w:space="0" w:color="1C407A" w:themeColor="accent3"/>
          <w:left w:val="single" w:sz="4" w:space="0" w:color="1C407A" w:themeColor="accent3"/>
          <w:bottom w:val="single" w:sz="4" w:space="0" w:color="1C407A" w:themeColor="accent3"/>
          <w:right w:val="single" w:sz="4" w:space="0" w:color="1C407A" w:themeColor="accent3"/>
          <w:insideH w:val="nil"/>
        </w:tcBorders>
        <w:shd w:val="clear" w:color="auto" w:fill="1C407A" w:themeFill="accent3"/>
      </w:tcPr>
    </w:tblStylePr>
    <w:tblStylePr w:type="lastRow">
      <w:rPr>
        <w:b/>
        <w:bCs/>
      </w:rPr>
      <w:tblPr/>
      <w:tcPr>
        <w:tcBorders>
          <w:top w:val="double" w:sz="4" w:space="0" w:color="4F82D6" w:themeColor="accent3" w:themeTint="99"/>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table" w:customStyle="1" w:styleId="TabeladeLista6Colorida-nfase31">
    <w:name w:val="Tabela de Lista 6 Colorida - Ênfase 31"/>
    <w:basedOn w:val="Tabelanormal"/>
    <w:uiPriority w:val="51"/>
    <w:rsid w:val="007661E3"/>
    <w:pPr>
      <w:spacing w:after="0" w:line="240" w:lineRule="auto"/>
    </w:pPr>
    <w:rPr>
      <w:color w:val="152F5B" w:themeColor="accent3" w:themeShade="BF"/>
    </w:rPr>
    <w:tblPr>
      <w:tblStyleRowBandSize w:val="1"/>
      <w:tblStyleColBandSize w:val="1"/>
      <w:tblBorders>
        <w:top w:val="single" w:sz="4" w:space="0" w:color="1C407A" w:themeColor="accent3"/>
        <w:bottom w:val="single" w:sz="4" w:space="0" w:color="1C407A" w:themeColor="accent3"/>
      </w:tblBorders>
    </w:tblPr>
    <w:tblStylePr w:type="firstRow">
      <w:rPr>
        <w:b/>
        <w:bCs/>
      </w:rPr>
      <w:tblPr/>
      <w:tcPr>
        <w:tcBorders>
          <w:bottom w:val="single" w:sz="4" w:space="0" w:color="1C407A" w:themeColor="accent3"/>
        </w:tcBorders>
      </w:tcPr>
    </w:tblStylePr>
    <w:tblStylePr w:type="lastRow">
      <w:rPr>
        <w:b/>
        <w:bCs/>
      </w:rPr>
      <w:tblPr/>
      <w:tcPr>
        <w:tcBorders>
          <w:top w:val="double" w:sz="4" w:space="0" w:color="1C407A" w:themeColor="accent3"/>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character" w:customStyle="1" w:styleId="Ttulo5Char">
    <w:name w:val="Título 5 Char"/>
    <w:basedOn w:val="Fontepargpadro"/>
    <w:link w:val="Ttulo5"/>
    <w:uiPriority w:val="9"/>
    <w:rsid w:val="007653A5"/>
    <w:rPr>
      <w:rFonts w:asciiTheme="majorHAnsi" w:eastAsiaTheme="majorEastAsia" w:hAnsiTheme="majorHAnsi" w:cstheme="majorBidi"/>
      <w:color w:val="34578F" w:themeColor="accent1" w:themeShade="BF"/>
    </w:rPr>
  </w:style>
  <w:style w:type="character" w:customStyle="1" w:styleId="Ttulo6Char">
    <w:name w:val="Título 6 Char"/>
    <w:basedOn w:val="Fontepargpadro"/>
    <w:link w:val="Ttulo6"/>
    <w:uiPriority w:val="9"/>
    <w:rsid w:val="007653A5"/>
    <w:rPr>
      <w:rFonts w:asciiTheme="majorHAnsi" w:eastAsiaTheme="majorEastAsia" w:hAnsiTheme="majorHAnsi" w:cstheme="majorBidi"/>
      <w:color w:val="22395F" w:themeColor="accent1" w:themeShade="7F"/>
    </w:rPr>
  </w:style>
  <w:style w:type="character" w:customStyle="1" w:styleId="Ttulo7Char">
    <w:name w:val="Título 7 Char"/>
    <w:basedOn w:val="Fontepargpadro"/>
    <w:link w:val="Ttulo7"/>
    <w:uiPriority w:val="9"/>
    <w:semiHidden/>
    <w:rsid w:val="007653A5"/>
    <w:rPr>
      <w:rFonts w:asciiTheme="majorHAnsi" w:eastAsiaTheme="majorEastAsia" w:hAnsiTheme="majorHAnsi" w:cstheme="majorBidi"/>
      <w:i/>
      <w:iCs/>
      <w:color w:val="22395F" w:themeColor="accent1" w:themeShade="7F"/>
    </w:rPr>
  </w:style>
  <w:style w:type="character" w:customStyle="1" w:styleId="Ttulo8Char">
    <w:name w:val="Título 8 Char"/>
    <w:basedOn w:val="Fontepargpadro"/>
    <w:link w:val="Ttulo8"/>
    <w:uiPriority w:val="9"/>
    <w:semiHidden/>
    <w:rsid w:val="007653A5"/>
    <w:rPr>
      <w:rFonts w:asciiTheme="majorHAnsi" w:eastAsiaTheme="majorEastAsia" w:hAnsiTheme="majorHAnsi" w:cstheme="majorBidi"/>
      <w:color w:val="638AC7" w:themeColor="text1" w:themeTint="D8"/>
      <w:sz w:val="21"/>
      <w:szCs w:val="21"/>
    </w:rPr>
  </w:style>
  <w:style w:type="character" w:customStyle="1" w:styleId="Ttulo9Char">
    <w:name w:val="Título 9 Char"/>
    <w:basedOn w:val="Fontepargpadro"/>
    <w:link w:val="Ttulo9"/>
    <w:uiPriority w:val="9"/>
    <w:semiHidden/>
    <w:rsid w:val="007653A5"/>
    <w:rPr>
      <w:rFonts w:asciiTheme="majorHAnsi" w:eastAsiaTheme="majorEastAsia" w:hAnsiTheme="majorHAnsi" w:cstheme="majorBidi"/>
      <w:i/>
      <w:iCs/>
      <w:color w:val="638AC7" w:themeColor="text1" w:themeTint="D8"/>
      <w:sz w:val="21"/>
      <w:szCs w:val="21"/>
    </w:rPr>
  </w:style>
  <w:style w:type="character" w:styleId="Refdecomentrio">
    <w:name w:val="annotation reference"/>
    <w:basedOn w:val="Fontepargpadro"/>
    <w:uiPriority w:val="99"/>
    <w:semiHidden/>
    <w:unhideWhenUsed/>
    <w:rsid w:val="007653A5"/>
    <w:rPr>
      <w:sz w:val="16"/>
      <w:szCs w:val="16"/>
    </w:rPr>
  </w:style>
  <w:style w:type="paragraph" w:styleId="Textodecomentrio">
    <w:name w:val="annotation text"/>
    <w:basedOn w:val="Normal"/>
    <w:link w:val="TextodecomentrioChar"/>
    <w:uiPriority w:val="99"/>
    <w:unhideWhenUsed/>
    <w:rsid w:val="007653A5"/>
    <w:rPr>
      <w:sz w:val="20"/>
      <w:szCs w:val="20"/>
    </w:rPr>
  </w:style>
  <w:style w:type="character" w:customStyle="1" w:styleId="TextodecomentrioChar">
    <w:name w:val="Texto de comentário Char"/>
    <w:basedOn w:val="Fontepargpadro"/>
    <w:link w:val="Textodecomentrio"/>
    <w:uiPriority w:val="99"/>
    <w:rsid w:val="007653A5"/>
    <w:rPr>
      <w:rFonts w:ascii="Calibri Light" w:hAnsi="Calibri Light"/>
      <w:sz w:val="20"/>
      <w:szCs w:val="20"/>
    </w:rPr>
  </w:style>
  <w:style w:type="paragraph" w:styleId="Assuntodocomentrio">
    <w:name w:val="annotation subject"/>
    <w:basedOn w:val="Textodecomentrio"/>
    <w:next w:val="Textodecomentrio"/>
    <w:link w:val="AssuntodocomentrioChar"/>
    <w:uiPriority w:val="99"/>
    <w:semiHidden/>
    <w:unhideWhenUsed/>
    <w:rsid w:val="007653A5"/>
    <w:rPr>
      <w:b/>
      <w:bCs/>
    </w:rPr>
  </w:style>
  <w:style w:type="character" w:customStyle="1" w:styleId="AssuntodocomentrioChar">
    <w:name w:val="Assunto do comentário Char"/>
    <w:basedOn w:val="TextodecomentrioChar"/>
    <w:link w:val="Assuntodocomentrio"/>
    <w:uiPriority w:val="99"/>
    <w:semiHidden/>
    <w:rsid w:val="007653A5"/>
    <w:rPr>
      <w:rFonts w:ascii="Calibri Light" w:hAnsi="Calibri Light"/>
      <w:b/>
      <w:bCs/>
      <w:sz w:val="20"/>
      <w:szCs w:val="20"/>
    </w:rPr>
  </w:style>
  <w:style w:type="table" w:customStyle="1" w:styleId="Tabelacomgrade1">
    <w:name w:val="Tabela com grade1"/>
    <w:basedOn w:val="Tabelanormal"/>
    <w:uiPriority w:val="39"/>
    <w:rsid w:val="00021081"/>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D4818"/>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NoSpacingChar">
    <w:name w:val="No Spacing Char"/>
    <w:basedOn w:val="Fontepargpadro"/>
    <w:link w:val="SemEspaamento1"/>
    <w:locked/>
    <w:rsid w:val="00FD0C78"/>
    <w:rPr>
      <w:rFonts w:ascii="Arial" w:eastAsia="Times New Roman" w:hAnsi="Arial"/>
    </w:rPr>
  </w:style>
  <w:style w:type="paragraph" w:customStyle="1" w:styleId="SemEspaamento1">
    <w:name w:val="Sem Espaçamento1"/>
    <w:link w:val="NoSpacingChar"/>
    <w:rsid w:val="00FD0C78"/>
    <w:pPr>
      <w:spacing w:after="0" w:line="240" w:lineRule="auto"/>
    </w:pPr>
    <w:rPr>
      <w:rFonts w:ascii="Arial" w:eastAsia="Times New Roman" w:hAnsi="Arial"/>
    </w:rPr>
  </w:style>
  <w:style w:type="character" w:styleId="Refdenotaderodap">
    <w:name w:val="footnote reference"/>
    <w:aliases w:val="Footnote Reference  tese,Ref. de nota de rodapÉ"/>
    <w:qFormat/>
    <w:rsid w:val="006A24D3"/>
    <w:rPr>
      <w:rFonts w:cs="Times New Roman"/>
      <w:vertAlign w:val="superscript"/>
    </w:rPr>
  </w:style>
  <w:style w:type="character" w:customStyle="1" w:styleId="NormalWebChar">
    <w:name w:val="Normal (Web) Char"/>
    <w:aliases w:val="Char Char"/>
    <w:link w:val="NormalWeb"/>
    <w:uiPriority w:val="99"/>
    <w:locked/>
    <w:rsid w:val="006A24D3"/>
    <w:rPr>
      <w:rFonts w:ascii="Calibri" w:eastAsia="Times New Roman" w:hAnsi="Calibri" w:cs="Times New Roman"/>
      <w:color w:val="1C407A" w:themeColor="accent3"/>
      <w:sz w:val="28"/>
      <w:szCs w:val="24"/>
      <w:lang w:eastAsia="pt-BR"/>
    </w:rPr>
  </w:style>
  <w:style w:type="paragraph" w:customStyle="1" w:styleId="legislao-4corpo">
    <w:name w:val="legislao-4corpo"/>
    <w:basedOn w:val="Normal"/>
    <w:rsid w:val="006A24D3"/>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journal">
    <w:name w:val="journal"/>
    <w:basedOn w:val="Fontepargpadro"/>
    <w:rsid w:val="00D63EF9"/>
  </w:style>
  <w:style w:type="character" w:customStyle="1" w:styleId="issue">
    <w:name w:val="issue"/>
    <w:basedOn w:val="Fontepargpadro"/>
    <w:rsid w:val="00D63EF9"/>
  </w:style>
  <w:style w:type="character" w:customStyle="1" w:styleId="volume">
    <w:name w:val="volume"/>
    <w:basedOn w:val="Fontepargpadro"/>
    <w:rsid w:val="00D63EF9"/>
  </w:style>
  <w:style w:type="character" w:customStyle="1" w:styleId="year">
    <w:name w:val="year"/>
    <w:basedOn w:val="Fontepargpadro"/>
    <w:rsid w:val="00D63EF9"/>
  </w:style>
  <w:style w:type="character" w:styleId="MenoPendente">
    <w:name w:val="Unresolved Mention"/>
    <w:basedOn w:val="Fontepargpadro"/>
    <w:uiPriority w:val="99"/>
    <w:semiHidden/>
    <w:unhideWhenUsed/>
    <w:rsid w:val="00101137"/>
    <w:rPr>
      <w:color w:val="605E5C"/>
      <w:shd w:val="clear" w:color="auto" w:fill="E1DFDD"/>
    </w:rPr>
  </w:style>
  <w:style w:type="table" w:customStyle="1" w:styleId="TableNormal">
    <w:name w:val="Table Normal"/>
    <w:rsid w:val="00AA431F"/>
    <w:pPr>
      <w:tabs>
        <w:tab w:val="left" w:pos="1615"/>
      </w:tabs>
      <w:spacing w:line="240" w:lineRule="auto"/>
    </w:pPr>
    <w:rPr>
      <w:rFonts w:ascii="Calibri" w:eastAsia="Calibri" w:hAnsi="Calibri" w:cs="Calibri"/>
      <w:lang w:eastAsia="pt-BR"/>
    </w:rPr>
    <w:tblPr>
      <w:tblCellMar>
        <w:top w:w="0" w:type="dxa"/>
        <w:left w:w="0" w:type="dxa"/>
        <w:bottom w:w="0" w:type="dxa"/>
        <w:right w:w="0" w:type="dxa"/>
      </w:tblCellMar>
    </w:tblPr>
  </w:style>
  <w:style w:type="paragraph" w:styleId="Reviso">
    <w:name w:val="Revision"/>
    <w:hidden/>
    <w:uiPriority w:val="99"/>
    <w:semiHidden/>
    <w:rsid w:val="00AA431F"/>
    <w:pPr>
      <w:spacing w:after="0" w:line="240" w:lineRule="auto"/>
    </w:pPr>
    <w:rPr>
      <w:rFonts w:ascii="Calibri" w:eastAsia="Calibri" w:hAnsi="Calibri" w:cs="Calibri"/>
      <w:lang w:eastAsia="pt-BR"/>
    </w:rPr>
  </w:style>
  <w:style w:type="table" w:customStyle="1" w:styleId="TabelaSimples21">
    <w:name w:val="Tabela Simples 21"/>
    <w:basedOn w:val="Tabelanormal"/>
    <w:uiPriority w:val="42"/>
    <w:rsid w:val="004D6417"/>
    <w:pPr>
      <w:spacing w:after="0" w:line="240" w:lineRule="auto"/>
    </w:pPr>
    <w:tblPr>
      <w:tblStyleRowBandSize w:val="1"/>
      <w:tblStyleColBandSize w:val="1"/>
      <w:tblBorders>
        <w:top w:val="single" w:sz="4" w:space="0" w:color="A3B9DD" w:themeColor="text1" w:themeTint="80"/>
        <w:bottom w:val="single" w:sz="4" w:space="0" w:color="A3B9DD" w:themeColor="text1" w:themeTint="80"/>
      </w:tblBorders>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paragraph" w:styleId="Textodenotaderodap">
    <w:name w:val="footnote text"/>
    <w:basedOn w:val="Normal"/>
    <w:link w:val="TextodenotaderodapChar"/>
    <w:unhideWhenUsed/>
    <w:qFormat/>
    <w:rsid w:val="004D6417"/>
    <w:pPr>
      <w:spacing w:after="0"/>
    </w:pPr>
    <w:rPr>
      <w:sz w:val="20"/>
      <w:szCs w:val="20"/>
    </w:rPr>
  </w:style>
  <w:style w:type="character" w:customStyle="1" w:styleId="TextodenotaderodapChar">
    <w:name w:val="Texto de nota de rodapé Char"/>
    <w:basedOn w:val="Fontepargpadro"/>
    <w:link w:val="Textodenotaderodap"/>
    <w:rsid w:val="004D6417"/>
    <w:rPr>
      <w:rFonts w:ascii="Calibri Light" w:hAnsi="Calibri Light"/>
      <w:sz w:val="20"/>
      <w:szCs w:val="20"/>
    </w:rPr>
  </w:style>
  <w:style w:type="character" w:customStyle="1" w:styleId="MenoPendente1">
    <w:name w:val="Menção Pendente1"/>
    <w:basedOn w:val="Fontepargpadro"/>
    <w:uiPriority w:val="99"/>
    <w:semiHidden/>
    <w:unhideWhenUsed/>
    <w:rsid w:val="004D6417"/>
    <w:rPr>
      <w:color w:val="605E5C"/>
      <w:shd w:val="clear" w:color="auto" w:fill="E1DFDD"/>
    </w:rPr>
  </w:style>
  <w:style w:type="paragraph" w:styleId="Corpodetexto">
    <w:name w:val="Body Text"/>
    <w:basedOn w:val="Normal"/>
    <w:link w:val="CorpodetextoChar"/>
    <w:uiPriority w:val="1"/>
    <w:qFormat/>
    <w:rsid w:val="004D6417"/>
    <w:pPr>
      <w:widowControl w:val="0"/>
      <w:tabs>
        <w:tab w:val="clear" w:pos="1615"/>
      </w:tabs>
      <w:autoSpaceDE w:val="0"/>
      <w:autoSpaceDN w:val="0"/>
      <w:spacing w:after="0"/>
    </w:pPr>
    <w:rPr>
      <w:rFonts w:ascii="Calibri" w:eastAsia="Calibri" w:hAnsi="Calibri" w:cs="Calibri"/>
      <w:lang w:val="pt-PT"/>
    </w:rPr>
  </w:style>
  <w:style w:type="character" w:customStyle="1" w:styleId="CorpodetextoChar">
    <w:name w:val="Corpo de texto Char"/>
    <w:basedOn w:val="Fontepargpadro"/>
    <w:link w:val="Corpodetexto"/>
    <w:uiPriority w:val="1"/>
    <w:rsid w:val="004D6417"/>
    <w:rPr>
      <w:rFonts w:ascii="Calibri" w:eastAsia="Calibri" w:hAnsi="Calibri" w:cs="Calibri"/>
      <w:lang w:val="pt-PT"/>
    </w:rPr>
  </w:style>
  <w:style w:type="paragraph" w:customStyle="1" w:styleId="revogado">
    <w:name w:val="revogado"/>
    <w:basedOn w:val="Normal"/>
    <w:rsid w:val="004D6417"/>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highlight">
    <w:name w:val="highlight"/>
    <w:basedOn w:val="Fontepargpadro"/>
    <w:rsid w:val="004D6417"/>
  </w:style>
  <w:style w:type="character" w:styleId="HiperlinkVisitado">
    <w:name w:val="FollowedHyperlink"/>
    <w:basedOn w:val="Fontepargpadro"/>
    <w:uiPriority w:val="99"/>
    <w:semiHidden/>
    <w:unhideWhenUsed/>
    <w:rsid w:val="004D6417"/>
    <w:rPr>
      <w:color w:val="7F7981" w:themeColor="followedHyperlink"/>
      <w:u w:val="single"/>
    </w:rPr>
  </w:style>
  <w:style w:type="character" w:customStyle="1" w:styleId="art-postdateicon">
    <w:name w:val="art-postdateicon"/>
    <w:basedOn w:val="Fontepargpadro"/>
    <w:rsid w:val="00D3608B"/>
  </w:style>
  <w:style w:type="paragraph" w:customStyle="1" w:styleId="Tit1">
    <w:name w:val="Tit 1"/>
    <w:basedOn w:val="Ttulo"/>
    <w:rsid w:val="00D3608B"/>
    <w:pPr>
      <w:tabs>
        <w:tab w:val="clear" w:pos="1615"/>
      </w:tabs>
      <w:spacing w:before="6" w:after="6" w:line="320" w:lineRule="exact"/>
      <w:contextualSpacing w:val="0"/>
      <w:jc w:val="both"/>
    </w:pPr>
    <w:rPr>
      <w:rFonts w:ascii="Verdana" w:eastAsia="Times New Roman" w:hAnsi="Verdana" w:cs="Times New Roman"/>
      <w:smallCaps/>
      <w:spacing w:val="0"/>
      <w:kern w:val="0"/>
      <w:sz w:val="20"/>
      <w:szCs w:val="20"/>
    </w:rPr>
  </w:style>
  <w:style w:type="character" w:customStyle="1" w:styleId="group-doi">
    <w:name w:val="group-doi"/>
    <w:basedOn w:val="Fontepargpadro"/>
    <w:rsid w:val="00D3608B"/>
  </w:style>
  <w:style w:type="character" w:customStyle="1" w:styleId="elementor-icon-list-text">
    <w:name w:val="elementor-icon-list-text"/>
    <w:basedOn w:val="Fontepargpadro"/>
    <w:rsid w:val="00D3608B"/>
  </w:style>
  <w:style w:type="paragraph" w:customStyle="1" w:styleId="Pa25">
    <w:name w:val="Pa25"/>
    <w:basedOn w:val="Default"/>
    <w:next w:val="Default"/>
    <w:uiPriority w:val="99"/>
    <w:rsid w:val="00D3608B"/>
    <w:pPr>
      <w:spacing w:line="221" w:lineRule="atLeast"/>
    </w:pPr>
    <w:rPr>
      <w:rFonts w:ascii="Times New Roman" w:eastAsiaTheme="minorHAnsi" w:hAnsi="Times New Roman" w:cs="Times New Roman"/>
      <w:color w:val="auto"/>
      <w:lang w:eastAsia="en-US"/>
    </w:rPr>
  </w:style>
  <w:style w:type="paragraph" w:customStyle="1" w:styleId="Pa30">
    <w:name w:val="Pa30"/>
    <w:basedOn w:val="Default"/>
    <w:next w:val="Default"/>
    <w:uiPriority w:val="99"/>
    <w:rsid w:val="00D3608B"/>
    <w:pPr>
      <w:spacing w:line="201" w:lineRule="atLeast"/>
    </w:pPr>
    <w:rPr>
      <w:rFonts w:ascii="Times New Roman" w:eastAsiaTheme="minorHAnsi" w:hAnsi="Times New Roman" w:cs="Times New Roman"/>
      <w:color w:val="auto"/>
      <w:lang w:eastAsia="en-US"/>
    </w:rPr>
  </w:style>
  <w:style w:type="paragraph" w:customStyle="1" w:styleId="Pa20">
    <w:name w:val="Pa20"/>
    <w:basedOn w:val="Default"/>
    <w:next w:val="Default"/>
    <w:uiPriority w:val="99"/>
    <w:rsid w:val="00D3608B"/>
    <w:pPr>
      <w:spacing w:line="221" w:lineRule="atLeast"/>
    </w:pPr>
    <w:rPr>
      <w:rFonts w:ascii="Times New Roman" w:eastAsiaTheme="minorHAnsi" w:hAnsi="Times New Roman" w:cs="Times New Roman"/>
      <w:color w:val="auto"/>
      <w:lang w:eastAsia="en-US"/>
    </w:rPr>
  </w:style>
  <w:style w:type="character" w:customStyle="1" w:styleId="A7">
    <w:name w:val="A7"/>
    <w:uiPriority w:val="99"/>
    <w:rsid w:val="00D3608B"/>
    <w:rPr>
      <w:rFonts w:cs="Futura Lt BT"/>
      <w:color w:val="000000"/>
      <w:sz w:val="18"/>
      <w:szCs w:val="18"/>
    </w:rPr>
  </w:style>
  <w:style w:type="paragraph" w:customStyle="1" w:styleId="Pa3">
    <w:name w:val="Pa3"/>
    <w:basedOn w:val="Default"/>
    <w:next w:val="Default"/>
    <w:uiPriority w:val="99"/>
    <w:rsid w:val="00D3608B"/>
    <w:pPr>
      <w:spacing w:line="181" w:lineRule="atLeast"/>
    </w:pPr>
    <w:rPr>
      <w:rFonts w:ascii="Helvetica Neue LT Std" w:eastAsiaTheme="minorHAnsi" w:hAnsi="Helvetica Neue LT Std" w:cstheme="minorBidi"/>
      <w:color w:val="auto"/>
      <w:lang w:eastAsia="en-US"/>
    </w:rPr>
  </w:style>
  <w:style w:type="character" w:customStyle="1" w:styleId="A4">
    <w:name w:val="A4"/>
    <w:uiPriority w:val="99"/>
    <w:rsid w:val="00D3608B"/>
    <w:rPr>
      <w:rFonts w:ascii="Calibri" w:hAnsi="Calibri" w:cs="Calibri"/>
      <w:color w:val="000000"/>
      <w:sz w:val="10"/>
      <w:szCs w:val="10"/>
    </w:rPr>
  </w:style>
  <w:style w:type="character" w:customStyle="1" w:styleId="A1">
    <w:name w:val="A1"/>
    <w:uiPriority w:val="99"/>
    <w:rsid w:val="00D3608B"/>
    <w:rPr>
      <w:i/>
      <w:iCs/>
      <w:color w:val="000000"/>
      <w:sz w:val="16"/>
      <w:szCs w:val="16"/>
    </w:rPr>
  </w:style>
  <w:style w:type="paragraph" w:customStyle="1" w:styleId="SBIE-Referencia">
    <w:name w:val="SBIE - Referencia"/>
    <w:basedOn w:val="Normal"/>
    <w:rsid w:val="00D3608B"/>
    <w:pPr>
      <w:tabs>
        <w:tab w:val="clear" w:pos="1615"/>
      </w:tabs>
      <w:spacing w:after="0"/>
      <w:ind w:left="540" w:hanging="540"/>
      <w:jc w:val="both"/>
    </w:pPr>
    <w:rPr>
      <w:rFonts w:ascii="Times New Roman" w:eastAsia="Times New Roman" w:hAnsi="Times New Roman" w:cs="Times New Roman"/>
      <w:sz w:val="20"/>
      <w:szCs w:val="20"/>
      <w:lang w:val="en-US"/>
    </w:rPr>
  </w:style>
  <w:style w:type="paragraph" w:customStyle="1" w:styleId="Cetrans-TITULO">
    <w:name w:val="Cetrans - TITULO"/>
    <w:basedOn w:val="Default"/>
    <w:next w:val="Default"/>
    <w:uiPriority w:val="99"/>
    <w:rsid w:val="00D3608B"/>
    <w:rPr>
      <w:rFonts w:ascii="Verdana" w:eastAsiaTheme="minorHAnsi" w:hAnsi="Verdana" w:cstheme="minorBidi"/>
      <w:color w:val="auto"/>
      <w:lang w:eastAsia="en-US"/>
    </w:rPr>
  </w:style>
  <w:style w:type="character" w:customStyle="1" w:styleId="w8qarf">
    <w:name w:val="w8qarf"/>
    <w:basedOn w:val="Fontepargpadro"/>
    <w:rsid w:val="00D3608B"/>
  </w:style>
  <w:style w:type="character" w:customStyle="1" w:styleId="lrzxr">
    <w:name w:val="lrzxr"/>
    <w:basedOn w:val="Fontepargpadro"/>
    <w:rsid w:val="00D3608B"/>
  </w:style>
  <w:style w:type="character" w:customStyle="1" w:styleId="articlebadge">
    <w:name w:val="_articlebadge"/>
    <w:basedOn w:val="Fontepargpadro"/>
    <w:rsid w:val="00D3608B"/>
  </w:style>
  <w:style w:type="character" w:customStyle="1" w:styleId="separator">
    <w:name w:val="_separator"/>
    <w:basedOn w:val="Fontepargpadro"/>
    <w:rsid w:val="00D3608B"/>
  </w:style>
  <w:style w:type="character" w:customStyle="1" w:styleId="editionmeta">
    <w:name w:val="_editionmeta"/>
    <w:basedOn w:val="Fontepargpadro"/>
    <w:rsid w:val="00D3608B"/>
  </w:style>
  <w:style w:type="character" w:customStyle="1" w:styleId="dropdown">
    <w:name w:val="dropdown"/>
    <w:basedOn w:val="Fontepargpadro"/>
    <w:rsid w:val="00D3608B"/>
  </w:style>
  <w:style w:type="character" w:customStyle="1" w:styleId="A6">
    <w:name w:val="A6"/>
    <w:uiPriority w:val="99"/>
    <w:rsid w:val="00D3608B"/>
    <w:rPr>
      <w:rFonts w:cs="Garamond"/>
      <w:color w:val="000000"/>
      <w:sz w:val="22"/>
      <w:szCs w:val="22"/>
    </w:rPr>
  </w:style>
  <w:style w:type="character" w:customStyle="1" w:styleId="A0">
    <w:name w:val="A0"/>
    <w:uiPriority w:val="99"/>
    <w:rsid w:val="00D3608B"/>
    <w:rPr>
      <w:rFonts w:cs="Garamond"/>
      <w:color w:val="000000"/>
      <w:sz w:val="20"/>
      <w:szCs w:val="20"/>
    </w:rPr>
  </w:style>
  <w:style w:type="paragraph" w:customStyle="1" w:styleId="Pa11">
    <w:name w:val="Pa11"/>
    <w:basedOn w:val="Default"/>
    <w:next w:val="Default"/>
    <w:uiPriority w:val="99"/>
    <w:rsid w:val="00D3608B"/>
    <w:pPr>
      <w:spacing w:line="261" w:lineRule="atLeast"/>
    </w:pPr>
    <w:rPr>
      <w:rFonts w:ascii="Garamond" w:eastAsiaTheme="minorHAnsi" w:hAnsi="Garamond" w:cstheme="minorBidi"/>
      <w:color w:val="auto"/>
      <w:lang w:eastAsia="en-US"/>
    </w:rPr>
  </w:style>
  <w:style w:type="character" w:customStyle="1" w:styleId="A9">
    <w:name w:val="A9"/>
    <w:uiPriority w:val="99"/>
    <w:rsid w:val="00D3608B"/>
    <w:rPr>
      <w:rFonts w:cs="Garamond"/>
      <w:b/>
      <w:bCs/>
      <w:color w:val="000000"/>
    </w:rPr>
  </w:style>
  <w:style w:type="paragraph" w:customStyle="1" w:styleId="Pa8">
    <w:name w:val="Pa8"/>
    <w:basedOn w:val="Default"/>
    <w:next w:val="Default"/>
    <w:uiPriority w:val="99"/>
    <w:rsid w:val="00D3608B"/>
    <w:pPr>
      <w:spacing w:line="241" w:lineRule="atLeast"/>
    </w:pPr>
    <w:rPr>
      <w:rFonts w:ascii="Garamond" w:eastAsiaTheme="minorHAnsi" w:hAnsi="Garamond" w:cstheme="minorBidi"/>
      <w:color w:val="auto"/>
      <w:lang w:eastAsia="en-US"/>
    </w:rPr>
  </w:style>
  <w:style w:type="character" w:customStyle="1" w:styleId="texto">
    <w:name w:val="texto"/>
    <w:basedOn w:val="Fontepargpadro"/>
    <w:rsid w:val="00D3608B"/>
  </w:style>
  <w:style w:type="paragraph" w:customStyle="1" w:styleId="textbody">
    <w:name w:val="textbody"/>
    <w:basedOn w:val="Normal"/>
    <w:rsid w:val="00D3608B"/>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hgkelc">
    <w:name w:val="hgkelc"/>
    <w:basedOn w:val="Fontepargpadro"/>
    <w:rsid w:val="00D3608B"/>
  </w:style>
  <w:style w:type="paragraph" w:customStyle="1" w:styleId="Normal1">
    <w:name w:val="Normal1"/>
    <w:basedOn w:val="Normal"/>
    <w:link w:val="NORMALChar"/>
    <w:qFormat/>
    <w:rsid w:val="00D3608B"/>
    <w:pPr>
      <w:ind w:firstLine="1134"/>
      <w:jc w:val="both"/>
    </w:pPr>
    <w:rPr>
      <w:rFonts w:eastAsia="Calibri" w:cs="Calibri"/>
      <w:lang w:eastAsia="pt-BR"/>
    </w:rPr>
  </w:style>
  <w:style w:type="character" w:customStyle="1" w:styleId="NORMALChar">
    <w:name w:val="NORMAL Char"/>
    <w:basedOn w:val="Fontepargpadro"/>
    <w:link w:val="Normal1"/>
    <w:rsid w:val="00D3608B"/>
    <w:rPr>
      <w:rFonts w:ascii="Calibri Light" w:eastAsia="Calibri" w:hAnsi="Calibri Light" w:cs="Calibri"/>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96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customXml" Target="../customXml/item3.xml"/><Relationship Id="rId21" Type="http://schemas.openxmlformats.org/officeDocument/2006/relationships/image" Target="media/image12.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5.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endnotes" Target="endnotes.xml"/><Relationship Id="rId19" Type="http://schemas.openxmlformats.org/officeDocument/2006/relationships/image" Target="media/image10.emf"/><Relationship Id="rId31" Type="http://schemas.openxmlformats.org/officeDocument/2006/relationships/hyperlink" Target="https://repositorio.unb.br/bitstream/%2010482/238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na.carvalho\Desktop\Modelo%20Documento%20Azul.dotx" TargetMode="External"/></Relationships>
</file>

<file path=word/theme/theme1.xml><?xml version="1.0" encoding="utf-8"?>
<a:theme xmlns:a="http://schemas.openxmlformats.org/drawingml/2006/main" name="Cebraspe">
  <a:themeElements>
    <a:clrScheme name="Cebraspe azul">
      <a:dk1>
        <a:srgbClr val="4875BD"/>
      </a:dk1>
      <a:lt1>
        <a:sysClr val="window" lastClr="FFFFFF"/>
      </a:lt1>
      <a:dk2>
        <a:srgbClr val="0E194A"/>
      </a:dk2>
      <a:lt2>
        <a:srgbClr val="FFFFFF"/>
      </a:lt2>
      <a:accent1>
        <a:srgbClr val="4875BD"/>
      </a:accent1>
      <a:accent2>
        <a:srgbClr val="0C4A87"/>
      </a:accent2>
      <a:accent3>
        <a:srgbClr val="1C407A"/>
      </a:accent3>
      <a:accent4>
        <a:srgbClr val="7F7981"/>
      </a:accent4>
      <a:accent5>
        <a:srgbClr val="3C3C3C"/>
      </a:accent5>
      <a:accent6>
        <a:srgbClr val="181818"/>
      </a:accent6>
      <a:hlink>
        <a:srgbClr val="4875BD"/>
      </a:hlink>
      <a:folHlink>
        <a:srgbClr val="7F7981"/>
      </a:folHlink>
    </a:clrScheme>
    <a:fontScheme name="Cebraspe">
      <a:majorFont>
        <a:latin typeface="Calibri"/>
        <a:ea typeface=""/>
        <a:cs typeface=""/>
      </a:majorFont>
      <a:minorFont>
        <a:latin typeface="Calibri Light"/>
        <a:ea typeface=""/>
        <a:cs typeface=""/>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036F59C04359847920275F1F2E00336" ma:contentTypeVersion="0" ma:contentTypeDescription="Crie um novo documento." ma:contentTypeScope="" ma:versionID="98648ca29038437fffa277e2319b52d2">
  <xsd:schema xmlns:xsd="http://www.w3.org/2001/XMLSchema" xmlns:xs="http://www.w3.org/2001/XMLSchema" xmlns:p="http://schemas.microsoft.com/office/2006/metadata/properties" targetNamespace="http://schemas.microsoft.com/office/2006/metadata/properties" ma:root="true" ma:fieldsID="acb358bd3c4937f8c29cf3e1e721863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1572A7-2E36-4779-8753-C470023A8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BFDFAFE-919E-4462-8CC5-09D9A76BC3B0}">
  <ds:schemaRefs>
    <ds:schemaRef ds:uri="http://schemas.microsoft.com/sharepoint/v3/contenttype/forms"/>
  </ds:schemaRefs>
</ds:datastoreItem>
</file>

<file path=customXml/itemProps3.xml><?xml version="1.0" encoding="utf-8"?>
<ds:datastoreItem xmlns:ds="http://schemas.openxmlformats.org/officeDocument/2006/customXml" ds:itemID="{D368F9D5-F40B-45D8-B673-8038E33D7960}">
  <ds:schemaRefs>
    <ds:schemaRef ds:uri="http://schemas.openxmlformats.org/officeDocument/2006/bibliography"/>
  </ds:schemaRefs>
</ds:datastoreItem>
</file>

<file path=customXml/itemProps4.xml><?xml version="1.0" encoding="utf-8"?>
<ds:datastoreItem xmlns:ds="http://schemas.openxmlformats.org/officeDocument/2006/customXml" ds:itemID="{49559477-34BA-44A9-8E78-154A2F79657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Modelo Documento Azul</Template>
  <TotalTime>136</TotalTime>
  <Pages>116</Pages>
  <Words>39683</Words>
  <Characters>214292</Characters>
  <Application>Microsoft Office Word</Application>
  <DocSecurity>0</DocSecurity>
  <Lines>1785</Lines>
  <Paragraphs>506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Carvalho</dc:creator>
  <cp:lastModifiedBy>Lucas Carvalho</cp:lastModifiedBy>
  <cp:revision>10</cp:revision>
  <cp:lastPrinted>2019-09-30T17:55:00Z</cp:lastPrinted>
  <dcterms:created xsi:type="dcterms:W3CDTF">2022-05-04T14:43:00Z</dcterms:created>
  <dcterms:modified xsi:type="dcterms:W3CDTF">2022-05-04T17:32:00Z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0x0101000036F59C04359847920275F1F2E00336</vt:lpwstr>
  </property>
</Properties>
</file>