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761FD7" w:rsidRDefault="004254B5" w:rsidP="004254B5">
      <w:pPr>
        <w:tabs>
          <w:tab w:val="clear" w:pos="1615"/>
        </w:tabs>
        <w:spacing w:line="360" w:lineRule="auto"/>
        <w:jc w:val="center"/>
        <w:rPr>
          <w:rFonts w:asciiTheme="majorHAnsi" w:hAnsiTheme="majorHAnsi" w:cstheme="majorHAnsi"/>
          <w:b/>
          <w:sz w:val="32"/>
        </w:rPr>
      </w:pPr>
      <w:bookmarkStart w:id="0" w:name="_Hlk101252800"/>
      <w:r w:rsidRPr="00761FD7">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761FD7" w:rsidRDefault="004254B5" w:rsidP="004254B5">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761FD7" w:rsidRDefault="004254B5" w:rsidP="004254B5">
      <w:pPr>
        <w:tabs>
          <w:tab w:val="clear" w:pos="1615"/>
        </w:tabs>
        <w:jc w:val="center"/>
        <w:rPr>
          <w:rFonts w:asciiTheme="majorHAnsi" w:hAnsiTheme="majorHAnsi" w:cstheme="majorHAnsi"/>
          <w:b/>
          <w:sz w:val="56"/>
        </w:rPr>
      </w:pPr>
      <w:r w:rsidRPr="00761FD7">
        <w:rPr>
          <w:rFonts w:asciiTheme="majorHAnsi" w:hAnsiTheme="majorHAnsi" w:cstheme="majorHAnsi"/>
          <w:b/>
          <w:sz w:val="56"/>
        </w:rPr>
        <w:t>Estudo de Viabilidade de uma Universidade Distrital</w:t>
      </w:r>
    </w:p>
    <w:p w14:paraId="1DAC15F7" w14:textId="77777777" w:rsidR="004254B5" w:rsidRPr="00761FD7" w:rsidRDefault="004254B5" w:rsidP="004254B5">
      <w:pPr>
        <w:tabs>
          <w:tab w:val="clear" w:pos="1615"/>
        </w:tabs>
        <w:spacing w:after="0"/>
        <w:rPr>
          <w:rFonts w:asciiTheme="majorHAnsi" w:hAnsiTheme="majorHAnsi" w:cstheme="majorHAnsi"/>
          <w:b/>
          <w:color w:val="4875BD" w:themeColor="text1"/>
          <w:sz w:val="40"/>
          <w:szCs w:val="14"/>
        </w:rPr>
      </w:pPr>
    </w:p>
    <w:p w14:paraId="60505666" w14:textId="3A14A689" w:rsidR="004254B5" w:rsidRPr="00761FD7" w:rsidRDefault="00CA7418" w:rsidP="004254B5">
      <w:pPr>
        <w:tabs>
          <w:tab w:val="clear" w:pos="1615"/>
        </w:tabs>
        <w:ind w:left="567" w:right="424"/>
        <w:jc w:val="center"/>
        <w:rPr>
          <w:rFonts w:asciiTheme="majorHAnsi" w:hAnsiTheme="majorHAnsi" w:cstheme="majorHAnsi"/>
          <w:bCs/>
          <w:sz w:val="40"/>
          <w:szCs w:val="14"/>
        </w:rPr>
      </w:pPr>
      <w:r w:rsidRPr="00CA7418">
        <w:rPr>
          <w:rFonts w:asciiTheme="majorHAnsi" w:hAnsiTheme="majorHAnsi" w:cstheme="majorHAnsi"/>
          <w:bCs/>
          <w:sz w:val="40"/>
          <w:szCs w:val="14"/>
        </w:rPr>
        <w:t>Política para a Internacionalização</w:t>
      </w:r>
    </w:p>
    <w:p w14:paraId="050F69BD" w14:textId="77777777" w:rsidR="004254B5" w:rsidRPr="00761FD7" w:rsidRDefault="004254B5" w:rsidP="004254B5">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761FD7"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761FD7" w:rsidRDefault="004254B5" w:rsidP="00E01E20">
            <w:pPr>
              <w:tabs>
                <w:tab w:val="clear" w:pos="1615"/>
              </w:tabs>
              <w:spacing w:line="276" w:lineRule="auto"/>
              <w:jc w:val="center"/>
              <w:rPr>
                <w:rFonts w:asciiTheme="majorHAnsi" w:hAnsiTheme="majorHAnsi" w:cstheme="majorHAnsi"/>
                <w:b/>
                <w:bCs/>
                <w:sz w:val="28"/>
                <w:szCs w:val="28"/>
              </w:rPr>
            </w:pPr>
            <w:r w:rsidRPr="00761FD7">
              <w:rPr>
                <w:rFonts w:asciiTheme="majorHAnsi" w:hAnsiTheme="majorHAnsi" w:cstheme="majorHAnsi"/>
                <w:b/>
                <w:bCs/>
                <w:sz w:val="28"/>
                <w:szCs w:val="28"/>
              </w:rPr>
              <w:t>Identificação do Projeto</w:t>
            </w:r>
          </w:p>
        </w:tc>
      </w:tr>
      <w:tr w:rsidR="001E3720" w:rsidRPr="00761FD7"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33B31686" w:rsidR="001E3720" w:rsidRPr="00761FD7" w:rsidRDefault="001E3720" w:rsidP="001E3720">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3E5DE8A7" w:rsidR="001E3720" w:rsidRPr="00761FD7" w:rsidRDefault="001E3720" w:rsidP="001E3720">
            <w:pPr>
              <w:tabs>
                <w:tab w:val="clear" w:pos="1615"/>
              </w:tabs>
              <w:spacing w:line="276" w:lineRule="auto"/>
              <w:rPr>
                <w:rFonts w:asciiTheme="majorHAnsi" w:eastAsia="Calibri" w:hAnsiTheme="majorHAnsi" w:cstheme="majorHAnsi"/>
              </w:rPr>
            </w:pPr>
          </w:p>
        </w:tc>
      </w:tr>
      <w:tr w:rsidR="004254B5" w:rsidRPr="00761FD7"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761FD7" w:rsidRDefault="004254B5" w:rsidP="00E01E20">
            <w:pPr>
              <w:tabs>
                <w:tab w:val="clear" w:pos="1615"/>
              </w:tabs>
              <w:spacing w:line="276" w:lineRule="auto"/>
              <w:rPr>
                <w:rFonts w:asciiTheme="majorHAnsi" w:hAnsiTheme="majorHAnsi" w:cstheme="majorHAnsi"/>
              </w:rPr>
            </w:pPr>
            <w:r w:rsidRPr="00761FD7">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761FD7" w:rsidRDefault="001E3720" w:rsidP="00E01E20">
            <w:pPr>
              <w:tabs>
                <w:tab w:val="clear" w:pos="1615"/>
              </w:tabs>
              <w:spacing w:line="276" w:lineRule="auto"/>
              <w:rPr>
                <w:rFonts w:asciiTheme="majorHAnsi" w:eastAsia="Calibri" w:hAnsiTheme="majorHAnsi" w:cstheme="majorHAnsi"/>
              </w:rPr>
            </w:pPr>
            <w:r w:rsidRPr="001E3720">
              <w:rPr>
                <w:rFonts w:asciiTheme="majorHAnsi" w:hAnsiTheme="majorHAnsi" w:cstheme="majorHAnsi"/>
              </w:rPr>
              <w:t>Desenvolvimento de projeto de pesquisa de uma Universidade do Distrito Federal</w:t>
            </w:r>
          </w:p>
        </w:tc>
      </w:tr>
      <w:tr w:rsidR="004254B5" w:rsidRPr="00761FD7"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761FD7" w:rsidRDefault="004254B5" w:rsidP="00E01E20">
            <w:pPr>
              <w:tabs>
                <w:tab w:val="clear" w:pos="1615"/>
              </w:tabs>
              <w:spacing w:line="276" w:lineRule="auto"/>
              <w:rPr>
                <w:rFonts w:asciiTheme="majorHAnsi" w:hAnsiTheme="majorHAnsi" w:cstheme="majorHAnsi"/>
              </w:rPr>
            </w:pPr>
            <w:r w:rsidRPr="00761FD7">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33ED658D" w:rsidR="004254B5" w:rsidRPr="00761FD7" w:rsidRDefault="00CA7418" w:rsidP="00E01E20">
            <w:pPr>
              <w:tabs>
                <w:tab w:val="clear" w:pos="1615"/>
              </w:tabs>
              <w:spacing w:line="276" w:lineRule="auto"/>
              <w:rPr>
                <w:rFonts w:asciiTheme="majorHAnsi" w:hAnsiTheme="majorHAnsi" w:cstheme="majorHAnsi"/>
              </w:rPr>
            </w:pPr>
            <w:r w:rsidRPr="00CA7418">
              <w:rPr>
                <w:rFonts w:asciiTheme="majorHAnsi" w:hAnsiTheme="majorHAnsi" w:cstheme="majorHAnsi"/>
              </w:rPr>
              <w:t>Documento contendo a Proposição de Política para a Internacionalização</w:t>
            </w:r>
          </w:p>
        </w:tc>
      </w:tr>
      <w:tr w:rsidR="004254B5" w:rsidRPr="00761FD7"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761FD7" w:rsidRDefault="004254B5" w:rsidP="00E01E20">
            <w:pPr>
              <w:tabs>
                <w:tab w:val="clear" w:pos="1615"/>
              </w:tabs>
              <w:spacing w:line="276" w:lineRule="auto"/>
              <w:rPr>
                <w:rFonts w:asciiTheme="majorHAnsi" w:hAnsiTheme="majorHAnsi" w:cstheme="majorHAnsi"/>
              </w:rPr>
            </w:pPr>
            <w:r w:rsidRPr="00761FD7">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761FD7" w:rsidRDefault="004254B5" w:rsidP="00E01E20">
            <w:pPr>
              <w:tabs>
                <w:tab w:val="clear" w:pos="1615"/>
              </w:tabs>
              <w:spacing w:line="276" w:lineRule="auto"/>
              <w:rPr>
                <w:rFonts w:asciiTheme="majorHAnsi" w:hAnsiTheme="majorHAnsi" w:cstheme="majorHAnsi"/>
              </w:rPr>
            </w:pPr>
            <w:r w:rsidRPr="00761FD7">
              <w:rPr>
                <w:rFonts w:asciiTheme="majorHAnsi" w:hAnsiTheme="majorHAnsi" w:cstheme="majorHAnsi"/>
              </w:rPr>
              <w:t>Executiva</w:t>
            </w:r>
          </w:p>
        </w:tc>
      </w:tr>
      <w:tr w:rsidR="004254B5" w:rsidRPr="00761FD7"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761FD7" w:rsidRDefault="004254B5" w:rsidP="00E01E20">
            <w:pPr>
              <w:tabs>
                <w:tab w:val="clear" w:pos="1615"/>
              </w:tabs>
              <w:spacing w:line="276" w:lineRule="auto"/>
              <w:rPr>
                <w:rFonts w:asciiTheme="majorHAnsi" w:hAnsiTheme="majorHAnsi" w:cstheme="majorHAnsi"/>
              </w:rPr>
            </w:pPr>
            <w:r w:rsidRPr="00761FD7">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761FD7" w:rsidRDefault="004254B5" w:rsidP="00E01E20">
            <w:pPr>
              <w:tabs>
                <w:tab w:val="clear" w:pos="1615"/>
              </w:tabs>
              <w:spacing w:line="276" w:lineRule="auto"/>
              <w:rPr>
                <w:rFonts w:asciiTheme="majorHAnsi" w:eastAsia="Calibri" w:hAnsiTheme="majorHAnsi" w:cstheme="majorHAnsi"/>
              </w:rPr>
            </w:pPr>
            <w:r w:rsidRPr="00761FD7">
              <w:rPr>
                <w:rFonts w:asciiTheme="majorHAnsi" w:eastAsia="Calibri" w:hAnsiTheme="majorHAnsi" w:cstheme="majorHAnsi"/>
              </w:rPr>
              <w:t>Claudia Maffini Griboski</w:t>
            </w:r>
          </w:p>
        </w:tc>
      </w:tr>
      <w:tr w:rsidR="004254B5" w:rsidRPr="00761FD7"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761FD7" w:rsidRDefault="004254B5" w:rsidP="00E01E20">
            <w:pPr>
              <w:tabs>
                <w:tab w:val="clear" w:pos="1615"/>
              </w:tabs>
              <w:spacing w:line="276" w:lineRule="auto"/>
              <w:jc w:val="both"/>
              <w:rPr>
                <w:rFonts w:asciiTheme="majorHAnsi" w:hAnsiTheme="majorHAnsi" w:cstheme="majorHAnsi"/>
              </w:rPr>
            </w:pPr>
            <w:r w:rsidRPr="00761FD7">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1C1157E6" w:rsidR="004254B5" w:rsidRPr="00761FD7" w:rsidRDefault="00CA7418" w:rsidP="00E01E20">
            <w:pPr>
              <w:tabs>
                <w:tab w:val="clear" w:pos="1615"/>
              </w:tabs>
              <w:spacing w:line="276" w:lineRule="auto"/>
              <w:rPr>
                <w:rFonts w:asciiTheme="majorHAnsi" w:eastAsia="Calibri" w:hAnsiTheme="majorHAnsi" w:cstheme="majorHAnsi"/>
              </w:rPr>
            </w:pPr>
            <w:r w:rsidRPr="00CA7418">
              <w:rPr>
                <w:rFonts w:asciiTheme="majorHAnsi" w:eastAsia="Calibri" w:hAnsiTheme="majorHAnsi" w:cstheme="majorHAnsi"/>
              </w:rPr>
              <w:t>Marilia Morosini</w:t>
            </w:r>
          </w:p>
        </w:tc>
      </w:tr>
      <w:tr w:rsidR="004254B5" w:rsidRPr="00761FD7"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761FD7" w:rsidRDefault="004254B5" w:rsidP="00E01E20">
            <w:pPr>
              <w:tabs>
                <w:tab w:val="clear" w:pos="1615"/>
              </w:tabs>
              <w:spacing w:line="276" w:lineRule="auto"/>
              <w:rPr>
                <w:rFonts w:asciiTheme="majorHAnsi" w:hAnsiTheme="majorHAnsi" w:cstheme="majorHAnsi"/>
              </w:rPr>
            </w:pPr>
            <w:r w:rsidRPr="00761FD7">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10E1DDCC" w:rsidR="004254B5" w:rsidRPr="00761FD7" w:rsidRDefault="00CA7418" w:rsidP="00E01E20">
            <w:pPr>
              <w:tabs>
                <w:tab w:val="clear" w:pos="1615"/>
              </w:tabs>
              <w:spacing w:line="276" w:lineRule="auto"/>
              <w:rPr>
                <w:rFonts w:asciiTheme="majorHAnsi" w:eastAsia="Calibri" w:hAnsiTheme="majorHAnsi" w:cstheme="majorHAnsi"/>
              </w:rPr>
            </w:pPr>
            <w:r w:rsidRPr="00CA7418">
              <w:rPr>
                <w:rFonts w:asciiTheme="majorHAnsi" w:eastAsia="Calibri" w:hAnsiTheme="majorHAnsi" w:cstheme="majorHAnsi"/>
              </w:rPr>
              <w:t>24/02/2022</w:t>
            </w:r>
          </w:p>
        </w:tc>
      </w:tr>
    </w:tbl>
    <w:p w14:paraId="4964335C" w14:textId="77777777" w:rsidR="004254B5" w:rsidRDefault="004254B5" w:rsidP="004254B5">
      <w:pPr>
        <w:tabs>
          <w:tab w:val="clear" w:pos="1615"/>
        </w:tabs>
        <w:jc w:val="center"/>
        <w:rPr>
          <w:rFonts w:asciiTheme="majorHAnsi" w:hAnsiTheme="majorHAnsi" w:cstheme="majorHAnsi"/>
          <w:bCs/>
          <w:noProof/>
          <w:lang w:eastAsia="pt-BR"/>
        </w:rPr>
      </w:pPr>
    </w:p>
    <w:p w14:paraId="241336ED" w14:textId="77777777" w:rsidR="004254B5" w:rsidRDefault="004254B5" w:rsidP="004254B5">
      <w:pPr>
        <w:tabs>
          <w:tab w:val="clear" w:pos="1615"/>
        </w:tabs>
        <w:jc w:val="center"/>
        <w:rPr>
          <w:rFonts w:asciiTheme="majorHAnsi" w:hAnsiTheme="majorHAnsi" w:cstheme="majorHAnsi"/>
          <w:bCs/>
          <w:noProof/>
          <w:lang w:eastAsia="pt-BR"/>
        </w:rPr>
      </w:pPr>
    </w:p>
    <w:p w14:paraId="102EE829" w14:textId="77777777" w:rsidR="004254B5" w:rsidRDefault="004254B5" w:rsidP="004254B5">
      <w:pPr>
        <w:tabs>
          <w:tab w:val="clear" w:pos="1615"/>
        </w:tabs>
        <w:jc w:val="center"/>
        <w:rPr>
          <w:rFonts w:asciiTheme="majorHAnsi" w:hAnsiTheme="majorHAnsi" w:cstheme="majorHAnsi"/>
          <w:bCs/>
          <w:noProof/>
          <w:lang w:eastAsia="pt-BR"/>
        </w:rPr>
      </w:pPr>
    </w:p>
    <w:p w14:paraId="728D1A00" w14:textId="77777777" w:rsidR="004254B5" w:rsidRDefault="004254B5" w:rsidP="004254B5">
      <w:pPr>
        <w:tabs>
          <w:tab w:val="clear" w:pos="1615"/>
        </w:tabs>
        <w:jc w:val="center"/>
        <w:rPr>
          <w:rFonts w:asciiTheme="majorHAnsi" w:hAnsiTheme="majorHAnsi" w:cstheme="majorHAnsi"/>
          <w:bCs/>
          <w:noProof/>
          <w:lang w:eastAsia="pt-BR"/>
        </w:rPr>
      </w:pPr>
    </w:p>
    <w:p w14:paraId="2A2B592E" w14:textId="77777777" w:rsidR="004254B5" w:rsidRDefault="004254B5" w:rsidP="004254B5">
      <w:pPr>
        <w:tabs>
          <w:tab w:val="clear" w:pos="1615"/>
        </w:tabs>
        <w:jc w:val="center"/>
        <w:rPr>
          <w:rFonts w:asciiTheme="majorHAnsi" w:hAnsiTheme="majorHAnsi" w:cstheme="majorHAnsi"/>
          <w:bCs/>
          <w:noProof/>
          <w:lang w:eastAsia="pt-BR"/>
        </w:rPr>
      </w:pPr>
    </w:p>
    <w:p w14:paraId="5C08F1D5" w14:textId="77777777" w:rsidR="004254B5" w:rsidRDefault="004254B5" w:rsidP="004254B5">
      <w:pPr>
        <w:tabs>
          <w:tab w:val="clear" w:pos="1615"/>
        </w:tabs>
        <w:jc w:val="center"/>
        <w:rPr>
          <w:rFonts w:asciiTheme="majorHAnsi" w:hAnsiTheme="majorHAnsi" w:cstheme="majorHAnsi"/>
          <w:bCs/>
          <w:noProof/>
          <w:lang w:eastAsia="pt-BR"/>
        </w:rPr>
      </w:pPr>
    </w:p>
    <w:p w14:paraId="5E325417" w14:textId="77777777" w:rsidR="004254B5" w:rsidRDefault="004254B5" w:rsidP="004254B5">
      <w:pPr>
        <w:tabs>
          <w:tab w:val="clear" w:pos="1615"/>
        </w:tabs>
        <w:jc w:val="center"/>
        <w:rPr>
          <w:rFonts w:asciiTheme="majorHAnsi" w:hAnsiTheme="majorHAnsi" w:cstheme="majorHAnsi"/>
          <w:bCs/>
          <w:noProof/>
          <w:lang w:eastAsia="pt-BR"/>
        </w:rPr>
      </w:pPr>
    </w:p>
    <w:p w14:paraId="4BD0DCC8" w14:textId="77777777" w:rsidR="004254B5" w:rsidRDefault="004254B5" w:rsidP="004254B5">
      <w:pPr>
        <w:tabs>
          <w:tab w:val="clear" w:pos="1615"/>
        </w:tabs>
        <w:jc w:val="center"/>
        <w:rPr>
          <w:rFonts w:asciiTheme="majorHAnsi" w:hAnsiTheme="majorHAnsi" w:cstheme="majorHAnsi"/>
          <w:bCs/>
          <w:noProof/>
          <w:lang w:eastAsia="pt-BR"/>
        </w:rPr>
      </w:pPr>
    </w:p>
    <w:p w14:paraId="26B2CA1C" w14:textId="77777777" w:rsidR="004254B5" w:rsidRDefault="004254B5" w:rsidP="004254B5">
      <w:pPr>
        <w:tabs>
          <w:tab w:val="clear" w:pos="1615"/>
        </w:tabs>
        <w:jc w:val="center"/>
        <w:rPr>
          <w:rFonts w:asciiTheme="majorHAnsi" w:hAnsiTheme="majorHAnsi" w:cstheme="majorHAnsi"/>
          <w:bCs/>
          <w:noProof/>
          <w:lang w:eastAsia="pt-BR"/>
        </w:rPr>
      </w:pPr>
    </w:p>
    <w:p w14:paraId="34006BC4" w14:textId="77777777" w:rsidR="004254B5" w:rsidRDefault="004254B5" w:rsidP="004254B5">
      <w:pPr>
        <w:tabs>
          <w:tab w:val="clear" w:pos="1615"/>
        </w:tabs>
        <w:jc w:val="center"/>
        <w:rPr>
          <w:rFonts w:asciiTheme="majorHAnsi" w:hAnsiTheme="majorHAnsi" w:cstheme="majorHAnsi"/>
          <w:bCs/>
          <w:noProof/>
          <w:lang w:eastAsia="pt-BR"/>
        </w:rPr>
      </w:pPr>
    </w:p>
    <w:p w14:paraId="0F32FEA5" w14:textId="77777777" w:rsidR="004254B5" w:rsidRPr="00761FD7" w:rsidRDefault="004254B5" w:rsidP="004254B5">
      <w:pPr>
        <w:tabs>
          <w:tab w:val="clear" w:pos="1615"/>
        </w:tabs>
        <w:jc w:val="center"/>
        <w:rPr>
          <w:rFonts w:asciiTheme="majorHAnsi" w:hAnsiTheme="majorHAnsi" w:cstheme="majorHAnsi"/>
          <w:bCs/>
          <w:noProof/>
          <w:lang w:eastAsia="pt-BR"/>
        </w:rPr>
      </w:pPr>
    </w:p>
    <w:p w14:paraId="325FBB83" w14:textId="77777777" w:rsidR="004254B5" w:rsidRDefault="004254B5" w:rsidP="004254B5">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761FD7">
        <w:rPr>
          <w:rFonts w:asciiTheme="majorHAnsi" w:hAnsiTheme="majorHAnsi" w:cstheme="majorHAnsi"/>
          <w:bCs/>
          <w:noProof/>
          <w:lang w:eastAsia="pt-BR"/>
        </w:rPr>
        <w:br w:type="column"/>
      </w:r>
      <w:bookmarkStart w:id="1" w:name="_Toc82099826"/>
      <w:r w:rsidRPr="00761FD7">
        <w:rPr>
          <w:rFonts w:asciiTheme="majorHAnsi" w:hAnsiTheme="majorHAnsi" w:cstheme="majorHAnsi"/>
          <w:b/>
          <w:color w:val="4875BD" w:themeColor="accent1"/>
          <w:sz w:val="44"/>
          <w:szCs w:val="36"/>
        </w:rPr>
        <w:lastRenderedPageBreak/>
        <w:t>SUMÁRIO</w:t>
      </w:r>
    </w:p>
    <w:p w14:paraId="1DA95394" w14:textId="77777777" w:rsidR="004254B5" w:rsidRPr="00C96021" w:rsidRDefault="004254B5" w:rsidP="004254B5">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A44C62" w:rsidRPr="00761FD7" w14:paraId="0B57024D" w14:textId="77777777" w:rsidTr="00405204">
        <w:trPr>
          <w:trHeight w:val="391"/>
        </w:trPr>
        <w:tc>
          <w:tcPr>
            <w:tcW w:w="7650" w:type="dxa"/>
          </w:tcPr>
          <w:p w14:paraId="268BCCF7" w14:textId="5FD299DD" w:rsidR="00A44C62" w:rsidRPr="00BC4337" w:rsidRDefault="00A44C62" w:rsidP="00A44C62">
            <w:pPr>
              <w:tabs>
                <w:tab w:val="clear" w:pos="1615"/>
              </w:tabs>
              <w:outlineLvl w:val="0"/>
            </w:pPr>
            <w:r w:rsidRPr="00306060">
              <w:t>1. INTRODUÇÃO</w:t>
            </w:r>
          </w:p>
        </w:tc>
        <w:tc>
          <w:tcPr>
            <w:tcW w:w="1417" w:type="dxa"/>
          </w:tcPr>
          <w:p w14:paraId="5C42D7A0" w14:textId="7B041616" w:rsidR="00A44C62" w:rsidRPr="00761FD7" w:rsidRDefault="00CA7418" w:rsidP="00A44C6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4</w:t>
            </w:r>
          </w:p>
        </w:tc>
      </w:tr>
      <w:tr w:rsidR="00A44C62" w:rsidRPr="00761FD7" w14:paraId="78D0E9CD" w14:textId="77777777" w:rsidTr="00405204">
        <w:trPr>
          <w:trHeight w:val="391"/>
        </w:trPr>
        <w:tc>
          <w:tcPr>
            <w:tcW w:w="7650" w:type="dxa"/>
          </w:tcPr>
          <w:p w14:paraId="4AADF7D5" w14:textId="77777777" w:rsidR="00A44C62" w:rsidRPr="00BC4337" w:rsidRDefault="00A44C62" w:rsidP="00A44C62">
            <w:pPr>
              <w:tabs>
                <w:tab w:val="clear" w:pos="1615"/>
              </w:tabs>
              <w:outlineLvl w:val="0"/>
            </w:pPr>
          </w:p>
        </w:tc>
        <w:tc>
          <w:tcPr>
            <w:tcW w:w="1417" w:type="dxa"/>
          </w:tcPr>
          <w:p w14:paraId="0F0974C2" w14:textId="77777777" w:rsidR="00A44C62" w:rsidRPr="00761FD7" w:rsidRDefault="00A44C62" w:rsidP="00A44C62">
            <w:pPr>
              <w:pStyle w:val="PargrafodaLista"/>
              <w:tabs>
                <w:tab w:val="clear" w:pos="1615"/>
              </w:tabs>
              <w:ind w:left="0"/>
              <w:outlineLvl w:val="0"/>
              <w:rPr>
                <w:rFonts w:asciiTheme="majorHAnsi" w:hAnsiTheme="majorHAnsi" w:cstheme="majorHAnsi"/>
                <w:bCs/>
              </w:rPr>
            </w:pPr>
          </w:p>
        </w:tc>
      </w:tr>
      <w:tr w:rsidR="00A44C62" w:rsidRPr="00761FD7" w14:paraId="11BD6634" w14:textId="77777777" w:rsidTr="00405204">
        <w:trPr>
          <w:trHeight w:val="391"/>
        </w:trPr>
        <w:tc>
          <w:tcPr>
            <w:tcW w:w="7650" w:type="dxa"/>
          </w:tcPr>
          <w:p w14:paraId="1D7185B6" w14:textId="2C0374E0" w:rsidR="00A44C62" w:rsidRPr="00BC4337" w:rsidRDefault="00A44C62" w:rsidP="00A44C62">
            <w:pPr>
              <w:tabs>
                <w:tab w:val="clear" w:pos="1615"/>
              </w:tabs>
              <w:outlineLvl w:val="0"/>
            </w:pPr>
            <w:r w:rsidRPr="00306060">
              <w:t>2. INTERNACIONALIZAÇÃO DA EDUCAÇÃO SUPERIOR</w:t>
            </w:r>
          </w:p>
        </w:tc>
        <w:tc>
          <w:tcPr>
            <w:tcW w:w="1417" w:type="dxa"/>
          </w:tcPr>
          <w:p w14:paraId="27235695" w14:textId="5E1AF742" w:rsidR="00A44C62" w:rsidRPr="00761FD7" w:rsidRDefault="00CA7418" w:rsidP="00A44C6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8</w:t>
            </w:r>
          </w:p>
        </w:tc>
      </w:tr>
      <w:tr w:rsidR="00A44C62" w:rsidRPr="00761FD7" w14:paraId="0EFBB763" w14:textId="77777777" w:rsidTr="00405204">
        <w:trPr>
          <w:trHeight w:val="391"/>
        </w:trPr>
        <w:tc>
          <w:tcPr>
            <w:tcW w:w="7650" w:type="dxa"/>
          </w:tcPr>
          <w:p w14:paraId="42AD6621" w14:textId="77777777" w:rsidR="00A44C62" w:rsidRPr="00BC4337" w:rsidRDefault="00A44C62" w:rsidP="00A44C62">
            <w:pPr>
              <w:tabs>
                <w:tab w:val="clear" w:pos="1615"/>
              </w:tabs>
              <w:outlineLvl w:val="0"/>
            </w:pPr>
          </w:p>
        </w:tc>
        <w:tc>
          <w:tcPr>
            <w:tcW w:w="1417" w:type="dxa"/>
          </w:tcPr>
          <w:p w14:paraId="1133E598" w14:textId="77777777" w:rsidR="00A44C62" w:rsidRPr="00761FD7" w:rsidRDefault="00A44C62" w:rsidP="00A44C62">
            <w:pPr>
              <w:pStyle w:val="PargrafodaLista"/>
              <w:tabs>
                <w:tab w:val="clear" w:pos="1615"/>
              </w:tabs>
              <w:ind w:left="0"/>
              <w:outlineLvl w:val="0"/>
              <w:rPr>
                <w:rFonts w:asciiTheme="majorHAnsi" w:hAnsiTheme="majorHAnsi" w:cstheme="majorHAnsi"/>
                <w:bCs/>
              </w:rPr>
            </w:pPr>
          </w:p>
        </w:tc>
      </w:tr>
      <w:tr w:rsidR="00A44C62" w:rsidRPr="00761FD7" w14:paraId="3860B1E8" w14:textId="77777777" w:rsidTr="00405204">
        <w:trPr>
          <w:trHeight w:val="391"/>
        </w:trPr>
        <w:tc>
          <w:tcPr>
            <w:tcW w:w="7650" w:type="dxa"/>
          </w:tcPr>
          <w:p w14:paraId="03F81715" w14:textId="05116F76" w:rsidR="00A44C62" w:rsidRPr="00761FD7" w:rsidRDefault="00A44C62" w:rsidP="00A44C62">
            <w:pPr>
              <w:tabs>
                <w:tab w:val="clear" w:pos="1615"/>
              </w:tabs>
              <w:outlineLvl w:val="0"/>
              <w:rPr>
                <w:rFonts w:asciiTheme="majorHAnsi" w:hAnsiTheme="majorHAnsi" w:cstheme="majorHAnsi"/>
                <w:bCs/>
              </w:rPr>
            </w:pPr>
            <w:r w:rsidRPr="00306060">
              <w:t>2.1. DA PERIFERIA AO CENTRO DO SISTEMA DE EDUCAÇÃO SUPERIOR: UM PANORAMA HISTÓRICO</w:t>
            </w:r>
          </w:p>
        </w:tc>
        <w:tc>
          <w:tcPr>
            <w:tcW w:w="1417" w:type="dxa"/>
          </w:tcPr>
          <w:p w14:paraId="5F9A2A96" w14:textId="4B8C761E" w:rsidR="00A44C62" w:rsidRPr="00761FD7" w:rsidRDefault="00CA7418" w:rsidP="00A44C6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8</w:t>
            </w:r>
          </w:p>
        </w:tc>
      </w:tr>
      <w:tr w:rsidR="00A44C62" w:rsidRPr="00761FD7" w14:paraId="0744DDF5" w14:textId="77777777" w:rsidTr="00405204">
        <w:trPr>
          <w:trHeight w:val="391"/>
        </w:trPr>
        <w:tc>
          <w:tcPr>
            <w:tcW w:w="7650" w:type="dxa"/>
          </w:tcPr>
          <w:p w14:paraId="7095DCF5" w14:textId="77777777" w:rsidR="00A44C62" w:rsidRPr="00761FD7" w:rsidRDefault="00A44C62" w:rsidP="00A44C62">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A44C62" w:rsidRPr="00761FD7" w:rsidRDefault="00A44C62" w:rsidP="00A44C62">
            <w:pPr>
              <w:pStyle w:val="PargrafodaLista"/>
              <w:tabs>
                <w:tab w:val="clear" w:pos="1615"/>
              </w:tabs>
              <w:ind w:left="0"/>
              <w:outlineLvl w:val="0"/>
              <w:rPr>
                <w:rFonts w:asciiTheme="majorHAnsi" w:hAnsiTheme="majorHAnsi" w:cstheme="majorHAnsi"/>
                <w:bCs/>
              </w:rPr>
            </w:pPr>
          </w:p>
        </w:tc>
      </w:tr>
      <w:tr w:rsidR="00A44C62" w:rsidRPr="00761FD7" w14:paraId="6EB04FA9" w14:textId="77777777" w:rsidTr="00405204">
        <w:trPr>
          <w:trHeight w:val="391"/>
        </w:trPr>
        <w:tc>
          <w:tcPr>
            <w:tcW w:w="7650" w:type="dxa"/>
          </w:tcPr>
          <w:p w14:paraId="7803B4C0" w14:textId="2027FB9A" w:rsidR="00A44C62" w:rsidRPr="00761FD7" w:rsidRDefault="00A44C62" w:rsidP="00A44C62">
            <w:pPr>
              <w:tabs>
                <w:tab w:val="clear" w:pos="1615"/>
              </w:tabs>
              <w:rPr>
                <w:rFonts w:asciiTheme="majorHAnsi" w:hAnsiTheme="majorHAnsi" w:cstheme="majorHAnsi"/>
                <w:bCs/>
              </w:rPr>
            </w:pPr>
            <w:r w:rsidRPr="00306060">
              <w:t>2.2. A INTERNACIONALIZAÇÃO EM CONTEXTOS EMERGENTES: UM CAMPO CIENTÍFICO EM TENSÃO</w:t>
            </w:r>
          </w:p>
        </w:tc>
        <w:tc>
          <w:tcPr>
            <w:tcW w:w="1417" w:type="dxa"/>
          </w:tcPr>
          <w:p w14:paraId="413A2528" w14:textId="669C4040" w:rsidR="00A44C62" w:rsidRPr="00761FD7" w:rsidRDefault="00CA7418" w:rsidP="00A44C62">
            <w:pPr>
              <w:pStyle w:val="PargrafodaLista"/>
              <w:tabs>
                <w:tab w:val="clear" w:pos="1615"/>
              </w:tabs>
              <w:ind w:left="0"/>
              <w:rPr>
                <w:rFonts w:asciiTheme="majorHAnsi" w:hAnsiTheme="majorHAnsi" w:cstheme="majorHAnsi"/>
                <w:bCs/>
              </w:rPr>
            </w:pPr>
            <w:r>
              <w:rPr>
                <w:rFonts w:asciiTheme="majorHAnsi" w:hAnsiTheme="majorHAnsi" w:cstheme="majorHAnsi"/>
                <w:bCs/>
              </w:rPr>
              <w:t>9</w:t>
            </w:r>
          </w:p>
        </w:tc>
      </w:tr>
      <w:tr w:rsidR="00A44C62" w:rsidRPr="00761FD7" w14:paraId="3B4DF34E" w14:textId="77777777" w:rsidTr="00405204">
        <w:trPr>
          <w:trHeight w:val="391"/>
        </w:trPr>
        <w:tc>
          <w:tcPr>
            <w:tcW w:w="7650" w:type="dxa"/>
          </w:tcPr>
          <w:p w14:paraId="7CED0851" w14:textId="77777777" w:rsidR="00A44C62" w:rsidRPr="00761FD7" w:rsidRDefault="00A44C62" w:rsidP="00A44C62">
            <w:pPr>
              <w:pStyle w:val="PargrafodaLista"/>
              <w:tabs>
                <w:tab w:val="clear" w:pos="1615"/>
              </w:tabs>
              <w:ind w:left="0"/>
              <w:rPr>
                <w:rFonts w:asciiTheme="majorHAnsi" w:hAnsiTheme="majorHAnsi" w:cstheme="majorHAnsi"/>
                <w:bCs/>
              </w:rPr>
            </w:pPr>
          </w:p>
        </w:tc>
        <w:tc>
          <w:tcPr>
            <w:tcW w:w="1417" w:type="dxa"/>
          </w:tcPr>
          <w:p w14:paraId="2C650A6E" w14:textId="77777777" w:rsidR="00A44C62" w:rsidRPr="00761FD7" w:rsidRDefault="00A44C62" w:rsidP="00A44C62">
            <w:pPr>
              <w:pStyle w:val="PargrafodaLista"/>
              <w:tabs>
                <w:tab w:val="clear" w:pos="1615"/>
              </w:tabs>
              <w:ind w:left="0"/>
              <w:rPr>
                <w:rFonts w:asciiTheme="majorHAnsi" w:hAnsiTheme="majorHAnsi" w:cstheme="majorHAnsi"/>
                <w:bCs/>
              </w:rPr>
            </w:pPr>
          </w:p>
        </w:tc>
      </w:tr>
      <w:tr w:rsidR="00A44C62" w:rsidRPr="00761FD7" w14:paraId="7C5F6E6F" w14:textId="77777777" w:rsidTr="00405204">
        <w:trPr>
          <w:trHeight w:val="391"/>
        </w:trPr>
        <w:tc>
          <w:tcPr>
            <w:tcW w:w="7650" w:type="dxa"/>
          </w:tcPr>
          <w:p w14:paraId="387BCCE8" w14:textId="537E0F2F" w:rsidR="00A44C62" w:rsidRPr="00761FD7" w:rsidRDefault="00A44C62" w:rsidP="00A44C62">
            <w:pPr>
              <w:tabs>
                <w:tab w:val="clear" w:pos="1615"/>
              </w:tabs>
              <w:rPr>
                <w:rFonts w:asciiTheme="majorHAnsi" w:hAnsiTheme="majorHAnsi" w:cstheme="majorHAnsi"/>
                <w:bCs/>
              </w:rPr>
            </w:pPr>
            <w:r w:rsidRPr="00306060">
              <w:t xml:space="preserve">2.3. A INTERNACIONALIZAÇÃO DA EDUCAÇÃO SUPERIOR E SUAS INTERFACES </w:t>
            </w:r>
          </w:p>
        </w:tc>
        <w:tc>
          <w:tcPr>
            <w:tcW w:w="1417" w:type="dxa"/>
          </w:tcPr>
          <w:p w14:paraId="0070A465" w14:textId="77D69861" w:rsidR="00A44C62" w:rsidRPr="00761FD7" w:rsidRDefault="00CA7418" w:rsidP="00A44C62">
            <w:pPr>
              <w:pStyle w:val="PargrafodaLista"/>
              <w:tabs>
                <w:tab w:val="clear" w:pos="1615"/>
              </w:tabs>
              <w:ind w:left="0"/>
              <w:rPr>
                <w:rFonts w:asciiTheme="majorHAnsi" w:hAnsiTheme="majorHAnsi" w:cstheme="majorHAnsi"/>
                <w:bCs/>
              </w:rPr>
            </w:pPr>
            <w:r>
              <w:rPr>
                <w:rFonts w:asciiTheme="majorHAnsi" w:hAnsiTheme="majorHAnsi" w:cstheme="majorHAnsi"/>
                <w:bCs/>
              </w:rPr>
              <w:t>12</w:t>
            </w:r>
          </w:p>
        </w:tc>
      </w:tr>
      <w:tr w:rsidR="00A44C62" w:rsidRPr="00761FD7" w14:paraId="12284E08" w14:textId="77777777" w:rsidTr="00405204">
        <w:trPr>
          <w:trHeight w:val="391"/>
        </w:trPr>
        <w:tc>
          <w:tcPr>
            <w:tcW w:w="7650" w:type="dxa"/>
          </w:tcPr>
          <w:p w14:paraId="741C9DEB" w14:textId="77777777" w:rsidR="00A44C62" w:rsidRPr="00761FD7" w:rsidRDefault="00A44C62" w:rsidP="00A44C62">
            <w:pPr>
              <w:tabs>
                <w:tab w:val="clear" w:pos="1615"/>
              </w:tabs>
              <w:rPr>
                <w:rFonts w:asciiTheme="majorHAnsi" w:hAnsiTheme="majorHAnsi" w:cstheme="majorHAnsi"/>
                <w:bCs/>
              </w:rPr>
            </w:pPr>
          </w:p>
        </w:tc>
        <w:tc>
          <w:tcPr>
            <w:tcW w:w="1417" w:type="dxa"/>
          </w:tcPr>
          <w:p w14:paraId="08E34705" w14:textId="77777777" w:rsidR="00A44C62" w:rsidRPr="00761FD7" w:rsidRDefault="00A44C62" w:rsidP="00A44C62">
            <w:pPr>
              <w:tabs>
                <w:tab w:val="clear" w:pos="1615"/>
              </w:tabs>
              <w:rPr>
                <w:rFonts w:asciiTheme="majorHAnsi" w:hAnsiTheme="majorHAnsi" w:cstheme="majorHAnsi"/>
                <w:bCs/>
              </w:rPr>
            </w:pPr>
          </w:p>
        </w:tc>
      </w:tr>
      <w:tr w:rsidR="00A44C62" w:rsidRPr="00761FD7" w14:paraId="320BD5A6" w14:textId="77777777" w:rsidTr="00405204">
        <w:trPr>
          <w:trHeight w:val="391"/>
        </w:trPr>
        <w:tc>
          <w:tcPr>
            <w:tcW w:w="7650" w:type="dxa"/>
          </w:tcPr>
          <w:p w14:paraId="2F4639C3" w14:textId="37510688" w:rsidR="00A44C62" w:rsidRPr="00761FD7" w:rsidRDefault="00A44C62" w:rsidP="00A44C62">
            <w:pPr>
              <w:tabs>
                <w:tab w:val="clear" w:pos="1615"/>
              </w:tabs>
              <w:rPr>
                <w:rFonts w:asciiTheme="majorHAnsi" w:hAnsiTheme="majorHAnsi" w:cstheme="majorHAnsi"/>
                <w:bCs/>
              </w:rPr>
            </w:pPr>
            <w:r w:rsidRPr="00306060">
              <w:t xml:space="preserve">2.3.1. INTERNACIONALIZAÇÃO PARA O DESENVOLVIMENTO SUSTENTÁVEL E A APRENDIZAGEM – A PERSPECTIVA GLOBAL </w:t>
            </w:r>
          </w:p>
        </w:tc>
        <w:tc>
          <w:tcPr>
            <w:tcW w:w="1417" w:type="dxa"/>
          </w:tcPr>
          <w:p w14:paraId="3422B1CD" w14:textId="77CDE1EF"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12</w:t>
            </w:r>
          </w:p>
        </w:tc>
      </w:tr>
      <w:tr w:rsidR="00A44C62" w:rsidRPr="00761FD7" w14:paraId="3C5AAE02" w14:textId="77777777" w:rsidTr="00405204">
        <w:trPr>
          <w:trHeight w:val="391"/>
        </w:trPr>
        <w:tc>
          <w:tcPr>
            <w:tcW w:w="7650" w:type="dxa"/>
          </w:tcPr>
          <w:p w14:paraId="0B10026C" w14:textId="77777777" w:rsidR="00A44C62" w:rsidRPr="00761FD7" w:rsidRDefault="00A44C62" w:rsidP="00A44C62">
            <w:pPr>
              <w:tabs>
                <w:tab w:val="clear" w:pos="1615"/>
              </w:tabs>
              <w:rPr>
                <w:rFonts w:asciiTheme="majorHAnsi" w:hAnsiTheme="majorHAnsi" w:cstheme="majorHAnsi"/>
                <w:bCs/>
              </w:rPr>
            </w:pPr>
          </w:p>
        </w:tc>
        <w:tc>
          <w:tcPr>
            <w:tcW w:w="1417" w:type="dxa"/>
          </w:tcPr>
          <w:p w14:paraId="003996CC" w14:textId="77777777" w:rsidR="00A44C62" w:rsidRPr="00761FD7" w:rsidRDefault="00A44C62" w:rsidP="00A44C62">
            <w:pPr>
              <w:tabs>
                <w:tab w:val="clear" w:pos="1615"/>
              </w:tabs>
              <w:rPr>
                <w:rFonts w:asciiTheme="majorHAnsi" w:hAnsiTheme="majorHAnsi" w:cstheme="majorHAnsi"/>
                <w:bCs/>
              </w:rPr>
            </w:pPr>
          </w:p>
        </w:tc>
      </w:tr>
      <w:tr w:rsidR="00A44C62" w:rsidRPr="00761FD7" w14:paraId="75AFEA60" w14:textId="77777777" w:rsidTr="00405204">
        <w:trPr>
          <w:trHeight w:val="391"/>
        </w:trPr>
        <w:tc>
          <w:tcPr>
            <w:tcW w:w="7650" w:type="dxa"/>
          </w:tcPr>
          <w:p w14:paraId="7DD24868" w14:textId="1D94D778" w:rsidR="00A44C62" w:rsidRPr="00761FD7" w:rsidRDefault="00A44C62" w:rsidP="00A44C62">
            <w:pPr>
              <w:tabs>
                <w:tab w:val="clear" w:pos="1615"/>
              </w:tabs>
              <w:rPr>
                <w:rFonts w:asciiTheme="majorHAnsi" w:hAnsiTheme="majorHAnsi" w:cstheme="majorHAnsi"/>
                <w:bCs/>
              </w:rPr>
            </w:pPr>
            <w:r w:rsidRPr="00306060">
              <w:t>2.3.2. INTERNACIONALIZAÇÃO E INTEGRAÇÃO SOLIDÁRIA – A PERSPECTIVA REGIONAL</w:t>
            </w:r>
          </w:p>
        </w:tc>
        <w:tc>
          <w:tcPr>
            <w:tcW w:w="1417" w:type="dxa"/>
          </w:tcPr>
          <w:p w14:paraId="0730C987" w14:textId="27538E28"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13</w:t>
            </w:r>
          </w:p>
        </w:tc>
      </w:tr>
      <w:tr w:rsidR="00A44C62" w:rsidRPr="00761FD7" w14:paraId="791DAC88" w14:textId="77777777" w:rsidTr="00405204">
        <w:trPr>
          <w:trHeight w:val="391"/>
        </w:trPr>
        <w:tc>
          <w:tcPr>
            <w:tcW w:w="7650" w:type="dxa"/>
          </w:tcPr>
          <w:p w14:paraId="78BF56C3" w14:textId="77777777" w:rsidR="00A44C62" w:rsidRPr="00761FD7" w:rsidRDefault="00A44C62" w:rsidP="00A44C62">
            <w:pPr>
              <w:tabs>
                <w:tab w:val="clear" w:pos="1615"/>
              </w:tabs>
              <w:outlineLvl w:val="0"/>
              <w:rPr>
                <w:rFonts w:asciiTheme="majorHAnsi" w:hAnsiTheme="majorHAnsi" w:cstheme="majorHAnsi"/>
                <w:bCs/>
              </w:rPr>
            </w:pPr>
          </w:p>
        </w:tc>
        <w:tc>
          <w:tcPr>
            <w:tcW w:w="1417" w:type="dxa"/>
          </w:tcPr>
          <w:p w14:paraId="5F707AA3" w14:textId="77777777" w:rsidR="00A44C62" w:rsidRPr="00761FD7" w:rsidRDefault="00A44C62" w:rsidP="00A44C62">
            <w:pPr>
              <w:tabs>
                <w:tab w:val="clear" w:pos="1615"/>
              </w:tabs>
              <w:outlineLvl w:val="0"/>
              <w:rPr>
                <w:rFonts w:asciiTheme="majorHAnsi" w:hAnsiTheme="majorHAnsi" w:cstheme="majorHAnsi"/>
                <w:bCs/>
              </w:rPr>
            </w:pPr>
          </w:p>
        </w:tc>
      </w:tr>
      <w:tr w:rsidR="00A44C62" w:rsidRPr="00761FD7" w14:paraId="7B655D55" w14:textId="77777777" w:rsidTr="00405204">
        <w:trPr>
          <w:trHeight w:val="391"/>
        </w:trPr>
        <w:tc>
          <w:tcPr>
            <w:tcW w:w="7650" w:type="dxa"/>
          </w:tcPr>
          <w:p w14:paraId="0270DE23" w14:textId="371E62B5" w:rsidR="00A44C62" w:rsidRPr="00761FD7" w:rsidRDefault="00A44C62" w:rsidP="00A44C62">
            <w:pPr>
              <w:tabs>
                <w:tab w:val="clear" w:pos="1615"/>
              </w:tabs>
              <w:rPr>
                <w:rFonts w:asciiTheme="majorHAnsi" w:hAnsiTheme="majorHAnsi" w:cstheme="majorHAnsi"/>
                <w:bCs/>
              </w:rPr>
            </w:pPr>
            <w:r w:rsidRPr="00306060">
              <w:t xml:space="preserve">2.3.3. INTERNACIONALIZAÇÃO DA EDUCAÇÃO SUPERIOR EM CONSTRUÇÃO – A PERSPECTIVA NACIONAL </w:t>
            </w:r>
          </w:p>
        </w:tc>
        <w:tc>
          <w:tcPr>
            <w:tcW w:w="1417" w:type="dxa"/>
          </w:tcPr>
          <w:p w14:paraId="3F069A97" w14:textId="3D773B13"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14</w:t>
            </w:r>
          </w:p>
        </w:tc>
      </w:tr>
      <w:tr w:rsidR="00A44C62" w:rsidRPr="00761FD7" w14:paraId="051E2E06" w14:textId="77777777" w:rsidTr="00405204">
        <w:trPr>
          <w:trHeight w:val="391"/>
        </w:trPr>
        <w:tc>
          <w:tcPr>
            <w:tcW w:w="7650" w:type="dxa"/>
          </w:tcPr>
          <w:p w14:paraId="7ABA8BD9" w14:textId="22A24758" w:rsidR="00A44C62" w:rsidRPr="00761FD7" w:rsidRDefault="00A44C62" w:rsidP="00A44C62">
            <w:pPr>
              <w:tabs>
                <w:tab w:val="clear" w:pos="1615"/>
              </w:tabs>
              <w:outlineLvl w:val="0"/>
              <w:rPr>
                <w:rFonts w:asciiTheme="majorHAnsi" w:hAnsiTheme="majorHAnsi" w:cstheme="majorHAnsi"/>
                <w:bCs/>
              </w:rPr>
            </w:pPr>
          </w:p>
        </w:tc>
        <w:tc>
          <w:tcPr>
            <w:tcW w:w="1417" w:type="dxa"/>
          </w:tcPr>
          <w:p w14:paraId="6193FB57" w14:textId="77777777" w:rsidR="00A44C62" w:rsidRPr="00761FD7" w:rsidRDefault="00A44C62" w:rsidP="00A44C62">
            <w:pPr>
              <w:tabs>
                <w:tab w:val="clear" w:pos="1615"/>
              </w:tabs>
              <w:outlineLvl w:val="0"/>
              <w:rPr>
                <w:rFonts w:asciiTheme="majorHAnsi" w:hAnsiTheme="majorHAnsi" w:cstheme="majorHAnsi"/>
                <w:bCs/>
              </w:rPr>
            </w:pPr>
          </w:p>
        </w:tc>
      </w:tr>
      <w:tr w:rsidR="00A44C62" w:rsidRPr="00761FD7" w14:paraId="37D5F285" w14:textId="77777777" w:rsidTr="00405204">
        <w:trPr>
          <w:trHeight w:val="391"/>
        </w:trPr>
        <w:tc>
          <w:tcPr>
            <w:tcW w:w="7650" w:type="dxa"/>
          </w:tcPr>
          <w:p w14:paraId="71D8417E" w14:textId="3B3B7B3C" w:rsidR="00A44C62" w:rsidRPr="00761FD7" w:rsidRDefault="00A44C62" w:rsidP="00A44C62">
            <w:pPr>
              <w:tabs>
                <w:tab w:val="clear" w:pos="1615"/>
              </w:tabs>
              <w:rPr>
                <w:rFonts w:asciiTheme="majorHAnsi" w:hAnsiTheme="majorHAnsi" w:cstheme="majorHAnsi"/>
                <w:bCs/>
              </w:rPr>
            </w:pPr>
            <w:r w:rsidRPr="00306060">
              <w:t>2.4. CONCEITO DE INTERNACIONALIZAÇÃO DA EDUCAÇÃO SUPERIOR</w:t>
            </w:r>
          </w:p>
        </w:tc>
        <w:tc>
          <w:tcPr>
            <w:tcW w:w="1417" w:type="dxa"/>
          </w:tcPr>
          <w:p w14:paraId="10556A26" w14:textId="12782792"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15</w:t>
            </w:r>
          </w:p>
        </w:tc>
      </w:tr>
      <w:tr w:rsidR="00A44C62" w:rsidRPr="00761FD7" w14:paraId="7919FE6B" w14:textId="77777777" w:rsidTr="00405204">
        <w:trPr>
          <w:trHeight w:val="391"/>
        </w:trPr>
        <w:tc>
          <w:tcPr>
            <w:tcW w:w="7650" w:type="dxa"/>
          </w:tcPr>
          <w:p w14:paraId="25C5B36E" w14:textId="77777777" w:rsidR="00A44C62" w:rsidRPr="00761FD7" w:rsidRDefault="00A44C62" w:rsidP="00A44C62">
            <w:pPr>
              <w:tabs>
                <w:tab w:val="clear" w:pos="1615"/>
              </w:tabs>
              <w:outlineLvl w:val="0"/>
              <w:rPr>
                <w:rFonts w:asciiTheme="majorHAnsi" w:hAnsiTheme="majorHAnsi" w:cstheme="majorHAnsi"/>
                <w:bCs/>
              </w:rPr>
            </w:pPr>
          </w:p>
        </w:tc>
        <w:tc>
          <w:tcPr>
            <w:tcW w:w="1417" w:type="dxa"/>
          </w:tcPr>
          <w:p w14:paraId="2C815802" w14:textId="77777777" w:rsidR="00A44C62" w:rsidRPr="00761FD7" w:rsidRDefault="00A44C62" w:rsidP="00A44C62">
            <w:pPr>
              <w:tabs>
                <w:tab w:val="clear" w:pos="1615"/>
              </w:tabs>
              <w:outlineLvl w:val="0"/>
              <w:rPr>
                <w:rFonts w:asciiTheme="majorHAnsi" w:hAnsiTheme="majorHAnsi" w:cstheme="majorHAnsi"/>
                <w:bCs/>
              </w:rPr>
            </w:pPr>
          </w:p>
        </w:tc>
      </w:tr>
      <w:tr w:rsidR="00A44C62" w:rsidRPr="00761FD7" w14:paraId="12349565" w14:textId="77777777" w:rsidTr="00405204">
        <w:trPr>
          <w:trHeight w:val="391"/>
        </w:trPr>
        <w:tc>
          <w:tcPr>
            <w:tcW w:w="7650" w:type="dxa"/>
          </w:tcPr>
          <w:p w14:paraId="754249D3" w14:textId="613324DE" w:rsidR="00A44C62" w:rsidRPr="00761FD7" w:rsidRDefault="00A44C62" w:rsidP="00A44C62">
            <w:pPr>
              <w:tabs>
                <w:tab w:val="clear" w:pos="1615"/>
              </w:tabs>
              <w:rPr>
                <w:rFonts w:asciiTheme="majorHAnsi" w:hAnsiTheme="majorHAnsi" w:cstheme="majorHAnsi"/>
                <w:bCs/>
              </w:rPr>
            </w:pPr>
            <w:r w:rsidRPr="00306060">
              <w:t xml:space="preserve">2.4.1. A INTERNACIONALIZAÇÃO INTEGRAL </w:t>
            </w:r>
          </w:p>
        </w:tc>
        <w:tc>
          <w:tcPr>
            <w:tcW w:w="1417" w:type="dxa"/>
          </w:tcPr>
          <w:p w14:paraId="0B1726B5" w14:textId="661AA483"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16</w:t>
            </w:r>
          </w:p>
        </w:tc>
      </w:tr>
      <w:tr w:rsidR="00A44C62" w:rsidRPr="00761FD7" w14:paraId="0D8FA378" w14:textId="77777777" w:rsidTr="00405204">
        <w:trPr>
          <w:trHeight w:val="391"/>
        </w:trPr>
        <w:tc>
          <w:tcPr>
            <w:tcW w:w="7650" w:type="dxa"/>
          </w:tcPr>
          <w:p w14:paraId="46C129F3" w14:textId="77777777" w:rsidR="00A44C62" w:rsidRPr="00DB1C57" w:rsidRDefault="00A44C62" w:rsidP="00A44C62">
            <w:pPr>
              <w:tabs>
                <w:tab w:val="clear" w:pos="1615"/>
              </w:tabs>
              <w:rPr>
                <w:rFonts w:asciiTheme="majorHAnsi" w:hAnsiTheme="majorHAnsi" w:cstheme="majorHAnsi"/>
                <w:bCs/>
              </w:rPr>
            </w:pPr>
          </w:p>
        </w:tc>
        <w:tc>
          <w:tcPr>
            <w:tcW w:w="1417" w:type="dxa"/>
          </w:tcPr>
          <w:p w14:paraId="7B73339A" w14:textId="77777777" w:rsidR="00A44C62" w:rsidRPr="00761FD7" w:rsidRDefault="00A44C62" w:rsidP="00A44C62">
            <w:pPr>
              <w:tabs>
                <w:tab w:val="clear" w:pos="1615"/>
              </w:tabs>
              <w:rPr>
                <w:rFonts w:asciiTheme="majorHAnsi" w:hAnsiTheme="majorHAnsi" w:cstheme="majorHAnsi"/>
                <w:bCs/>
              </w:rPr>
            </w:pPr>
          </w:p>
        </w:tc>
      </w:tr>
      <w:tr w:rsidR="00A44C62" w:rsidRPr="00761FD7" w14:paraId="6CAB3089" w14:textId="77777777" w:rsidTr="00405204">
        <w:trPr>
          <w:trHeight w:val="391"/>
        </w:trPr>
        <w:tc>
          <w:tcPr>
            <w:tcW w:w="7650" w:type="dxa"/>
          </w:tcPr>
          <w:p w14:paraId="3E268DA2" w14:textId="43F2A15B" w:rsidR="00A44C62" w:rsidRPr="00DB1C57" w:rsidRDefault="00A44C62" w:rsidP="00A44C62">
            <w:pPr>
              <w:tabs>
                <w:tab w:val="clear" w:pos="1615"/>
              </w:tabs>
              <w:rPr>
                <w:rFonts w:asciiTheme="majorHAnsi" w:hAnsiTheme="majorHAnsi" w:cstheme="majorHAnsi"/>
                <w:bCs/>
              </w:rPr>
            </w:pPr>
            <w:r w:rsidRPr="00306060">
              <w:t>2.4.2. A INTERNACIONALIZAÇÃO PARA O DESENVOLVIMENTO SUSTENTÁVEL</w:t>
            </w:r>
          </w:p>
        </w:tc>
        <w:tc>
          <w:tcPr>
            <w:tcW w:w="1417" w:type="dxa"/>
          </w:tcPr>
          <w:p w14:paraId="68144515" w14:textId="7D46FCCE"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18</w:t>
            </w:r>
          </w:p>
        </w:tc>
      </w:tr>
      <w:tr w:rsidR="00A44C62" w:rsidRPr="00761FD7" w14:paraId="413C1A39" w14:textId="77777777" w:rsidTr="00405204">
        <w:trPr>
          <w:trHeight w:val="391"/>
        </w:trPr>
        <w:tc>
          <w:tcPr>
            <w:tcW w:w="7650" w:type="dxa"/>
          </w:tcPr>
          <w:p w14:paraId="50E6248B" w14:textId="77777777" w:rsidR="00A44C62" w:rsidRPr="00DB1C57" w:rsidRDefault="00A44C62" w:rsidP="00A44C62">
            <w:pPr>
              <w:tabs>
                <w:tab w:val="clear" w:pos="1615"/>
              </w:tabs>
              <w:rPr>
                <w:rFonts w:asciiTheme="majorHAnsi" w:hAnsiTheme="majorHAnsi" w:cstheme="majorHAnsi"/>
                <w:bCs/>
              </w:rPr>
            </w:pPr>
          </w:p>
        </w:tc>
        <w:tc>
          <w:tcPr>
            <w:tcW w:w="1417" w:type="dxa"/>
          </w:tcPr>
          <w:p w14:paraId="2814CE53" w14:textId="2CE43EB5" w:rsidR="00A44C62" w:rsidRPr="00761FD7" w:rsidRDefault="00A44C62" w:rsidP="00A44C62">
            <w:pPr>
              <w:tabs>
                <w:tab w:val="clear" w:pos="1615"/>
              </w:tabs>
              <w:rPr>
                <w:rFonts w:asciiTheme="majorHAnsi" w:hAnsiTheme="majorHAnsi" w:cstheme="majorHAnsi"/>
                <w:bCs/>
              </w:rPr>
            </w:pPr>
          </w:p>
        </w:tc>
      </w:tr>
      <w:tr w:rsidR="00A44C62" w:rsidRPr="00761FD7" w14:paraId="5F65FB5B" w14:textId="77777777" w:rsidTr="00405204">
        <w:trPr>
          <w:trHeight w:val="391"/>
        </w:trPr>
        <w:tc>
          <w:tcPr>
            <w:tcW w:w="7650" w:type="dxa"/>
          </w:tcPr>
          <w:p w14:paraId="5DBE2BF2" w14:textId="5C336397" w:rsidR="00A44C62" w:rsidRPr="00DB1C57" w:rsidRDefault="00A44C62" w:rsidP="00A44C62">
            <w:pPr>
              <w:tabs>
                <w:tab w:val="clear" w:pos="1615"/>
              </w:tabs>
              <w:rPr>
                <w:rFonts w:asciiTheme="majorHAnsi" w:hAnsiTheme="majorHAnsi" w:cstheme="majorHAnsi"/>
                <w:bCs/>
              </w:rPr>
            </w:pPr>
            <w:r w:rsidRPr="00306060">
              <w:t>3. A INTERNACIONALIZAÇÃO NO CONTEXTO DA UNDF</w:t>
            </w:r>
          </w:p>
        </w:tc>
        <w:tc>
          <w:tcPr>
            <w:tcW w:w="1417" w:type="dxa"/>
          </w:tcPr>
          <w:p w14:paraId="63A8D7A7" w14:textId="690A2DDD"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20</w:t>
            </w:r>
          </w:p>
        </w:tc>
      </w:tr>
      <w:tr w:rsidR="00A44C62" w:rsidRPr="00761FD7" w14:paraId="7708BE8A" w14:textId="77777777" w:rsidTr="00405204">
        <w:trPr>
          <w:trHeight w:val="391"/>
        </w:trPr>
        <w:tc>
          <w:tcPr>
            <w:tcW w:w="7650" w:type="dxa"/>
          </w:tcPr>
          <w:p w14:paraId="3D3614BC" w14:textId="77777777" w:rsidR="00A44C62" w:rsidRPr="00DB1C57" w:rsidRDefault="00A44C62" w:rsidP="00A44C62">
            <w:pPr>
              <w:tabs>
                <w:tab w:val="clear" w:pos="1615"/>
              </w:tabs>
              <w:rPr>
                <w:rFonts w:asciiTheme="majorHAnsi" w:hAnsiTheme="majorHAnsi" w:cstheme="majorHAnsi"/>
                <w:bCs/>
              </w:rPr>
            </w:pPr>
          </w:p>
        </w:tc>
        <w:tc>
          <w:tcPr>
            <w:tcW w:w="1417" w:type="dxa"/>
          </w:tcPr>
          <w:p w14:paraId="5EC64317" w14:textId="77777777" w:rsidR="00A44C62" w:rsidRPr="00761FD7" w:rsidRDefault="00A44C62" w:rsidP="00A44C62">
            <w:pPr>
              <w:tabs>
                <w:tab w:val="clear" w:pos="1615"/>
              </w:tabs>
              <w:rPr>
                <w:rFonts w:asciiTheme="majorHAnsi" w:hAnsiTheme="majorHAnsi" w:cstheme="majorHAnsi"/>
                <w:bCs/>
              </w:rPr>
            </w:pPr>
          </w:p>
        </w:tc>
      </w:tr>
      <w:tr w:rsidR="00A44C62" w:rsidRPr="00761FD7" w14:paraId="4349776C" w14:textId="77777777" w:rsidTr="00405204">
        <w:trPr>
          <w:trHeight w:val="391"/>
        </w:trPr>
        <w:tc>
          <w:tcPr>
            <w:tcW w:w="7650" w:type="dxa"/>
          </w:tcPr>
          <w:p w14:paraId="76DEB574" w14:textId="70E379CD" w:rsidR="00A44C62" w:rsidRPr="00DB1C57" w:rsidRDefault="00A44C62" w:rsidP="00A44C62">
            <w:pPr>
              <w:tabs>
                <w:tab w:val="clear" w:pos="1615"/>
              </w:tabs>
              <w:rPr>
                <w:rFonts w:asciiTheme="majorHAnsi" w:hAnsiTheme="majorHAnsi" w:cstheme="majorHAnsi"/>
                <w:bCs/>
              </w:rPr>
            </w:pPr>
            <w:r w:rsidRPr="00306060">
              <w:t>4. OBJETIVOS DA POLÍTICA DE INTERNACIONALIZAÇÃO DA EDUCAÇÃO SUPERIOR DA UNDF</w:t>
            </w:r>
          </w:p>
        </w:tc>
        <w:tc>
          <w:tcPr>
            <w:tcW w:w="1417" w:type="dxa"/>
          </w:tcPr>
          <w:p w14:paraId="58E42417" w14:textId="6214ED62"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23</w:t>
            </w:r>
          </w:p>
        </w:tc>
      </w:tr>
      <w:tr w:rsidR="00A44C62" w:rsidRPr="00761FD7" w14:paraId="39062A2F" w14:textId="77777777" w:rsidTr="00405204">
        <w:trPr>
          <w:trHeight w:val="391"/>
        </w:trPr>
        <w:tc>
          <w:tcPr>
            <w:tcW w:w="7650" w:type="dxa"/>
          </w:tcPr>
          <w:p w14:paraId="19624B83" w14:textId="77777777" w:rsidR="00A44C62" w:rsidRPr="00DB1C57" w:rsidRDefault="00A44C62" w:rsidP="00A44C62">
            <w:pPr>
              <w:tabs>
                <w:tab w:val="clear" w:pos="1615"/>
              </w:tabs>
              <w:rPr>
                <w:rFonts w:asciiTheme="majorHAnsi" w:hAnsiTheme="majorHAnsi" w:cstheme="majorHAnsi"/>
                <w:bCs/>
              </w:rPr>
            </w:pPr>
          </w:p>
        </w:tc>
        <w:tc>
          <w:tcPr>
            <w:tcW w:w="1417" w:type="dxa"/>
          </w:tcPr>
          <w:p w14:paraId="6AF7A1C6" w14:textId="77777777" w:rsidR="00A44C62" w:rsidRPr="00761FD7" w:rsidRDefault="00A44C62" w:rsidP="00A44C62">
            <w:pPr>
              <w:tabs>
                <w:tab w:val="clear" w:pos="1615"/>
              </w:tabs>
              <w:rPr>
                <w:rFonts w:asciiTheme="majorHAnsi" w:hAnsiTheme="majorHAnsi" w:cstheme="majorHAnsi"/>
                <w:bCs/>
              </w:rPr>
            </w:pPr>
          </w:p>
        </w:tc>
      </w:tr>
      <w:tr w:rsidR="00A44C62" w:rsidRPr="00761FD7" w14:paraId="4199818A" w14:textId="77777777" w:rsidTr="00405204">
        <w:trPr>
          <w:trHeight w:val="391"/>
        </w:trPr>
        <w:tc>
          <w:tcPr>
            <w:tcW w:w="7650" w:type="dxa"/>
          </w:tcPr>
          <w:p w14:paraId="5EE765FE" w14:textId="506481BC" w:rsidR="00A44C62" w:rsidRPr="00DB1C57" w:rsidRDefault="00A44C62" w:rsidP="00A44C62">
            <w:pPr>
              <w:tabs>
                <w:tab w:val="clear" w:pos="1615"/>
              </w:tabs>
              <w:rPr>
                <w:rFonts w:asciiTheme="majorHAnsi" w:hAnsiTheme="majorHAnsi" w:cstheme="majorHAnsi"/>
                <w:bCs/>
              </w:rPr>
            </w:pPr>
            <w:r w:rsidRPr="00306060">
              <w:t>4.1. OBJETIVO GERAL</w:t>
            </w:r>
          </w:p>
        </w:tc>
        <w:tc>
          <w:tcPr>
            <w:tcW w:w="1417" w:type="dxa"/>
          </w:tcPr>
          <w:p w14:paraId="6E40A8D2" w14:textId="551D60BA"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23</w:t>
            </w:r>
          </w:p>
        </w:tc>
      </w:tr>
      <w:tr w:rsidR="00A44C62" w:rsidRPr="00761FD7" w14:paraId="22B0F1DD" w14:textId="77777777" w:rsidTr="00405204">
        <w:trPr>
          <w:trHeight w:val="391"/>
        </w:trPr>
        <w:tc>
          <w:tcPr>
            <w:tcW w:w="7650" w:type="dxa"/>
          </w:tcPr>
          <w:p w14:paraId="76DBFACA" w14:textId="77777777" w:rsidR="00A44C62" w:rsidRPr="00DB1C57" w:rsidRDefault="00A44C62" w:rsidP="00A44C62">
            <w:pPr>
              <w:tabs>
                <w:tab w:val="clear" w:pos="1615"/>
              </w:tabs>
              <w:rPr>
                <w:rFonts w:asciiTheme="majorHAnsi" w:hAnsiTheme="majorHAnsi" w:cstheme="majorHAnsi"/>
                <w:bCs/>
              </w:rPr>
            </w:pPr>
          </w:p>
        </w:tc>
        <w:tc>
          <w:tcPr>
            <w:tcW w:w="1417" w:type="dxa"/>
          </w:tcPr>
          <w:p w14:paraId="7030FEEE" w14:textId="77777777" w:rsidR="00A44C62" w:rsidRPr="00761FD7" w:rsidRDefault="00A44C62" w:rsidP="00A44C62">
            <w:pPr>
              <w:tabs>
                <w:tab w:val="clear" w:pos="1615"/>
              </w:tabs>
              <w:rPr>
                <w:rFonts w:asciiTheme="majorHAnsi" w:hAnsiTheme="majorHAnsi" w:cstheme="majorHAnsi"/>
                <w:bCs/>
              </w:rPr>
            </w:pPr>
          </w:p>
        </w:tc>
      </w:tr>
      <w:tr w:rsidR="00A44C62" w:rsidRPr="00761FD7" w14:paraId="130853EA" w14:textId="77777777" w:rsidTr="00405204">
        <w:trPr>
          <w:trHeight w:val="391"/>
        </w:trPr>
        <w:tc>
          <w:tcPr>
            <w:tcW w:w="7650" w:type="dxa"/>
          </w:tcPr>
          <w:p w14:paraId="36D02C35" w14:textId="23BE07F6" w:rsidR="00A44C62" w:rsidRPr="00DB1C57" w:rsidRDefault="00A44C62" w:rsidP="00A44C62">
            <w:pPr>
              <w:tabs>
                <w:tab w:val="clear" w:pos="1615"/>
              </w:tabs>
              <w:rPr>
                <w:rFonts w:asciiTheme="majorHAnsi" w:hAnsiTheme="majorHAnsi" w:cstheme="majorHAnsi"/>
                <w:bCs/>
              </w:rPr>
            </w:pPr>
            <w:r w:rsidRPr="00306060">
              <w:t>4.2. OBJETIVOS ESPECÍFICOS</w:t>
            </w:r>
          </w:p>
        </w:tc>
        <w:tc>
          <w:tcPr>
            <w:tcW w:w="1417" w:type="dxa"/>
          </w:tcPr>
          <w:p w14:paraId="6B3CB568" w14:textId="2A95A891"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23</w:t>
            </w:r>
          </w:p>
        </w:tc>
      </w:tr>
      <w:tr w:rsidR="00A44C62" w:rsidRPr="00761FD7" w14:paraId="2C1E83E1" w14:textId="77777777" w:rsidTr="00405204">
        <w:trPr>
          <w:trHeight w:val="391"/>
        </w:trPr>
        <w:tc>
          <w:tcPr>
            <w:tcW w:w="7650" w:type="dxa"/>
          </w:tcPr>
          <w:p w14:paraId="1053C9FE" w14:textId="77777777" w:rsidR="00A44C62" w:rsidRPr="00DB1C57" w:rsidRDefault="00A44C62" w:rsidP="00A44C62">
            <w:pPr>
              <w:tabs>
                <w:tab w:val="clear" w:pos="1615"/>
              </w:tabs>
              <w:rPr>
                <w:rFonts w:asciiTheme="majorHAnsi" w:hAnsiTheme="majorHAnsi" w:cstheme="majorHAnsi"/>
                <w:bCs/>
              </w:rPr>
            </w:pPr>
          </w:p>
        </w:tc>
        <w:tc>
          <w:tcPr>
            <w:tcW w:w="1417" w:type="dxa"/>
          </w:tcPr>
          <w:p w14:paraId="7978D8B5" w14:textId="77777777" w:rsidR="00A44C62" w:rsidRPr="00761FD7" w:rsidRDefault="00A44C62" w:rsidP="00A44C62">
            <w:pPr>
              <w:tabs>
                <w:tab w:val="clear" w:pos="1615"/>
              </w:tabs>
              <w:rPr>
                <w:rFonts w:asciiTheme="majorHAnsi" w:hAnsiTheme="majorHAnsi" w:cstheme="majorHAnsi"/>
                <w:bCs/>
              </w:rPr>
            </w:pPr>
          </w:p>
        </w:tc>
      </w:tr>
      <w:tr w:rsidR="00A44C62" w:rsidRPr="00761FD7" w14:paraId="665F5B43" w14:textId="77777777" w:rsidTr="00405204">
        <w:trPr>
          <w:trHeight w:val="391"/>
        </w:trPr>
        <w:tc>
          <w:tcPr>
            <w:tcW w:w="7650" w:type="dxa"/>
          </w:tcPr>
          <w:p w14:paraId="4ECF0EEF" w14:textId="7103248E" w:rsidR="00A44C62" w:rsidRPr="00DB1C57" w:rsidRDefault="00A44C62" w:rsidP="00A44C62">
            <w:pPr>
              <w:tabs>
                <w:tab w:val="clear" w:pos="1615"/>
              </w:tabs>
              <w:rPr>
                <w:rFonts w:asciiTheme="majorHAnsi" w:hAnsiTheme="majorHAnsi" w:cstheme="majorHAnsi"/>
                <w:bCs/>
              </w:rPr>
            </w:pPr>
            <w:r w:rsidRPr="00306060">
              <w:lastRenderedPageBreak/>
              <w:t xml:space="preserve">5. POLÍTICAS DA INTERNACIONALIZAÇÃO DA EDUCAÇÃO DA UNDF </w:t>
            </w:r>
          </w:p>
        </w:tc>
        <w:tc>
          <w:tcPr>
            <w:tcW w:w="1417" w:type="dxa"/>
          </w:tcPr>
          <w:p w14:paraId="787CCA07" w14:textId="587CDBD0"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25</w:t>
            </w:r>
          </w:p>
        </w:tc>
      </w:tr>
      <w:tr w:rsidR="00A44C62" w:rsidRPr="00761FD7" w14:paraId="592D774E" w14:textId="77777777" w:rsidTr="00405204">
        <w:trPr>
          <w:trHeight w:val="391"/>
        </w:trPr>
        <w:tc>
          <w:tcPr>
            <w:tcW w:w="7650" w:type="dxa"/>
          </w:tcPr>
          <w:p w14:paraId="34C192A7" w14:textId="77777777" w:rsidR="00A44C62" w:rsidRPr="00DB1C57" w:rsidRDefault="00A44C62" w:rsidP="00A44C62">
            <w:pPr>
              <w:tabs>
                <w:tab w:val="clear" w:pos="1615"/>
              </w:tabs>
              <w:rPr>
                <w:rFonts w:asciiTheme="majorHAnsi" w:hAnsiTheme="majorHAnsi" w:cstheme="majorHAnsi"/>
                <w:bCs/>
              </w:rPr>
            </w:pPr>
          </w:p>
        </w:tc>
        <w:tc>
          <w:tcPr>
            <w:tcW w:w="1417" w:type="dxa"/>
          </w:tcPr>
          <w:p w14:paraId="0123E5A4" w14:textId="77777777" w:rsidR="00A44C62" w:rsidRPr="00761FD7" w:rsidRDefault="00A44C62" w:rsidP="00A44C62">
            <w:pPr>
              <w:tabs>
                <w:tab w:val="clear" w:pos="1615"/>
              </w:tabs>
              <w:rPr>
                <w:rFonts w:asciiTheme="majorHAnsi" w:hAnsiTheme="majorHAnsi" w:cstheme="majorHAnsi"/>
                <w:bCs/>
              </w:rPr>
            </w:pPr>
          </w:p>
        </w:tc>
      </w:tr>
      <w:tr w:rsidR="00A44C62" w:rsidRPr="00761FD7" w14:paraId="1CC293CC" w14:textId="77777777" w:rsidTr="00405204">
        <w:trPr>
          <w:trHeight w:val="391"/>
        </w:trPr>
        <w:tc>
          <w:tcPr>
            <w:tcW w:w="7650" w:type="dxa"/>
          </w:tcPr>
          <w:p w14:paraId="16222E10" w14:textId="07B1D167" w:rsidR="00A44C62" w:rsidRPr="00DB1C57" w:rsidRDefault="00A44C62" w:rsidP="00A44C62">
            <w:pPr>
              <w:tabs>
                <w:tab w:val="clear" w:pos="1615"/>
              </w:tabs>
              <w:rPr>
                <w:rFonts w:asciiTheme="majorHAnsi" w:hAnsiTheme="majorHAnsi" w:cstheme="majorHAnsi"/>
                <w:bCs/>
              </w:rPr>
            </w:pPr>
            <w:r w:rsidRPr="00306060">
              <w:t>5.1.</w:t>
            </w:r>
            <w:r w:rsidR="00CA7418">
              <w:t xml:space="preserve"> </w:t>
            </w:r>
            <w:r w:rsidR="00CA7418" w:rsidRPr="00CA7418">
              <w:t>POLÍTICAS DA INTERNACIONALIZAÇÃO DA EDUCAÇÃO DA UnDF</w:t>
            </w:r>
          </w:p>
        </w:tc>
        <w:tc>
          <w:tcPr>
            <w:tcW w:w="1417" w:type="dxa"/>
          </w:tcPr>
          <w:p w14:paraId="384DD3C9" w14:textId="0F8C2539"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25</w:t>
            </w:r>
          </w:p>
        </w:tc>
      </w:tr>
      <w:tr w:rsidR="00A44C62" w:rsidRPr="00761FD7" w14:paraId="66276FE3" w14:textId="77777777" w:rsidTr="00405204">
        <w:trPr>
          <w:trHeight w:val="391"/>
        </w:trPr>
        <w:tc>
          <w:tcPr>
            <w:tcW w:w="7650" w:type="dxa"/>
          </w:tcPr>
          <w:p w14:paraId="7233CA40" w14:textId="77777777" w:rsidR="00A44C62" w:rsidRPr="00DB1C57" w:rsidRDefault="00A44C62" w:rsidP="00A44C62">
            <w:pPr>
              <w:tabs>
                <w:tab w:val="clear" w:pos="1615"/>
              </w:tabs>
              <w:rPr>
                <w:rFonts w:asciiTheme="majorHAnsi" w:hAnsiTheme="majorHAnsi" w:cstheme="majorHAnsi"/>
                <w:bCs/>
              </w:rPr>
            </w:pPr>
          </w:p>
        </w:tc>
        <w:tc>
          <w:tcPr>
            <w:tcW w:w="1417" w:type="dxa"/>
          </w:tcPr>
          <w:p w14:paraId="47E2E2E6" w14:textId="77777777" w:rsidR="00A44C62" w:rsidRPr="00761FD7" w:rsidRDefault="00A44C62" w:rsidP="00A44C62">
            <w:pPr>
              <w:tabs>
                <w:tab w:val="clear" w:pos="1615"/>
              </w:tabs>
              <w:rPr>
                <w:rFonts w:asciiTheme="majorHAnsi" w:hAnsiTheme="majorHAnsi" w:cstheme="majorHAnsi"/>
                <w:bCs/>
              </w:rPr>
            </w:pPr>
          </w:p>
        </w:tc>
      </w:tr>
      <w:tr w:rsidR="00A44C62" w:rsidRPr="00761FD7" w14:paraId="7E563BE4" w14:textId="77777777" w:rsidTr="00405204">
        <w:trPr>
          <w:trHeight w:val="391"/>
        </w:trPr>
        <w:tc>
          <w:tcPr>
            <w:tcW w:w="7650" w:type="dxa"/>
          </w:tcPr>
          <w:p w14:paraId="26FB08BE" w14:textId="3B2D9486" w:rsidR="00A44C62" w:rsidRPr="00DB1C57" w:rsidRDefault="00A44C62" w:rsidP="00A44C62">
            <w:pPr>
              <w:tabs>
                <w:tab w:val="clear" w:pos="1615"/>
              </w:tabs>
              <w:rPr>
                <w:rFonts w:asciiTheme="majorHAnsi" w:hAnsiTheme="majorHAnsi" w:cstheme="majorHAnsi"/>
                <w:bCs/>
              </w:rPr>
            </w:pPr>
            <w:r w:rsidRPr="00306060">
              <w:t>5.2. POLÍTICAS DE INTERNACIONALIZAÇÃO DA UNDF: A PERSPECTIVA INSTITUCIONAL</w:t>
            </w:r>
          </w:p>
        </w:tc>
        <w:tc>
          <w:tcPr>
            <w:tcW w:w="1417" w:type="dxa"/>
          </w:tcPr>
          <w:p w14:paraId="078B194C" w14:textId="60E64968"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27</w:t>
            </w:r>
          </w:p>
        </w:tc>
      </w:tr>
      <w:tr w:rsidR="00A44C62" w:rsidRPr="00761FD7" w14:paraId="580C62D5" w14:textId="77777777" w:rsidTr="00405204">
        <w:trPr>
          <w:trHeight w:val="391"/>
        </w:trPr>
        <w:tc>
          <w:tcPr>
            <w:tcW w:w="7650" w:type="dxa"/>
          </w:tcPr>
          <w:p w14:paraId="365842AF" w14:textId="77777777" w:rsidR="00A44C62" w:rsidRPr="00DB1C57" w:rsidRDefault="00A44C62" w:rsidP="00A44C62">
            <w:pPr>
              <w:tabs>
                <w:tab w:val="clear" w:pos="1615"/>
              </w:tabs>
              <w:rPr>
                <w:rFonts w:asciiTheme="majorHAnsi" w:hAnsiTheme="majorHAnsi" w:cstheme="majorHAnsi"/>
                <w:bCs/>
              </w:rPr>
            </w:pPr>
          </w:p>
        </w:tc>
        <w:tc>
          <w:tcPr>
            <w:tcW w:w="1417" w:type="dxa"/>
          </w:tcPr>
          <w:p w14:paraId="73031368" w14:textId="77777777" w:rsidR="00A44C62" w:rsidRPr="00761FD7" w:rsidRDefault="00A44C62" w:rsidP="00A44C62">
            <w:pPr>
              <w:tabs>
                <w:tab w:val="clear" w:pos="1615"/>
              </w:tabs>
              <w:rPr>
                <w:rFonts w:asciiTheme="majorHAnsi" w:hAnsiTheme="majorHAnsi" w:cstheme="majorHAnsi"/>
                <w:bCs/>
              </w:rPr>
            </w:pPr>
          </w:p>
        </w:tc>
      </w:tr>
      <w:tr w:rsidR="00A44C62" w:rsidRPr="00761FD7" w14:paraId="3262067A" w14:textId="77777777" w:rsidTr="00405204">
        <w:trPr>
          <w:trHeight w:val="391"/>
        </w:trPr>
        <w:tc>
          <w:tcPr>
            <w:tcW w:w="7650" w:type="dxa"/>
          </w:tcPr>
          <w:p w14:paraId="014809B1" w14:textId="60A99ECF" w:rsidR="00A44C62" w:rsidRPr="00DB1C57" w:rsidRDefault="00A44C62" w:rsidP="00A44C62">
            <w:pPr>
              <w:tabs>
                <w:tab w:val="clear" w:pos="1615"/>
              </w:tabs>
              <w:rPr>
                <w:rFonts w:asciiTheme="majorHAnsi" w:hAnsiTheme="majorHAnsi" w:cstheme="majorHAnsi"/>
                <w:bCs/>
              </w:rPr>
            </w:pPr>
            <w:r w:rsidRPr="00306060">
              <w:t xml:space="preserve">5.2.1. POLÍTICAS DE INTERNACIONALIZAÇÃO DO ENSINO </w:t>
            </w:r>
          </w:p>
        </w:tc>
        <w:tc>
          <w:tcPr>
            <w:tcW w:w="1417" w:type="dxa"/>
          </w:tcPr>
          <w:p w14:paraId="43A880CD" w14:textId="40D1B974"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27</w:t>
            </w:r>
          </w:p>
        </w:tc>
      </w:tr>
      <w:tr w:rsidR="00A44C62" w:rsidRPr="00761FD7" w14:paraId="10FFF52E" w14:textId="77777777" w:rsidTr="00405204">
        <w:trPr>
          <w:trHeight w:val="391"/>
        </w:trPr>
        <w:tc>
          <w:tcPr>
            <w:tcW w:w="7650" w:type="dxa"/>
          </w:tcPr>
          <w:p w14:paraId="2751E066" w14:textId="77777777" w:rsidR="00A44C62" w:rsidRPr="00DB1C57" w:rsidRDefault="00A44C62" w:rsidP="00A44C62">
            <w:pPr>
              <w:tabs>
                <w:tab w:val="clear" w:pos="1615"/>
              </w:tabs>
              <w:rPr>
                <w:rFonts w:asciiTheme="majorHAnsi" w:hAnsiTheme="majorHAnsi" w:cstheme="majorHAnsi"/>
                <w:bCs/>
              </w:rPr>
            </w:pPr>
          </w:p>
        </w:tc>
        <w:tc>
          <w:tcPr>
            <w:tcW w:w="1417" w:type="dxa"/>
          </w:tcPr>
          <w:p w14:paraId="0B1A74D0" w14:textId="77777777" w:rsidR="00A44C62" w:rsidRPr="00761FD7" w:rsidRDefault="00A44C62" w:rsidP="00A44C62">
            <w:pPr>
              <w:tabs>
                <w:tab w:val="clear" w:pos="1615"/>
              </w:tabs>
              <w:rPr>
                <w:rFonts w:asciiTheme="majorHAnsi" w:hAnsiTheme="majorHAnsi" w:cstheme="majorHAnsi"/>
                <w:bCs/>
              </w:rPr>
            </w:pPr>
          </w:p>
        </w:tc>
      </w:tr>
      <w:tr w:rsidR="00A44C62" w:rsidRPr="00761FD7" w14:paraId="6582A371" w14:textId="77777777" w:rsidTr="00405204">
        <w:trPr>
          <w:trHeight w:val="391"/>
        </w:trPr>
        <w:tc>
          <w:tcPr>
            <w:tcW w:w="7650" w:type="dxa"/>
          </w:tcPr>
          <w:p w14:paraId="44A52549" w14:textId="7F8C2F8D" w:rsidR="00A44C62" w:rsidRPr="00DB1C57" w:rsidRDefault="00A44C62" w:rsidP="00A44C62">
            <w:pPr>
              <w:tabs>
                <w:tab w:val="clear" w:pos="1615"/>
              </w:tabs>
              <w:rPr>
                <w:rFonts w:asciiTheme="majorHAnsi" w:hAnsiTheme="majorHAnsi" w:cstheme="majorHAnsi"/>
                <w:bCs/>
              </w:rPr>
            </w:pPr>
            <w:r w:rsidRPr="00306060">
              <w:t xml:space="preserve">5.2.2. POLÍTICAS DE INTERNACIONALIZAÇÃO DA PESQUISA </w:t>
            </w:r>
          </w:p>
        </w:tc>
        <w:tc>
          <w:tcPr>
            <w:tcW w:w="1417" w:type="dxa"/>
          </w:tcPr>
          <w:p w14:paraId="0E942CAD" w14:textId="0E605F9C"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30</w:t>
            </w:r>
          </w:p>
        </w:tc>
      </w:tr>
      <w:tr w:rsidR="00A44C62" w:rsidRPr="00761FD7" w14:paraId="737075F4" w14:textId="77777777" w:rsidTr="00405204">
        <w:trPr>
          <w:trHeight w:val="391"/>
        </w:trPr>
        <w:tc>
          <w:tcPr>
            <w:tcW w:w="7650" w:type="dxa"/>
          </w:tcPr>
          <w:p w14:paraId="5195E47C" w14:textId="77777777" w:rsidR="00A44C62" w:rsidRPr="00DB1C57" w:rsidRDefault="00A44C62" w:rsidP="00A44C62">
            <w:pPr>
              <w:tabs>
                <w:tab w:val="clear" w:pos="1615"/>
              </w:tabs>
              <w:rPr>
                <w:rFonts w:asciiTheme="majorHAnsi" w:hAnsiTheme="majorHAnsi" w:cstheme="majorHAnsi"/>
                <w:bCs/>
              </w:rPr>
            </w:pPr>
          </w:p>
        </w:tc>
        <w:tc>
          <w:tcPr>
            <w:tcW w:w="1417" w:type="dxa"/>
          </w:tcPr>
          <w:p w14:paraId="7E6B3F83" w14:textId="77777777" w:rsidR="00A44C62" w:rsidRPr="00761FD7" w:rsidRDefault="00A44C62" w:rsidP="00A44C62">
            <w:pPr>
              <w:tabs>
                <w:tab w:val="clear" w:pos="1615"/>
              </w:tabs>
              <w:rPr>
                <w:rFonts w:asciiTheme="majorHAnsi" w:hAnsiTheme="majorHAnsi" w:cstheme="majorHAnsi"/>
                <w:bCs/>
              </w:rPr>
            </w:pPr>
          </w:p>
        </w:tc>
      </w:tr>
      <w:tr w:rsidR="00A44C62" w:rsidRPr="00761FD7" w14:paraId="35DB6109" w14:textId="77777777" w:rsidTr="00405204">
        <w:trPr>
          <w:trHeight w:val="391"/>
        </w:trPr>
        <w:tc>
          <w:tcPr>
            <w:tcW w:w="7650" w:type="dxa"/>
          </w:tcPr>
          <w:p w14:paraId="57B2AD2D" w14:textId="38CBD259" w:rsidR="00A44C62" w:rsidRPr="00DB1C57" w:rsidRDefault="00A44C62" w:rsidP="00A44C62">
            <w:pPr>
              <w:tabs>
                <w:tab w:val="clear" w:pos="1615"/>
              </w:tabs>
              <w:rPr>
                <w:rFonts w:asciiTheme="majorHAnsi" w:hAnsiTheme="majorHAnsi" w:cstheme="majorHAnsi"/>
                <w:bCs/>
              </w:rPr>
            </w:pPr>
            <w:r w:rsidRPr="00306060">
              <w:t xml:space="preserve">5.2.3. POLÍTICAS DE INTERNACIONALIZAÇÃO DA EXTENSÃO </w:t>
            </w:r>
          </w:p>
        </w:tc>
        <w:tc>
          <w:tcPr>
            <w:tcW w:w="1417" w:type="dxa"/>
          </w:tcPr>
          <w:p w14:paraId="7CAA8C75" w14:textId="2582C0FE"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31</w:t>
            </w:r>
          </w:p>
        </w:tc>
      </w:tr>
      <w:tr w:rsidR="00A44C62" w:rsidRPr="00761FD7" w14:paraId="7121FCE5" w14:textId="77777777" w:rsidTr="00405204">
        <w:trPr>
          <w:trHeight w:val="391"/>
        </w:trPr>
        <w:tc>
          <w:tcPr>
            <w:tcW w:w="7650" w:type="dxa"/>
          </w:tcPr>
          <w:p w14:paraId="024414FC" w14:textId="77777777" w:rsidR="00A44C62" w:rsidRPr="00DB1C57" w:rsidRDefault="00A44C62" w:rsidP="00A44C62">
            <w:pPr>
              <w:tabs>
                <w:tab w:val="clear" w:pos="1615"/>
              </w:tabs>
              <w:rPr>
                <w:rFonts w:asciiTheme="majorHAnsi" w:hAnsiTheme="majorHAnsi" w:cstheme="majorHAnsi"/>
                <w:bCs/>
              </w:rPr>
            </w:pPr>
          </w:p>
        </w:tc>
        <w:tc>
          <w:tcPr>
            <w:tcW w:w="1417" w:type="dxa"/>
          </w:tcPr>
          <w:p w14:paraId="08E5C0CC" w14:textId="77777777" w:rsidR="00A44C62" w:rsidRPr="00761FD7" w:rsidRDefault="00A44C62" w:rsidP="00A44C62">
            <w:pPr>
              <w:tabs>
                <w:tab w:val="clear" w:pos="1615"/>
              </w:tabs>
              <w:rPr>
                <w:rFonts w:asciiTheme="majorHAnsi" w:hAnsiTheme="majorHAnsi" w:cstheme="majorHAnsi"/>
                <w:bCs/>
              </w:rPr>
            </w:pPr>
          </w:p>
        </w:tc>
      </w:tr>
      <w:tr w:rsidR="00A44C62" w:rsidRPr="00761FD7" w14:paraId="4DB0D549" w14:textId="77777777" w:rsidTr="00405204">
        <w:trPr>
          <w:trHeight w:val="391"/>
        </w:trPr>
        <w:tc>
          <w:tcPr>
            <w:tcW w:w="7650" w:type="dxa"/>
          </w:tcPr>
          <w:p w14:paraId="74EC2B1F" w14:textId="14F9F07B" w:rsidR="00A44C62" w:rsidRPr="00DB1C57" w:rsidRDefault="00A44C62" w:rsidP="00A44C62">
            <w:pPr>
              <w:tabs>
                <w:tab w:val="clear" w:pos="1615"/>
              </w:tabs>
              <w:rPr>
                <w:rFonts w:asciiTheme="majorHAnsi" w:hAnsiTheme="majorHAnsi" w:cstheme="majorHAnsi"/>
                <w:bCs/>
              </w:rPr>
            </w:pPr>
            <w:r w:rsidRPr="00306060">
              <w:t xml:space="preserve">5.2.4. POLÍTICAS DE INTERNACIONALIZAÇÃO DA CULTURA E ARTE </w:t>
            </w:r>
          </w:p>
        </w:tc>
        <w:tc>
          <w:tcPr>
            <w:tcW w:w="1417" w:type="dxa"/>
          </w:tcPr>
          <w:p w14:paraId="233F47C3" w14:textId="5F0F61DA"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32</w:t>
            </w:r>
          </w:p>
        </w:tc>
      </w:tr>
      <w:tr w:rsidR="00A44C62" w:rsidRPr="00761FD7" w14:paraId="5A6BB1A5" w14:textId="77777777" w:rsidTr="00405204">
        <w:trPr>
          <w:trHeight w:val="391"/>
        </w:trPr>
        <w:tc>
          <w:tcPr>
            <w:tcW w:w="7650" w:type="dxa"/>
          </w:tcPr>
          <w:p w14:paraId="74D86949" w14:textId="77777777" w:rsidR="00A44C62" w:rsidRPr="00DB1C57" w:rsidRDefault="00A44C62" w:rsidP="00A44C62">
            <w:pPr>
              <w:tabs>
                <w:tab w:val="clear" w:pos="1615"/>
              </w:tabs>
              <w:rPr>
                <w:rFonts w:asciiTheme="majorHAnsi" w:hAnsiTheme="majorHAnsi" w:cstheme="majorHAnsi"/>
                <w:bCs/>
              </w:rPr>
            </w:pPr>
          </w:p>
        </w:tc>
        <w:tc>
          <w:tcPr>
            <w:tcW w:w="1417" w:type="dxa"/>
          </w:tcPr>
          <w:p w14:paraId="2D4C126D" w14:textId="77777777" w:rsidR="00A44C62" w:rsidRPr="00761FD7" w:rsidRDefault="00A44C62" w:rsidP="00A44C62">
            <w:pPr>
              <w:tabs>
                <w:tab w:val="clear" w:pos="1615"/>
              </w:tabs>
              <w:rPr>
                <w:rFonts w:asciiTheme="majorHAnsi" w:hAnsiTheme="majorHAnsi" w:cstheme="majorHAnsi"/>
                <w:bCs/>
              </w:rPr>
            </w:pPr>
          </w:p>
        </w:tc>
      </w:tr>
      <w:tr w:rsidR="00A44C62" w:rsidRPr="00761FD7" w14:paraId="2E201D50" w14:textId="77777777" w:rsidTr="00405204">
        <w:trPr>
          <w:trHeight w:val="391"/>
        </w:trPr>
        <w:tc>
          <w:tcPr>
            <w:tcW w:w="7650" w:type="dxa"/>
          </w:tcPr>
          <w:p w14:paraId="0376C5C7" w14:textId="247F6DB0" w:rsidR="00A44C62" w:rsidRPr="00DB1C57" w:rsidRDefault="00A44C62" w:rsidP="00A44C62">
            <w:pPr>
              <w:tabs>
                <w:tab w:val="clear" w:pos="1615"/>
              </w:tabs>
              <w:rPr>
                <w:rFonts w:asciiTheme="majorHAnsi" w:hAnsiTheme="majorHAnsi" w:cstheme="majorHAnsi"/>
                <w:bCs/>
              </w:rPr>
            </w:pPr>
            <w:r w:rsidRPr="00306060">
              <w:t>5.2.5. POLÍTICAS DE INTERNACIONALIZAÇÃO DA GESTÃO</w:t>
            </w:r>
          </w:p>
        </w:tc>
        <w:tc>
          <w:tcPr>
            <w:tcW w:w="1417" w:type="dxa"/>
          </w:tcPr>
          <w:p w14:paraId="7E8E24A0" w14:textId="1AD766FF"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32</w:t>
            </w:r>
          </w:p>
        </w:tc>
      </w:tr>
      <w:tr w:rsidR="00A44C62" w:rsidRPr="00761FD7" w14:paraId="672CCC4E" w14:textId="77777777" w:rsidTr="00405204">
        <w:trPr>
          <w:trHeight w:val="391"/>
        </w:trPr>
        <w:tc>
          <w:tcPr>
            <w:tcW w:w="7650" w:type="dxa"/>
          </w:tcPr>
          <w:p w14:paraId="0813AAAD" w14:textId="77777777" w:rsidR="00A44C62" w:rsidRPr="00DB1C57" w:rsidRDefault="00A44C62" w:rsidP="00A44C62">
            <w:pPr>
              <w:tabs>
                <w:tab w:val="clear" w:pos="1615"/>
              </w:tabs>
              <w:rPr>
                <w:rFonts w:asciiTheme="majorHAnsi" w:hAnsiTheme="majorHAnsi" w:cstheme="majorHAnsi"/>
                <w:bCs/>
              </w:rPr>
            </w:pPr>
          </w:p>
        </w:tc>
        <w:tc>
          <w:tcPr>
            <w:tcW w:w="1417" w:type="dxa"/>
          </w:tcPr>
          <w:p w14:paraId="75876B50" w14:textId="77777777" w:rsidR="00A44C62" w:rsidRPr="00761FD7" w:rsidRDefault="00A44C62" w:rsidP="00A44C62">
            <w:pPr>
              <w:tabs>
                <w:tab w:val="clear" w:pos="1615"/>
              </w:tabs>
              <w:rPr>
                <w:rFonts w:asciiTheme="majorHAnsi" w:hAnsiTheme="majorHAnsi" w:cstheme="majorHAnsi"/>
                <w:bCs/>
              </w:rPr>
            </w:pPr>
          </w:p>
        </w:tc>
      </w:tr>
      <w:tr w:rsidR="00A44C62" w:rsidRPr="00761FD7" w14:paraId="1E09D3A0" w14:textId="77777777" w:rsidTr="00405204">
        <w:trPr>
          <w:trHeight w:val="391"/>
        </w:trPr>
        <w:tc>
          <w:tcPr>
            <w:tcW w:w="7650" w:type="dxa"/>
          </w:tcPr>
          <w:p w14:paraId="403CC185" w14:textId="55669C01" w:rsidR="00A44C62" w:rsidRPr="00DB1C57" w:rsidRDefault="00A44C62" w:rsidP="00A44C62">
            <w:pPr>
              <w:tabs>
                <w:tab w:val="clear" w:pos="1615"/>
              </w:tabs>
              <w:rPr>
                <w:rFonts w:asciiTheme="majorHAnsi" w:hAnsiTheme="majorHAnsi" w:cstheme="majorHAnsi"/>
                <w:bCs/>
              </w:rPr>
            </w:pPr>
            <w:r w:rsidRPr="00306060">
              <w:t>6. CONSIDERAÇÕES FINAIS</w:t>
            </w:r>
          </w:p>
        </w:tc>
        <w:tc>
          <w:tcPr>
            <w:tcW w:w="1417" w:type="dxa"/>
          </w:tcPr>
          <w:p w14:paraId="75D8ED05" w14:textId="40BEAAEE"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37</w:t>
            </w:r>
          </w:p>
        </w:tc>
      </w:tr>
      <w:tr w:rsidR="00A44C62" w:rsidRPr="00761FD7" w14:paraId="34AA6485" w14:textId="77777777" w:rsidTr="00405204">
        <w:trPr>
          <w:trHeight w:val="391"/>
        </w:trPr>
        <w:tc>
          <w:tcPr>
            <w:tcW w:w="7650" w:type="dxa"/>
          </w:tcPr>
          <w:p w14:paraId="39D93C24" w14:textId="77777777" w:rsidR="00A44C62" w:rsidRPr="00DB1C57" w:rsidRDefault="00A44C62" w:rsidP="00A44C62">
            <w:pPr>
              <w:tabs>
                <w:tab w:val="clear" w:pos="1615"/>
              </w:tabs>
              <w:rPr>
                <w:rFonts w:asciiTheme="majorHAnsi" w:hAnsiTheme="majorHAnsi" w:cstheme="majorHAnsi"/>
                <w:bCs/>
              </w:rPr>
            </w:pPr>
          </w:p>
        </w:tc>
        <w:tc>
          <w:tcPr>
            <w:tcW w:w="1417" w:type="dxa"/>
          </w:tcPr>
          <w:p w14:paraId="5DE4FC28" w14:textId="77777777" w:rsidR="00A44C62" w:rsidRPr="00761FD7" w:rsidRDefault="00A44C62" w:rsidP="00A44C62">
            <w:pPr>
              <w:tabs>
                <w:tab w:val="clear" w:pos="1615"/>
              </w:tabs>
              <w:rPr>
                <w:rFonts w:asciiTheme="majorHAnsi" w:hAnsiTheme="majorHAnsi" w:cstheme="majorHAnsi"/>
                <w:bCs/>
              </w:rPr>
            </w:pPr>
          </w:p>
        </w:tc>
      </w:tr>
      <w:tr w:rsidR="00A44C62" w:rsidRPr="00761FD7" w14:paraId="292F2AC5" w14:textId="77777777" w:rsidTr="00405204">
        <w:trPr>
          <w:trHeight w:val="391"/>
        </w:trPr>
        <w:tc>
          <w:tcPr>
            <w:tcW w:w="7650" w:type="dxa"/>
          </w:tcPr>
          <w:p w14:paraId="30D109DD" w14:textId="2729308B" w:rsidR="00A44C62" w:rsidRPr="00DB1C57" w:rsidRDefault="00A44C62" w:rsidP="00A44C62">
            <w:pPr>
              <w:tabs>
                <w:tab w:val="clear" w:pos="1615"/>
              </w:tabs>
              <w:rPr>
                <w:rFonts w:asciiTheme="majorHAnsi" w:hAnsiTheme="majorHAnsi" w:cstheme="majorHAnsi"/>
                <w:bCs/>
              </w:rPr>
            </w:pPr>
            <w:r w:rsidRPr="00306060">
              <w:t>7. REFERÊNCIAS</w:t>
            </w:r>
          </w:p>
        </w:tc>
        <w:tc>
          <w:tcPr>
            <w:tcW w:w="1417" w:type="dxa"/>
          </w:tcPr>
          <w:p w14:paraId="5E7427FE" w14:textId="1C8620AB" w:rsidR="00A44C62" w:rsidRPr="00761FD7" w:rsidRDefault="00CA7418" w:rsidP="00A44C62">
            <w:pPr>
              <w:tabs>
                <w:tab w:val="clear" w:pos="1615"/>
              </w:tabs>
              <w:rPr>
                <w:rFonts w:asciiTheme="majorHAnsi" w:hAnsiTheme="majorHAnsi" w:cstheme="majorHAnsi"/>
                <w:bCs/>
              </w:rPr>
            </w:pPr>
            <w:r>
              <w:rPr>
                <w:rFonts w:asciiTheme="majorHAnsi" w:hAnsiTheme="majorHAnsi" w:cstheme="majorHAnsi"/>
                <w:bCs/>
              </w:rPr>
              <w:t>37</w:t>
            </w:r>
          </w:p>
        </w:tc>
      </w:tr>
      <w:bookmarkEnd w:id="1"/>
    </w:tbl>
    <w:p w14:paraId="57B39656" w14:textId="7859AB63" w:rsidR="004254B5" w:rsidRDefault="004254B5">
      <w:pPr>
        <w:tabs>
          <w:tab w:val="clear" w:pos="1615"/>
        </w:tabs>
        <w:spacing w:line="259" w:lineRule="auto"/>
        <w:rPr>
          <w:noProof/>
          <w:lang w:eastAsia="pt-BR"/>
        </w:rPr>
      </w:pPr>
      <w:r>
        <w:rPr>
          <w:noProof/>
          <w:lang w:eastAsia="pt-BR"/>
        </w:rPr>
        <w:br w:type="page"/>
      </w:r>
    </w:p>
    <w:p w14:paraId="55793120" w14:textId="6FBCC38E" w:rsidR="00E436BA" w:rsidRPr="00772856" w:rsidRDefault="00E436BA" w:rsidP="001E3720">
      <w:pPr>
        <w:sectPr w:rsidR="00E436BA" w:rsidRPr="00772856"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4A3F6BC6" w14:textId="77777777" w:rsidR="00DA7023" w:rsidRPr="00A44C62" w:rsidRDefault="00DA7023" w:rsidP="00BD1CCE">
      <w:pPr>
        <w:pStyle w:val="Ttulo1"/>
        <w:ind w:left="432" w:hanging="432"/>
        <w:rPr>
          <w:rFonts w:asciiTheme="majorHAnsi" w:hAnsiTheme="majorHAnsi" w:cstheme="majorHAnsi"/>
          <w:color w:val="4875BD" w:themeColor="accent1"/>
        </w:rPr>
      </w:pPr>
      <w:bookmarkStart w:id="2" w:name="_Toc92384384"/>
      <w:bookmarkEnd w:id="0"/>
      <w:r w:rsidRPr="00A44C62">
        <w:rPr>
          <w:rFonts w:asciiTheme="majorHAnsi" w:hAnsiTheme="majorHAnsi" w:cstheme="majorHAnsi"/>
          <w:color w:val="4875BD" w:themeColor="accent1"/>
        </w:rPr>
        <w:lastRenderedPageBreak/>
        <w:t>1. INTRODUÇÃO</w:t>
      </w:r>
      <w:bookmarkEnd w:id="2"/>
    </w:p>
    <w:p w14:paraId="7E166225" w14:textId="77777777" w:rsidR="00DA7023" w:rsidRPr="00BD1CCE" w:rsidRDefault="00DA7023" w:rsidP="00DA7023">
      <w:pPr>
        <w:rPr>
          <w:rFonts w:asciiTheme="majorHAnsi" w:hAnsiTheme="majorHAnsi" w:cstheme="majorHAnsi"/>
        </w:rPr>
      </w:pPr>
    </w:p>
    <w:p w14:paraId="3BC00FC4" w14:textId="77777777" w:rsidR="00DA7023" w:rsidRPr="00A44C62" w:rsidRDefault="00DA7023" w:rsidP="00215724">
      <w:pPr>
        <w:pStyle w:val="NormalWeb"/>
        <w:spacing w:before="0" w:beforeAutospacing="0" w:after="240" w:afterAutospacing="0" w:line="360" w:lineRule="auto"/>
        <w:ind w:firstLine="708"/>
        <w:jc w:val="both"/>
        <w:rPr>
          <w:rFonts w:asciiTheme="majorHAnsi" w:hAnsiTheme="majorHAnsi" w:cstheme="majorHAnsi"/>
          <w:color w:val="auto"/>
          <w:sz w:val="24"/>
        </w:rPr>
      </w:pPr>
      <w:r w:rsidRPr="00A44C62">
        <w:rPr>
          <w:rFonts w:asciiTheme="majorHAnsi" w:hAnsiTheme="majorHAnsi" w:cstheme="majorHAnsi"/>
          <w:color w:val="auto"/>
          <w:sz w:val="24"/>
        </w:rPr>
        <w:t>O mundo contemporâneo vem destacando a importância da educação superior e, mais especificamente, da internacionalização, para o desenvolvimento das nações com vistas à busca da paz. Neste século, a relação entre globalização e sociedade do conhecimento é ímpar, em um contexto no qual o conhecimento e a informação converteram-se em elementos motores da sociedade mundial (ALTBACH, 2016). Paralelamente a isso, é registrado o aumento do fosso entre os países e a necessidade de medidas que compartilhem os conhecimentos e que garantam uma educação ao longo da vida, constituindo-se a internacionalização um dos campos em que a cooperação, tanto horizontal como vertical, é imprescindível (OCDE, 2019). Na amálgama desse pensar, a Organização das Nações Unidas para a Educação, a Ciência e a Cultura (Unesco) propõe o desenvolvimento sustentável como forma para o bem-estar da sociedade.</w:t>
      </w:r>
    </w:p>
    <w:p w14:paraId="5229A273" w14:textId="77777777" w:rsidR="00DA7023" w:rsidRPr="00215724" w:rsidRDefault="00DA7023" w:rsidP="00215724">
      <w:pPr>
        <w:shd w:val="clear" w:color="auto" w:fill="FFFFFF"/>
        <w:spacing w:after="240"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Na crença da importância da internacionalização da educação superior para a construção de um mundo solidário, no qual as instituições universitárias têm a responsabilidade de formação para a cidadania global, além da formação para o atendimento do mercado, a visão relacional entre as perspectivas global, regional, nacional e institucional se coloca. Nóvoa (2015) ensina que a universidade precisa encontrar, dentro de si, energias de mudança e virar-se totalmente para fora, para a cidade, para a sociedade, para o mundo.</w:t>
      </w:r>
    </w:p>
    <w:p w14:paraId="224A0439" w14:textId="2B4FC412" w:rsidR="00DA7023" w:rsidRDefault="00DA7023" w:rsidP="00215724">
      <w:pPr>
        <w:shd w:val="clear" w:color="auto" w:fill="FFFFFF"/>
        <w:spacing w:after="240"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É nessa perspectiva que está sendo postulada</w:t>
      </w:r>
      <w:r w:rsidRPr="00215724">
        <w:rPr>
          <w:rStyle w:val="Refdenotaderodap"/>
          <w:rFonts w:asciiTheme="majorHAnsi" w:hAnsiTheme="majorHAnsi" w:cstheme="majorHAnsi"/>
          <w:sz w:val="24"/>
          <w:szCs w:val="24"/>
        </w:rPr>
        <w:footnoteReference w:id="1"/>
      </w:r>
      <w:r w:rsidRPr="00215724">
        <w:rPr>
          <w:rFonts w:asciiTheme="majorHAnsi" w:hAnsiTheme="majorHAnsi" w:cstheme="majorHAnsi"/>
          <w:sz w:val="24"/>
          <w:szCs w:val="24"/>
        </w:rPr>
        <w:t xml:space="preserve"> a </w:t>
      </w:r>
      <w:r w:rsidRPr="00215724">
        <w:rPr>
          <w:rFonts w:asciiTheme="majorHAnsi" w:hAnsiTheme="majorHAnsi" w:cstheme="majorHAnsi"/>
          <w:b/>
          <w:bCs/>
          <w:sz w:val="24"/>
          <w:szCs w:val="24"/>
        </w:rPr>
        <w:t xml:space="preserve">política de internacionalização para a </w:t>
      </w:r>
      <w:r w:rsidRPr="00215724">
        <w:rPr>
          <w:rFonts w:asciiTheme="majorHAnsi" w:hAnsiTheme="majorHAnsi" w:cstheme="majorHAnsi"/>
          <w:b/>
          <w:sz w:val="24"/>
          <w:szCs w:val="24"/>
        </w:rPr>
        <w:t>Universidade do Distrito Federal Professor Jorge Amaury Maia Nunes — UnDF,</w:t>
      </w:r>
      <w:r w:rsidRPr="00215724">
        <w:rPr>
          <w:rFonts w:asciiTheme="majorHAnsi" w:hAnsiTheme="majorHAnsi" w:cstheme="majorHAnsi"/>
          <w:sz w:val="24"/>
          <w:szCs w:val="24"/>
        </w:rPr>
        <w:t xml:space="preserve"> integrada a um conjunto de documentos refletores de perspectivas maiores. Nesse entender, parte-se do documento de referência (CEBRASPE, 2021a) que coloca como uma das questões fundamentais:</w:t>
      </w:r>
    </w:p>
    <w:p w14:paraId="0C90CE82" w14:textId="55AE8249" w:rsidR="00DA7023" w:rsidRDefault="00DA7023" w:rsidP="00DA7023">
      <w:pPr>
        <w:pStyle w:val="NormalWeb"/>
        <w:spacing w:before="0" w:beforeAutospacing="0" w:after="0" w:afterAutospacing="0"/>
        <w:ind w:left="2268"/>
        <w:jc w:val="both"/>
        <w:rPr>
          <w:rFonts w:asciiTheme="majorHAnsi" w:hAnsiTheme="majorHAnsi" w:cstheme="majorHAnsi"/>
          <w:color w:val="auto"/>
          <w:sz w:val="20"/>
          <w:szCs w:val="20"/>
        </w:rPr>
      </w:pPr>
      <w:r w:rsidRPr="00BD1CCE">
        <w:rPr>
          <w:rFonts w:asciiTheme="majorHAnsi" w:hAnsiTheme="majorHAnsi" w:cstheme="majorHAnsi"/>
          <w:color w:val="auto"/>
          <w:sz w:val="20"/>
          <w:szCs w:val="20"/>
        </w:rPr>
        <w:t>[...] diante do compromisso que assumirá com a democracia e a democratização do conhecimento e tendo a inovação como uma de suas principais forças motrizes, que rumos a UnDF pretende seguir na definição de suas políticas institucionais, visando à formação de quadros profissionais críticos, cidadãos, autônomos e reflexivos, porém sem a perda dos laços de solidariedade social? (p. 9-10).</w:t>
      </w:r>
    </w:p>
    <w:p w14:paraId="2A4F15DD" w14:textId="5F7F3F2D" w:rsidR="00DA7023" w:rsidRDefault="00DA7023" w:rsidP="00215724">
      <w:pPr>
        <w:shd w:val="clear" w:color="auto" w:fill="FFFFFF"/>
        <w:spacing w:after="100" w:afterAutospacing="1"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lastRenderedPageBreak/>
        <w:t xml:space="preserve">Para atender a essa tarefa, o presente relatório está estruturado em seções separadas, para uma compreensão didática, mas que, em seu cerne, só podem ser compreendidas em um </w:t>
      </w:r>
      <w:r w:rsidRPr="00215724">
        <w:rPr>
          <w:rFonts w:asciiTheme="majorHAnsi" w:hAnsiTheme="majorHAnsi" w:cstheme="majorHAnsi"/>
          <w:spacing w:val="-4"/>
          <w:sz w:val="24"/>
          <w:szCs w:val="24"/>
        </w:rPr>
        <w:t>contexto inter-relacional (Figura 1). É importante destacar que uma política de internacionalização</w:t>
      </w:r>
      <w:r w:rsidRPr="00215724">
        <w:rPr>
          <w:rFonts w:asciiTheme="majorHAnsi" w:hAnsiTheme="majorHAnsi" w:cstheme="majorHAnsi"/>
          <w:spacing w:val="-2"/>
          <w:sz w:val="24"/>
          <w:szCs w:val="24"/>
        </w:rPr>
        <w:t xml:space="preserve"> </w:t>
      </w:r>
      <w:r w:rsidRPr="00215724">
        <w:rPr>
          <w:rFonts w:asciiTheme="majorHAnsi" w:hAnsiTheme="majorHAnsi" w:cstheme="majorHAnsi"/>
          <w:sz w:val="24"/>
          <w:szCs w:val="24"/>
        </w:rPr>
        <w:t>não é somente um rol de objetivos e de políticas com suas especificidades. A política tem em seus fundamentos uma episteme, ou seja, qual natureza da internacionalização se quer, quais as suas finalidades, como será o processo de implantação e quem serão os atores. É com esse entender que a política de internacionalização para a UnDF está sendo abordada.</w:t>
      </w:r>
    </w:p>
    <w:p w14:paraId="2FA78FA5" w14:textId="77777777" w:rsidR="00215724" w:rsidRPr="00215724" w:rsidRDefault="00215724" w:rsidP="00215724">
      <w:pPr>
        <w:shd w:val="clear" w:color="auto" w:fill="FFFFFF"/>
        <w:spacing w:after="100" w:afterAutospacing="1" w:line="360" w:lineRule="auto"/>
        <w:ind w:firstLine="708"/>
        <w:jc w:val="both"/>
        <w:rPr>
          <w:rFonts w:asciiTheme="majorHAnsi" w:hAnsiTheme="majorHAnsi" w:cstheme="majorHAnsi"/>
          <w:sz w:val="24"/>
          <w:szCs w:val="24"/>
        </w:rPr>
      </w:pPr>
    </w:p>
    <w:p w14:paraId="37068173" w14:textId="77777777" w:rsidR="00DA7023" w:rsidRPr="00BD1CCE" w:rsidRDefault="00DA7023" w:rsidP="00DA7023">
      <w:pPr>
        <w:shd w:val="clear" w:color="auto" w:fill="FFFFFF"/>
        <w:spacing w:before="100" w:beforeAutospacing="1" w:after="100" w:afterAutospacing="1" w:line="360" w:lineRule="auto"/>
        <w:jc w:val="both"/>
        <w:rPr>
          <w:rFonts w:asciiTheme="majorHAnsi" w:hAnsiTheme="majorHAnsi" w:cstheme="majorHAnsi"/>
        </w:rPr>
      </w:pPr>
      <w:r w:rsidRPr="00BD1CCE">
        <w:rPr>
          <w:rFonts w:asciiTheme="majorHAnsi" w:hAnsiTheme="majorHAnsi" w:cstheme="majorHAnsi"/>
          <w:b/>
          <w:bCs/>
        </w:rPr>
        <w:t>Figura 1.</w:t>
      </w:r>
      <w:r w:rsidRPr="00BD1CCE">
        <w:rPr>
          <w:rFonts w:asciiTheme="majorHAnsi" w:hAnsiTheme="majorHAnsi" w:cstheme="majorHAnsi"/>
        </w:rPr>
        <w:t xml:space="preserve"> Política de internacionalização da UnDF – abordagem</w:t>
      </w:r>
    </w:p>
    <w:p w14:paraId="0FA0DB2B" w14:textId="77777777" w:rsidR="00DA7023" w:rsidRPr="00BD1CCE" w:rsidRDefault="00DA7023" w:rsidP="00DA7023">
      <w:pPr>
        <w:shd w:val="clear" w:color="auto" w:fill="FFFFFF"/>
        <w:spacing w:before="100" w:beforeAutospacing="1" w:after="100" w:afterAutospacing="1" w:line="360" w:lineRule="auto"/>
        <w:jc w:val="both"/>
        <w:rPr>
          <w:rFonts w:asciiTheme="majorHAnsi" w:hAnsiTheme="majorHAnsi" w:cstheme="majorHAnsi"/>
        </w:rPr>
      </w:pPr>
      <w:r w:rsidRPr="00BD1CCE">
        <w:rPr>
          <w:rFonts w:asciiTheme="majorHAnsi" w:hAnsiTheme="majorHAnsi" w:cstheme="majorHAnsi"/>
          <w:noProof/>
        </w:rPr>
        <w:drawing>
          <wp:inline distT="0" distB="0" distL="0" distR="0" wp14:anchorId="36A815E7" wp14:editId="695D1456">
            <wp:extent cx="5796572" cy="303767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7428" cy="3059082"/>
                    </a:xfrm>
                    <a:prstGeom prst="rect">
                      <a:avLst/>
                    </a:prstGeom>
                  </pic:spPr>
                </pic:pic>
              </a:graphicData>
            </a:graphic>
          </wp:inline>
        </w:drawing>
      </w:r>
    </w:p>
    <w:p w14:paraId="2904B18D" w14:textId="77777777" w:rsidR="00DA7023" w:rsidRPr="00215724" w:rsidRDefault="00DA7023" w:rsidP="00DA7023">
      <w:pPr>
        <w:shd w:val="clear" w:color="auto" w:fill="FFFFFF"/>
        <w:spacing w:before="100" w:beforeAutospacing="1" w:after="100" w:afterAutospacing="1" w:line="360" w:lineRule="auto"/>
        <w:jc w:val="both"/>
        <w:rPr>
          <w:rFonts w:asciiTheme="majorHAnsi" w:hAnsiTheme="majorHAnsi" w:cstheme="majorHAnsi"/>
          <w:sz w:val="20"/>
          <w:szCs w:val="20"/>
        </w:rPr>
      </w:pPr>
      <w:r w:rsidRPr="00215724">
        <w:rPr>
          <w:rFonts w:asciiTheme="majorHAnsi" w:hAnsiTheme="majorHAnsi" w:cstheme="majorHAnsi"/>
          <w:sz w:val="20"/>
          <w:szCs w:val="20"/>
        </w:rPr>
        <w:t>Fonte: Elaborada pela autora (2022).</w:t>
      </w:r>
    </w:p>
    <w:p w14:paraId="341C3927" w14:textId="77777777" w:rsidR="00DA7023" w:rsidRPr="00215724" w:rsidRDefault="00DA7023" w:rsidP="00DA7023">
      <w:pPr>
        <w:shd w:val="clear" w:color="auto" w:fill="FFFFFF"/>
        <w:spacing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 xml:space="preserve">O primeiro capítulo, denominado </w:t>
      </w:r>
      <w:r w:rsidRPr="00215724">
        <w:rPr>
          <w:rFonts w:asciiTheme="majorHAnsi" w:hAnsiTheme="majorHAnsi" w:cstheme="majorHAnsi"/>
          <w:i/>
          <w:iCs/>
          <w:sz w:val="24"/>
          <w:szCs w:val="24"/>
        </w:rPr>
        <w:t>A internacionalização da educação superior,</w:t>
      </w:r>
      <w:r w:rsidRPr="00215724">
        <w:rPr>
          <w:rFonts w:asciiTheme="majorHAnsi" w:hAnsiTheme="majorHAnsi" w:cstheme="majorHAnsi"/>
          <w:sz w:val="24"/>
          <w:szCs w:val="24"/>
        </w:rPr>
        <w:t xml:space="preserve"> busca discutir o conceito de internacionalização da educação superior, destacando as interfaces com a perspectiva global, com olhar específico na Organização das Nações Unidas (Unesco) e com a perspectiva regional, expressa pela Unesco/Instituto Internacional para la Educación Superior en América Latina y el Caribe (Iesalc), dando destaque para a Conferência Regional de Educação Superior (CRES2018). A perspectiva nacional está focada em políticas públicas oriundas dos ministérios da educação e da ciência e tecnologia. Na construção dessa análise, da relação com o global, com o regional e com o nacional, chamamos a atenção para a íntima relação entre a internacionalização e a </w:t>
      </w:r>
      <w:r w:rsidRPr="00215724">
        <w:rPr>
          <w:rFonts w:asciiTheme="majorHAnsi" w:hAnsiTheme="majorHAnsi" w:cstheme="majorHAnsi"/>
          <w:sz w:val="24"/>
          <w:szCs w:val="24"/>
        </w:rPr>
        <w:lastRenderedPageBreak/>
        <w:t xml:space="preserve">interculturalidade, bem como para os impactos do uso da virtualidade sobre os diferentes tipos de internacionalização. A mais disseminada é a concepção de internacionalização como mobilidade. Mais recentemente despontam os conceitos de internacionalização em casa (IaH) e internacionalização do currículo (IoC), a qual abarca a internacionalização pela mobilidade e em casa. A proposta mais abrangente é a internacionalização integral, a </w:t>
      </w:r>
      <w:r w:rsidRPr="00215724">
        <w:rPr>
          <w:rFonts w:asciiTheme="majorHAnsi" w:hAnsiTheme="majorHAnsi" w:cstheme="majorHAnsi"/>
          <w:i/>
          <w:iCs/>
          <w:sz w:val="24"/>
          <w:szCs w:val="24"/>
        </w:rPr>
        <w:t>comprehensive,</w:t>
      </w:r>
      <w:r w:rsidRPr="00215724">
        <w:rPr>
          <w:rFonts w:asciiTheme="majorHAnsi" w:hAnsiTheme="majorHAnsi" w:cstheme="majorHAnsi"/>
          <w:sz w:val="24"/>
          <w:szCs w:val="24"/>
        </w:rPr>
        <w:t xml:space="preserve"> que abarca todas as demais. Encerra-se o capítulo</w:t>
      </w:r>
      <w:r w:rsidRPr="00215724">
        <w:rPr>
          <w:rFonts w:asciiTheme="majorHAnsi" w:hAnsiTheme="majorHAnsi" w:cstheme="majorHAnsi"/>
          <w:spacing w:val="-2"/>
          <w:sz w:val="24"/>
          <w:szCs w:val="24"/>
        </w:rPr>
        <w:t xml:space="preserve"> com uma visão panorâmica dos conceitos de internacionalização e com a proposição de um conceito</w:t>
      </w:r>
      <w:r w:rsidRPr="00215724">
        <w:rPr>
          <w:rFonts w:asciiTheme="majorHAnsi" w:hAnsiTheme="majorHAnsi" w:cstheme="majorHAnsi"/>
          <w:sz w:val="24"/>
          <w:szCs w:val="24"/>
        </w:rPr>
        <w:t xml:space="preserve"> integrador das diferentes concepções com inserção na perspectiva de desenvolvimento sustentável.</w:t>
      </w:r>
    </w:p>
    <w:p w14:paraId="39C95939" w14:textId="77777777" w:rsidR="00DA7023" w:rsidRPr="00215724" w:rsidRDefault="00DA7023" w:rsidP="00DA7023">
      <w:pPr>
        <w:shd w:val="clear" w:color="auto" w:fill="FFFFFF"/>
        <w:spacing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 xml:space="preserve">O segundo capitulo, denominada </w:t>
      </w:r>
      <w:r w:rsidRPr="00215724">
        <w:rPr>
          <w:rFonts w:asciiTheme="majorHAnsi" w:hAnsiTheme="majorHAnsi" w:cstheme="majorHAnsi"/>
          <w:i/>
          <w:iCs/>
          <w:sz w:val="24"/>
          <w:szCs w:val="24"/>
        </w:rPr>
        <w:t xml:space="preserve">A internacionalização da educação superior no </w:t>
      </w:r>
      <w:r w:rsidRPr="00215724">
        <w:rPr>
          <w:rFonts w:asciiTheme="majorHAnsi" w:hAnsiTheme="majorHAnsi" w:cstheme="majorHAnsi"/>
          <w:i/>
          <w:iCs/>
          <w:spacing w:val="-2"/>
          <w:sz w:val="24"/>
          <w:szCs w:val="24"/>
        </w:rPr>
        <w:t>contexto da UnDF,</w:t>
      </w:r>
      <w:r w:rsidRPr="00215724">
        <w:rPr>
          <w:rFonts w:asciiTheme="majorHAnsi" w:hAnsiTheme="majorHAnsi" w:cstheme="majorHAnsi"/>
          <w:spacing w:val="-2"/>
          <w:sz w:val="24"/>
          <w:szCs w:val="24"/>
        </w:rPr>
        <w:t xml:space="preserve"> busca aproximar as discussões sobre o conceito de internacionalização</w:t>
      </w:r>
      <w:r w:rsidRPr="00215724">
        <w:rPr>
          <w:rFonts w:asciiTheme="majorHAnsi" w:hAnsiTheme="majorHAnsi" w:cstheme="majorHAnsi"/>
          <w:sz w:val="24"/>
          <w:szCs w:val="24"/>
        </w:rPr>
        <w:t xml:space="preserve"> à genuinidade da UnDF, ou seja, a ressignificação da internacionalização da educação superior no contexto da instituição de ensino superior (IES). Para tal, destaca sua missão de universidade distrital – pública, voltada à inovação e à tecnologia com compromisso social. Adentra-se, nessa seção e nas seguintes, na perspectiva institucional do processo de internacionalização da educação superior. Assim, na quarta seção, examinam-se as características constitutivas de uma política de internacionalização na perspectiva de objetivos, subdivididos em geral e específicos. </w:t>
      </w:r>
    </w:p>
    <w:p w14:paraId="7C70A131" w14:textId="77777777" w:rsidR="00DA7023" w:rsidRPr="00215724" w:rsidRDefault="00DA7023" w:rsidP="00DA7023">
      <w:pPr>
        <w:shd w:val="clear" w:color="auto" w:fill="FFFFFF"/>
        <w:spacing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 xml:space="preserve">O capitulo </w:t>
      </w:r>
      <w:r w:rsidRPr="00215724">
        <w:rPr>
          <w:rFonts w:asciiTheme="majorHAnsi" w:hAnsiTheme="majorHAnsi" w:cstheme="majorHAnsi"/>
          <w:i/>
          <w:iCs/>
          <w:sz w:val="24"/>
          <w:szCs w:val="24"/>
        </w:rPr>
        <w:t>Políticas de internacionalização da educação superior</w:t>
      </w:r>
      <w:r w:rsidRPr="00215724">
        <w:rPr>
          <w:rFonts w:asciiTheme="majorHAnsi" w:hAnsiTheme="majorHAnsi" w:cstheme="majorHAnsi"/>
          <w:sz w:val="24"/>
          <w:szCs w:val="24"/>
        </w:rPr>
        <w:t xml:space="preserve"> </w:t>
      </w:r>
      <w:r w:rsidRPr="00215724">
        <w:rPr>
          <w:rFonts w:asciiTheme="majorHAnsi" w:hAnsiTheme="majorHAnsi" w:cstheme="majorHAnsi"/>
          <w:i/>
          <w:iCs/>
          <w:sz w:val="24"/>
          <w:szCs w:val="24"/>
        </w:rPr>
        <w:t>da UnDF</w:t>
      </w:r>
      <w:r w:rsidRPr="00215724">
        <w:rPr>
          <w:rFonts w:asciiTheme="majorHAnsi" w:hAnsiTheme="majorHAnsi" w:cstheme="majorHAnsi"/>
          <w:sz w:val="24"/>
          <w:szCs w:val="24"/>
        </w:rPr>
        <w:t xml:space="preserve"> trata, em um primeiro momento, da análise de </w:t>
      </w:r>
      <w:r w:rsidRPr="00215724">
        <w:rPr>
          <w:rFonts w:asciiTheme="majorHAnsi" w:hAnsiTheme="majorHAnsi" w:cstheme="majorHAnsi"/>
          <w:i/>
          <w:iCs/>
          <w:sz w:val="24"/>
          <w:szCs w:val="24"/>
        </w:rPr>
        <w:t>benchmark</w:t>
      </w:r>
      <w:r w:rsidRPr="00215724">
        <w:rPr>
          <w:rFonts w:asciiTheme="majorHAnsi" w:hAnsiTheme="majorHAnsi" w:cstheme="majorHAnsi"/>
          <w:sz w:val="24"/>
          <w:szCs w:val="24"/>
        </w:rPr>
        <w:t>. O foco são os 36 planos/políticas de internacionalização das IES selecionados para o fomento da internacionalização por meio do Programa Institucional de Internacionalização (PrInt), criado pela Coordenação de Aperfeiçoamento de Pessoal de Nível Superior (CAPES). A partir dessa análise, são propostas políticas que constituirão a política de internacionalização da educação superior para a UnDF, atendendo às diferentes áreas da IES. O relatório é concluído com a apresentação das considerações finais, que abordam um resumo analítico e os desafios da internacionalização da UnDF.</w:t>
      </w:r>
    </w:p>
    <w:p w14:paraId="07E4CB91" w14:textId="77777777" w:rsidR="00DA7023" w:rsidRPr="00215724" w:rsidRDefault="00DA7023" w:rsidP="00DA7023">
      <w:pPr>
        <w:shd w:val="clear" w:color="auto" w:fill="FFFFFF"/>
        <w:spacing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 xml:space="preserve">Para fundamentar a proposição da política de internacionalização para a UnDF, foram consultadas diversas fontes, tanto bibliográficas como documentais. As bibliográficas incluem artigos e livros internacionais e nacionais, com especial destaque para a </w:t>
      </w:r>
      <w:r w:rsidRPr="00215724">
        <w:rPr>
          <w:rFonts w:asciiTheme="majorHAnsi" w:hAnsiTheme="majorHAnsi" w:cstheme="majorHAnsi"/>
          <w:i/>
          <w:iCs/>
          <w:sz w:val="24"/>
          <w:szCs w:val="24"/>
        </w:rPr>
        <w:t>Enciclopédia Brasileira de Educação Superior – EBES</w:t>
      </w:r>
      <w:r w:rsidRPr="00215724">
        <w:rPr>
          <w:rFonts w:asciiTheme="majorHAnsi" w:hAnsiTheme="majorHAnsi" w:cstheme="majorHAnsi"/>
          <w:sz w:val="24"/>
          <w:szCs w:val="24"/>
        </w:rPr>
        <w:t xml:space="preserve"> (MOROSINI, 2021). Para refletir sobre o panorama de políticas institucionais de internacionalização no país, a principal fonte foi o banco de dados </w:t>
      </w:r>
      <w:r w:rsidRPr="00215724">
        <w:rPr>
          <w:rFonts w:asciiTheme="majorHAnsi" w:hAnsiTheme="majorHAnsi" w:cstheme="majorHAnsi"/>
          <w:i/>
          <w:iCs/>
          <w:sz w:val="24"/>
          <w:szCs w:val="24"/>
        </w:rPr>
        <w:t>Políticas institucionais de internacionalização</w:t>
      </w:r>
      <w:r w:rsidRPr="00215724">
        <w:rPr>
          <w:rFonts w:asciiTheme="majorHAnsi" w:hAnsiTheme="majorHAnsi" w:cstheme="majorHAnsi"/>
          <w:sz w:val="24"/>
          <w:szCs w:val="24"/>
        </w:rPr>
        <w:t xml:space="preserve"> (UNIVERSITAS/RIES, 2021) que mapeia conceito, políticas e estratégias contidas nos planos/políticas de internacionalização das instituições selecionadas pelo </w:t>
      </w:r>
      <w:r w:rsidRPr="00215724">
        <w:rPr>
          <w:rFonts w:asciiTheme="majorHAnsi" w:hAnsiTheme="majorHAnsi" w:cstheme="majorHAnsi"/>
          <w:sz w:val="24"/>
          <w:szCs w:val="24"/>
        </w:rPr>
        <w:lastRenderedPageBreak/>
        <w:t xml:space="preserve">edital </w:t>
      </w:r>
      <w:r w:rsidRPr="00215724">
        <w:rPr>
          <w:rFonts w:asciiTheme="majorHAnsi" w:hAnsiTheme="majorHAnsi" w:cstheme="majorHAnsi"/>
          <w:bCs/>
          <w:sz w:val="24"/>
          <w:szCs w:val="24"/>
        </w:rPr>
        <w:t>CAPES-PrInt</w:t>
      </w:r>
      <w:r w:rsidRPr="00215724" w:rsidDel="009A1D83">
        <w:rPr>
          <w:rFonts w:asciiTheme="majorHAnsi" w:hAnsiTheme="majorHAnsi" w:cstheme="majorHAnsi"/>
          <w:sz w:val="24"/>
          <w:szCs w:val="24"/>
        </w:rPr>
        <w:t xml:space="preserve"> </w:t>
      </w:r>
      <w:r w:rsidRPr="00215724">
        <w:rPr>
          <w:rFonts w:asciiTheme="majorHAnsi" w:hAnsiTheme="majorHAnsi" w:cstheme="majorHAnsi"/>
          <w:sz w:val="24"/>
          <w:szCs w:val="24"/>
        </w:rPr>
        <w:t xml:space="preserve">(2018–2022). Como critério de seleção desse banco de dados como </w:t>
      </w:r>
      <w:r w:rsidRPr="00215724">
        <w:rPr>
          <w:rFonts w:asciiTheme="majorHAnsi" w:hAnsiTheme="majorHAnsi" w:cstheme="majorHAnsi"/>
          <w:i/>
          <w:iCs/>
          <w:sz w:val="24"/>
          <w:szCs w:val="24"/>
        </w:rPr>
        <w:t>benchmark,</w:t>
      </w:r>
      <w:r w:rsidRPr="00215724">
        <w:rPr>
          <w:rFonts w:asciiTheme="majorHAnsi" w:hAnsiTheme="majorHAnsi" w:cstheme="majorHAnsi"/>
          <w:sz w:val="24"/>
          <w:szCs w:val="24"/>
        </w:rPr>
        <w:t xml:space="preserve"> foi considerada sua alimentação a partir dos melhores projetos institucionais de internacionalização do país, selecionados por uma avaliação com juízes nacionais/internacionais. A metodologia seguida nesse produto está orientada pelo caráter processual da política: a proposição apresentada é construída dia a dia na rotina universitária e consubstancia-se com o tempo e com o território. Ou seja, a proposição documental tem vida a partir da corporificação na instituição, com acréscimos e cortes decorrentes da vida acadêmica/administrativa e das interfaces com as perspectivas global, regional e nacional.</w:t>
      </w:r>
    </w:p>
    <w:p w14:paraId="6F622967" w14:textId="77777777" w:rsidR="00DA7023" w:rsidRPr="00BD1CCE" w:rsidRDefault="00DA7023" w:rsidP="00DA7023">
      <w:pPr>
        <w:spacing w:line="360" w:lineRule="auto"/>
        <w:rPr>
          <w:rFonts w:asciiTheme="majorHAnsi" w:hAnsiTheme="majorHAnsi" w:cstheme="majorHAnsi"/>
        </w:rPr>
      </w:pPr>
    </w:p>
    <w:p w14:paraId="23DB494F" w14:textId="77777777" w:rsidR="00DA7023" w:rsidRPr="00BD1CCE" w:rsidRDefault="00DA7023" w:rsidP="00DA7023">
      <w:pPr>
        <w:spacing w:line="360" w:lineRule="auto"/>
        <w:rPr>
          <w:rFonts w:asciiTheme="majorHAnsi" w:hAnsiTheme="majorHAnsi" w:cstheme="majorHAnsi"/>
        </w:rPr>
      </w:pPr>
    </w:p>
    <w:p w14:paraId="0E1737B1" w14:textId="77777777" w:rsidR="001C2A44" w:rsidRPr="00BD1CCE" w:rsidRDefault="001C2A44">
      <w:pPr>
        <w:tabs>
          <w:tab w:val="clear" w:pos="1615"/>
        </w:tabs>
        <w:spacing w:line="259" w:lineRule="auto"/>
        <w:rPr>
          <w:rFonts w:asciiTheme="majorHAnsi" w:hAnsiTheme="majorHAnsi" w:cstheme="majorHAnsi"/>
          <w:b/>
          <w:sz w:val="24"/>
          <w:szCs w:val="24"/>
        </w:rPr>
      </w:pPr>
      <w:bookmarkStart w:id="3" w:name="_Toc92384385"/>
      <w:r w:rsidRPr="00BD1CCE">
        <w:rPr>
          <w:rFonts w:asciiTheme="majorHAnsi" w:hAnsiTheme="majorHAnsi" w:cstheme="majorHAnsi"/>
          <w:sz w:val="24"/>
          <w:szCs w:val="24"/>
        </w:rPr>
        <w:br w:type="page"/>
      </w:r>
    </w:p>
    <w:p w14:paraId="2E981CF7" w14:textId="1EF3E7FA" w:rsidR="00DA7023" w:rsidRPr="00A44C62" w:rsidRDefault="00DA7023" w:rsidP="00BD1CCE">
      <w:pPr>
        <w:pStyle w:val="Ttulo1"/>
        <w:ind w:left="432" w:hanging="432"/>
        <w:rPr>
          <w:rFonts w:asciiTheme="majorHAnsi" w:hAnsiTheme="majorHAnsi" w:cstheme="majorHAnsi"/>
          <w:color w:val="4875BD" w:themeColor="accent1"/>
        </w:rPr>
      </w:pPr>
      <w:r w:rsidRPr="00A44C62">
        <w:rPr>
          <w:rFonts w:asciiTheme="majorHAnsi" w:hAnsiTheme="majorHAnsi" w:cstheme="majorHAnsi"/>
          <w:color w:val="4875BD" w:themeColor="accent1"/>
        </w:rPr>
        <w:lastRenderedPageBreak/>
        <w:t>2. INTERNACIONALIZAÇÃO DA EDUCAÇÃO SUPERIOR</w:t>
      </w:r>
      <w:bookmarkEnd w:id="3"/>
    </w:p>
    <w:p w14:paraId="1C9BEB3A" w14:textId="77777777" w:rsidR="00DA7023" w:rsidRPr="00BD1CCE" w:rsidRDefault="00DA7023" w:rsidP="00DA7023">
      <w:pPr>
        <w:rPr>
          <w:rFonts w:asciiTheme="majorHAnsi" w:hAnsiTheme="majorHAnsi" w:cstheme="majorHAnsi"/>
        </w:rPr>
      </w:pPr>
    </w:p>
    <w:p w14:paraId="249BCC17" w14:textId="77777777" w:rsidR="00DA7023" w:rsidRPr="00215724" w:rsidRDefault="00DA7023" w:rsidP="00DA7023">
      <w:pPr>
        <w:shd w:val="clear" w:color="auto" w:fill="FFFFFF"/>
        <w:spacing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O presente capítulo discute o conceito de internacionalização da educação superior, e destaca suas interfaces com a perspectiva global, regional e nacional, dirigindo a atenção para a relação entre a internacionalização e a interculturalidade e para os impactos da virtualidade sobre a internacionalização. Conclui com o exame de diferentes tipos de internacionalização e com a proposição de um conceito de internacionalização da educação superior defensor do desenvolvimento sustentável.</w:t>
      </w:r>
    </w:p>
    <w:p w14:paraId="07F154CB" w14:textId="77777777" w:rsidR="00DA7023" w:rsidRPr="00BD1CCE" w:rsidRDefault="00DA7023" w:rsidP="00DA7023">
      <w:pPr>
        <w:spacing w:line="360" w:lineRule="auto"/>
        <w:rPr>
          <w:rFonts w:asciiTheme="majorHAnsi" w:hAnsiTheme="majorHAnsi" w:cstheme="majorHAnsi"/>
        </w:rPr>
      </w:pPr>
    </w:p>
    <w:p w14:paraId="504E9955" w14:textId="37DFAB20" w:rsidR="00DA7023" w:rsidRPr="00BD1CCE" w:rsidRDefault="00BD1CCE" w:rsidP="00BD1CCE">
      <w:pPr>
        <w:pStyle w:val="Ttulo2"/>
        <w:ind w:left="993" w:hanging="576"/>
        <w:rPr>
          <w:rFonts w:asciiTheme="majorHAnsi" w:hAnsiTheme="majorHAnsi" w:cstheme="majorHAnsi"/>
        </w:rPr>
      </w:pPr>
      <w:r w:rsidRPr="00BD1CCE">
        <w:rPr>
          <w:rFonts w:asciiTheme="majorHAnsi" w:hAnsiTheme="majorHAnsi" w:cstheme="majorHAnsi"/>
        </w:rPr>
        <w:t>2.1. DA PERIFERIA AO CENTRO DO SISTEMA DE EDUCAÇÃO SUPERIOR: UM PANORAMA HISTÓRICO</w:t>
      </w:r>
    </w:p>
    <w:p w14:paraId="7A4C300F" w14:textId="77777777" w:rsidR="00DA7023" w:rsidRPr="00A44C62" w:rsidRDefault="00DA7023" w:rsidP="00215724">
      <w:pPr>
        <w:pStyle w:val="NormalWeb"/>
        <w:spacing w:before="0" w:beforeAutospacing="0" w:after="240" w:afterAutospacing="0" w:line="360" w:lineRule="auto"/>
        <w:ind w:firstLine="708"/>
        <w:jc w:val="both"/>
        <w:rPr>
          <w:rFonts w:asciiTheme="majorHAnsi" w:hAnsiTheme="majorHAnsi" w:cstheme="majorHAnsi"/>
          <w:color w:val="auto"/>
          <w:sz w:val="24"/>
        </w:rPr>
      </w:pPr>
      <w:r w:rsidRPr="00A44C62">
        <w:rPr>
          <w:rFonts w:asciiTheme="majorHAnsi" w:hAnsiTheme="majorHAnsi" w:cstheme="majorHAnsi"/>
          <w:color w:val="auto"/>
          <w:sz w:val="24"/>
        </w:rPr>
        <w:t xml:space="preserve">A internacionalização da educação superior não está restrita à área da educação. Ela é um campo (CLARK; NEAVE, 1992) científico (BOURDIEU, 1983) com </w:t>
      </w:r>
      <w:r w:rsidRPr="00A44C62">
        <w:rPr>
          <w:rFonts w:asciiTheme="majorHAnsi" w:hAnsiTheme="majorHAnsi" w:cstheme="majorHAnsi"/>
          <w:i/>
          <w:iCs/>
          <w:color w:val="auto"/>
          <w:sz w:val="24"/>
        </w:rPr>
        <w:t xml:space="preserve">approach </w:t>
      </w:r>
      <w:r w:rsidRPr="00A44C62">
        <w:rPr>
          <w:rFonts w:asciiTheme="majorHAnsi" w:hAnsiTheme="majorHAnsi" w:cstheme="majorHAnsi"/>
          <w:color w:val="auto"/>
          <w:sz w:val="24"/>
        </w:rPr>
        <w:t>interdisciplinar. Ou seja, diversas áreas do conhecimento pensam e produzem sobre internacionalização, a qual está no cerne da instituição universitária. No Brasil, isso fica claro quando, ao retomar a história das instituições educacionais, consideramos o papel que professores de outras nações desempenharam na construção das IES do país.</w:t>
      </w:r>
    </w:p>
    <w:p w14:paraId="57DC9906" w14:textId="77777777" w:rsidR="00DA7023" w:rsidRPr="00A44C62" w:rsidRDefault="00DA7023" w:rsidP="00215724">
      <w:pPr>
        <w:spacing w:after="240" w:line="360" w:lineRule="auto"/>
        <w:ind w:firstLine="708"/>
        <w:jc w:val="both"/>
        <w:rPr>
          <w:rFonts w:asciiTheme="majorHAnsi" w:hAnsiTheme="majorHAnsi" w:cstheme="majorHAnsi"/>
          <w:sz w:val="24"/>
          <w:szCs w:val="24"/>
        </w:rPr>
      </w:pPr>
      <w:r w:rsidRPr="00A44C62">
        <w:rPr>
          <w:rFonts w:asciiTheme="majorHAnsi" w:hAnsiTheme="majorHAnsi" w:cstheme="majorHAnsi"/>
          <w:sz w:val="24"/>
          <w:szCs w:val="24"/>
        </w:rPr>
        <w:t xml:space="preserve">No século XX, a internacionalização da educação superior representava uma fase mais incidental do que organizada. Com a Guerra Fria, estabeleceu-se, de forma acentuada, a perspectiva de politização da internacionalização. Entretanto, foi somente com a globalização </w:t>
      </w:r>
      <w:r w:rsidRPr="00A44C62">
        <w:rPr>
          <w:rFonts w:asciiTheme="majorHAnsi" w:hAnsiTheme="majorHAnsi" w:cstheme="majorHAnsi"/>
          <w:spacing w:val="-2"/>
          <w:sz w:val="24"/>
          <w:szCs w:val="24"/>
        </w:rPr>
        <w:t>que a internacionalização passou de uma posição periférica acidental para o centro do processo.</w:t>
      </w:r>
      <w:r w:rsidRPr="00A44C62">
        <w:rPr>
          <w:rFonts w:asciiTheme="majorHAnsi" w:hAnsiTheme="majorHAnsi" w:cstheme="majorHAnsi"/>
          <w:sz w:val="24"/>
          <w:szCs w:val="24"/>
        </w:rPr>
        <w:t xml:space="preserve"> Segundo Altbach (2016), a estrutura do campo pode ser analisada em dois momentos, com limites tênues entre eles, quais sejam: a pré-globalização e a globalização da internacionalização.</w:t>
      </w:r>
    </w:p>
    <w:p w14:paraId="44E75279" w14:textId="77777777" w:rsidR="00DA7023" w:rsidRPr="00A44C62" w:rsidRDefault="00DA7023" w:rsidP="00215724">
      <w:pPr>
        <w:spacing w:after="240" w:line="360" w:lineRule="auto"/>
        <w:ind w:firstLine="708"/>
        <w:jc w:val="both"/>
        <w:rPr>
          <w:rFonts w:asciiTheme="majorHAnsi" w:hAnsiTheme="majorHAnsi" w:cstheme="majorHAnsi"/>
          <w:sz w:val="24"/>
          <w:szCs w:val="24"/>
        </w:rPr>
      </w:pPr>
      <w:r w:rsidRPr="00A44C62">
        <w:rPr>
          <w:rFonts w:asciiTheme="majorHAnsi" w:hAnsiTheme="majorHAnsi" w:cstheme="majorHAnsi"/>
          <w:sz w:val="24"/>
          <w:szCs w:val="24"/>
        </w:rPr>
        <w:t xml:space="preserve">Na pré-globalização, a internacionalização estava voltada para a ciência e para os pesquisadores tinham grande autonomia, estabelecendo relações fora da burocracia institucional. No Brasil, a função pesquisa era pouco desenvolvida e encontrava-se em feudos de determinadas áreas do conhecimento, no interior de algumas instituições universitárias públicas, via de regra situadas na região sudeste e em grandes capitais. </w:t>
      </w:r>
    </w:p>
    <w:p w14:paraId="7953B6E2" w14:textId="77777777" w:rsidR="00DA7023" w:rsidRPr="00BD1CCE" w:rsidRDefault="00DA7023" w:rsidP="00215724">
      <w:pPr>
        <w:pStyle w:val="NormalWeb"/>
        <w:spacing w:before="0" w:beforeAutospacing="0" w:after="240" w:afterAutospacing="0" w:line="360" w:lineRule="auto"/>
        <w:ind w:firstLine="708"/>
        <w:jc w:val="both"/>
        <w:rPr>
          <w:rFonts w:asciiTheme="majorHAnsi" w:hAnsiTheme="majorHAnsi" w:cstheme="majorHAnsi"/>
          <w:color w:val="auto"/>
          <w:sz w:val="24"/>
        </w:rPr>
      </w:pPr>
      <w:r w:rsidRPr="00BD1CCE">
        <w:rPr>
          <w:rFonts w:asciiTheme="majorHAnsi" w:hAnsiTheme="majorHAnsi" w:cstheme="majorHAnsi"/>
          <w:color w:val="auto"/>
          <w:sz w:val="24"/>
        </w:rPr>
        <w:lastRenderedPageBreak/>
        <w:t xml:space="preserve">Já a globalização da internacionalização ocorreu após a Guerra Fria (ALTBACH, 2016) e tem como pontos comuns: a mobilidade de estudantes Sul-Norte; o desenvolvimento de cooperação e intercâmbios com o terceiro mundo; e o forte engajamento nacional, acompanhado por um fraco e, principalmente, reativo envolvimento institucional (MOROSINI; DALLA CORTE, 2021). Essa fase é marcante na trajetória do processo de internacionalização. Ela se desloca da função pesquisa, que atingia poucas instituições e poucos países, e passa a ser o cerne da função ensino. Com isso, a autonomia que marcava a fase anterior se coloca na instituição, que passa a ser definidora de regras e de processos avaliativos. Tais processos foram determinantes para classificar as instituições, colocando-as em posições classificatórias e tornando-as polos de atração de estudantes, com consequente crescimento financeiro em virtude do pagamento de taxas e matrículas. Ela está fundamentada no paradigma da sociedade do conhecimento, em que, como o seu nome aponta, o conhecimento é o capital a ser buscado e esse tem, preferencialmente, seu cerne na formação de recursos humanos de alto nível, que ocorre em instituições universitárias. Decorrente dessa premissa, a qualidade passa a ser fator imprescindível e é criado um arcabouço complexo de </w:t>
      </w:r>
      <w:r w:rsidRPr="00BD1CCE">
        <w:rPr>
          <w:rFonts w:asciiTheme="majorHAnsi" w:hAnsiTheme="majorHAnsi" w:cstheme="majorHAnsi"/>
          <w:color w:val="auto"/>
          <w:spacing w:val="-2"/>
          <w:sz w:val="24"/>
        </w:rPr>
        <w:t xml:space="preserve">garantia da qualidade com agências acreditadoras e </w:t>
      </w:r>
      <w:r w:rsidRPr="00BD1CCE">
        <w:rPr>
          <w:rFonts w:asciiTheme="majorHAnsi" w:hAnsiTheme="majorHAnsi" w:cstheme="majorHAnsi"/>
          <w:i/>
          <w:iCs/>
          <w:color w:val="auto"/>
          <w:spacing w:val="-2"/>
          <w:sz w:val="24"/>
        </w:rPr>
        <w:t>rankings</w:t>
      </w:r>
      <w:r w:rsidRPr="00BD1CCE">
        <w:rPr>
          <w:rFonts w:asciiTheme="majorHAnsi" w:hAnsiTheme="majorHAnsi" w:cstheme="majorHAnsi"/>
          <w:color w:val="auto"/>
          <w:spacing w:val="-2"/>
          <w:sz w:val="24"/>
        </w:rPr>
        <w:t xml:space="preserve"> avaliativos. A internacionalização</w:t>
      </w:r>
      <w:r w:rsidRPr="00BD1CCE">
        <w:rPr>
          <w:rFonts w:asciiTheme="majorHAnsi" w:hAnsiTheme="majorHAnsi" w:cstheme="majorHAnsi"/>
          <w:color w:val="auto"/>
          <w:sz w:val="24"/>
        </w:rPr>
        <w:t xml:space="preserve"> passa a ser um forte critério de qualidade. A meta é promover o desenvolvimento universitário nos moldes de uma </w:t>
      </w:r>
      <w:r w:rsidRPr="00BD1CCE">
        <w:rPr>
          <w:rFonts w:asciiTheme="majorHAnsi" w:hAnsiTheme="majorHAnsi" w:cstheme="majorHAnsi"/>
          <w:i/>
          <w:iCs/>
          <w:color w:val="auto"/>
          <w:sz w:val="24"/>
        </w:rPr>
        <w:t>World Class University</w:t>
      </w:r>
      <w:r w:rsidRPr="00BD1CCE">
        <w:rPr>
          <w:rFonts w:asciiTheme="majorHAnsi" w:hAnsiTheme="majorHAnsi" w:cstheme="majorHAnsi"/>
          <w:color w:val="auto"/>
          <w:sz w:val="24"/>
        </w:rPr>
        <w:t xml:space="preserve"> (SALMI, 2009), a qual é caracterizada pela presença, dentre outras, de talentos humanos, por farto financiamento e pela governança estratégica nas instituições. </w:t>
      </w:r>
    </w:p>
    <w:p w14:paraId="1B9BEE85" w14:textId="77777777" w:rsidR="00DA7023" w:rsidRPr="00BD1CCE" w:rsidRDefault="00DA7023" w:rsidP="00DA7023">
      <w:pPr>
        <w:spacing w:line="360" w:lineRule="auto"/>
        <w:rPr>
          <w:rFonts w:asciiTheme="majorHAnsi" w:hAnsiTheme="majorHAnsi" w:cstheme="majorHAnsi"/>
        </w:rPr>
      </w:pPr>
    </w:p>
    <w:p w14:paraId="481A25E1" w14:textId="23C23C54" w:rsidR="00DA7023" w:rsidRPr="00BD1CCE" w:rsidRDefault="00BD1CCE" w:rsidP="00BD1CCE">
      <w:pPr>
        <w:pStyle w:val="Ttulo2"/>
        <w:ind w:left="993" w:hanging="576"/>
        <w:rPr>
          <w:rFonts w:asciiTheme="majorHAnsi" w:hAnsiTheme="majorHAnsi" w:cstheme="majorHAnsi"/>
        </w:rPr>
      </w:pPr>
      <w:r w:rsidRPr="00BD1CCE">
        <w:rPr>
          <w:rFonts w:asciiTheme="majorHAnsi" w:hAnsiTheme="majorHAnsi" w:cstheme="majorHAnsi"/>
        </w:rPr>
        <w:t xml:space="preserve">2.2. A INTERNACIONALIZAÇÃO EM CONTEXTOS EMERGENTES: UM CAMPO CIENTÍFICO EM TENSÃO </w:t>
      </w:r>
    </w:p>
    <w:p w14:paraId="690CDDB4" w14:textId="77777777" w:rsidR="00DA7023" w:rsidRPr="00215724" w:rsidRDefault="00DA7023" w:rsidP="00DA7023">
      <w:pPr>
        <w:spacing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 xml:space="preserve">A internacionalização da educação superior na contemporaneidade é marcada por uma arena de tensões (Figura 2) na busca do domínio do campo científico definido pelo poder da autoridade científica. Essa arena tem como base um sistema relacional entre as perspectivas global/regional/nacional/institucional, que se debatem entre uma concepção de educação superior como serviço, que tem como racionalidades de compreensão da universidade como empresa capaz de vender produtos a quem possa comprá-los, e como bem público, que compreende a ação da universidade como um serviço público fornecido basicamente pelos governos, mas que também pode ser proporcionado por outras instituições. No documento de referência para a construção da </w:t>
      </w:r>
      <w:r w:rsidRPr="00215724">
        <w:rPr>
          <w:rFonts w:asciiTheme="majorHAnsi" w:hAnsiTheme="majorHAnsi" w:cstheme="majorHAnsi"/>
          <w:sz w:val="24"/>
          <w:szCs w:val="24"/>
        </w:rPr>
        <w:lastRenderedPageBreak/>
        <w:t>UnDF (CEBRASPE, 2021), esse princípio é prioritário na compreensão de uma universidade distrital com cerne na concepção de uma educação como bem público.</w:t>
      </w:r>
    </w:p>
    <w:p w14:paraId="2DA230B0" w14:textId="77777777" w:rsidR="00DA7023" w:rsidRPr="00215724" w:rsidRDefault="00DA7023" w:rsidP="00DA7023">
      <w:pPr>
        <w:spacing w:line="360" w:lineRule="auto"/>
        <w:ind w:firstLine="708"/>
        <w:jc w:val="both"/>
        <w:rPr>
          <w:rFonts w:asciiTheme="majorHAnsi" w:hAnsiTheme="majorHAnsi" w:cstheme="majorHAnsi"/>
          <w:sz w:val="24"/>
          <w:szCs w:val="24"/>
        </w:rPr>
      </w:pPr>
      <w:r w:rsidRPr="00215724">
        <w:rPr>
          <w:rFonts w:asciiTheme="majorHAnsi" w:hAnsiTheme="majorHAnsi" w:cstheme="majorHAnsi"/>
          <w:sz w:val="24"/>
          <w:szCs w:val="24"/>
        </w:rPr>
        <w:t xml:space="preserve">Atualmente, constata-se uma expansão da internacionalização nas IES brasileiras, apresentando, além de discussão epistêmica e de suas interfaces com organismos internacionais, a busca de </w:t>
      </w:r>
      <w:r w:rsidRPr="00215724">
        <w:rPr>
          <w:rFonts w:asciiTheme="majorHAnsi" w:hAnsiTheme="majorHAnsi" w:cstheme="majorHAnsi"/>
          <w:i/>
          <w:iCs/>
          <w:sz w:val="24"/>
          <w:szCs w:val="24"/>
        </w:rPr>
        <w:t>benchmarks</w:t>
      </w:r>
      <w:r w:rsidRPr="00215724">
        <w:rPr>
          <w:rFonts w:asciiTheme="majorHAnsi" w:hAnsiTheme="majorHAnsi" w:cstheme="majorHAnsi"/>
          <w:sz w:val="24"/>
          <w:szCs w:val="24"/>
        </w:rPr>
        <w:t xml:space="preserve"> institucionais. Na medida em que a internacionalização é critério de qualidade, as IES sentem-se pressionadas para inserir em seus documentos normativos ações estratégicas para denotar sua presença. </w:t>
      </w:r>
    </w:p>
    <w:p w14:paraId="423291CD" w14:textId="77777777" w:rsidR="00DA7023" w:rsidRPr="00BD1CCE" w:rsidRDefault="00DA7023" w:rsidP="00DA7023">
      <w:pPr>
        <w:spacing w:line="276" w:lineRule="auto"/>
        <w:rPr>
          <w:rFonts w:asciiTheme="majorHAnsi" w:hAnsiTheme="majorHAnsi" w:cstheme="majorHAnsi"/>
          <w:b/>
          <w:bCs/>
        </w:rPr>
      </w:pPr>
    </w:p>
    <w:p w14:paraId="2910325A" w14:textId="77777777" w:rsidR="00DA7023" w:rsidRPr="00BD1CCE" w:rsidRDefault="00DA7023" w:rsidP="00DA7023">
      <w:pPr>
        <w:spacing w:line="276" w:lineRule="auto"/>
        <w:ind w:left="993" w:hanging="993"/>
        <w:jc w:val="both"/>
        <w:rPr>
          <w:rFonts w:asciiTheme="majorHAnsi" w:hAnsiTheme="majorHAnsi" w:cstheme="majorHAnsi"/>
        </w:rPr>
      </w:pPr>
      <w:r w:rsidRPr="00BD1CCE">
        <w:rPr>
          <w:rFonts w:asciiTheme="majorHAnsi" w:hAnsiTheme="majorHAnsi" w:cstheme="majorHAnsi"/>
          <w:b/>
          <w:bCs/>
        </w:rPr>
        <w:t>Figura 2.</w:t>
      </w:r>
      <w:r w:rsidRPr="00BD1CCE">
        <w:rPr>
          <w:rFonts w:asciiTheme="majorHAnsi" w:hAnsiTheme="majorHAnsi" w:cstheme="majorHAnsi"/>
        </w:rPr>
        <w:t xml:space="preserve"> Contemporaneidade da internacionalização da educação superior, campo científico e contextos emergentes</w:t>
      </w:r>
    </w:p>
    <w:p w14:paraId="6D68681B" w14:textId="77777777" w:rsidR="00DA7023" w:rsidRPr="00BD1CCE" w:rsidRDefault="00DA7023" w:rsidP="00DA7023">
      <w:pPr>
        <w:spacing w:line="360" w:lineRule="auto"/>
        <w:jc w:val="center"/>
        <w:rPr>
          <w:rFonts w:asciiTheme="majorHAnsi" w:hAnsiTheme="majorHAnsi" w:cstheme="majorHAnsi"/>
        </w:rPr>
      </w:pPr>
      <w:r w:rsidRPr="00BD1CCE">
        <w:rPr>
          <w:rFonts w:asciiTheme="majorHAnsi" w:hAnsiTheme="majorHAnsi" w:cstheme="majorHAnsi"/>
          <w:noProof/>
        </w:rPr>
        <w:drawing>
          <wp:inline distT="0" distB="0" distL="0" distR="0" wp14:anchorId="32E203C8" wp14:editId="23B7CFA6">
            <wp:extent cx="3476411" cy="2679700"/>
            <wp:effectExtent l="0" t="0" r="0" b="635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a:blip r:embed="rId15"/>
                    <a:stretch>
                      <a:fillRect/>
                    </a:stretch>
                  </pic:blipFill>
                  <pic:spPr>
                    <a:xfrm>
                      <a:off x="0" y="0"/>
                      <a:ext cx="3491418" cy="2691268"/>
                    </a:xfrm>
                    <a:prstGeom prst="rect">
                      <a:avLst/>
                    </a:prstGeom>
                  </pic:spPr>
                </pic:pic>
              </a:graphicData>
            </a:graphic>
          </wp:inline>
        </w:drawing>
      </w:r>
    </w:p>
    <w:p w14:paraId="596EC39A" w14:textId="77777777" w:rsidR="00DA7023" w:rsidRPr="00215724" w:rsidRDefault="00DA7023" w:rsidP="00DA7023">
      <w:pPr>
        <w:spacing w:line="360" w:lineRule="auto"/>
        <w:rPr>
          <w:rFonts w:asciiTheme="majorHAnsi" w:hAnsiTheme="majorHAnsi" w:cstheme="majorHAnsi"/>
          <w:sz w:val="20"/>
          <w:szCs w:val="20"/>
        </w:rPr>
      </w:pPr>
      <w:r w:rsidRPr="00215724">
        <w:rPr>
          <w:rFonts w:asciiTheme="majorHAnsi" w:hAnsiTheme="majorHAnsi" w:cstheme="majorHAnsi"/>
          <w:sz w:val="20"/>
          <w:szCs w:val="20"/>
        </w:rPr>
        <w:t>Fonte: Morosini e Dalla Corte (2021, p. 45).</w:t>
      </w:r>
    </w:p>
    <w:p w14:paraId="0952C516" w14:textId="77777777" w:rsidR="00DA7023" w:rsidRPr="00BD1CCE" w:rsidRDefault="00DA7023" w:rsidP="00DA7023">
      <w:pPr>
        <w:spacing w:line="360" w:lineRule="auto"/>
        <w:ind w:firstLine="708"/>
        <w:jc w:val="both"/>
        <w:rPr>
          <w:rFonts w:asciiTheme="majorHAnsi" w:hAnsiTheme="majorHAnsi" w:cstheme="majorHAnsi"/>
        </w:rPr>
      </w:pPr>
    </w:p>
    <w:p w14:paraId="475FA42D" w14:textId="77777777" w:rsidR="00DA7023" w:rsidRPr="00967116" w:rsidRDefault="00DA7023" w:rsidP="00DA7023">
      <w:pPr>
        <w:spacing w:line="360" w:lineRule="auto"/>
        <w:ind w:firstLine="708"/>
        <w:jc w:val="both"/>
        <w:rPr>
          <w:rFonts w:asciiTheme="majorHAnsi" w:hAnsiTheme="majorHAnsi" w:cstheme="majorHAnsi"/>
          <w:sz w:val="24"/>
          <w:szCs w:val="24"/>
        </w:rPr>
      </w:pPr>
      <w:r w:rsidRPr="00967116">
        <w:rPr>
          <w:rFonts w:asciiTheme="majorHAnsi" w:hAnsiTheme="majorHAnsi" w:cstheme="majorHAnsi"/>
          <w:sz w:val="24"/>
          <w:szCs w:val="24"/>
        </w:rPr>
        <w:t xml:space="preserve">Na avaliação da autoridade científica, aquela que domina o campo, a produção científica é um dos principais indicadores de qualidade da internacionalização. Essa avaliação é constatada por dados oficiais que apresentam a relação entre a produção científica e a renda, e a produção científica e o território geopolítico. De acordo com o </w:t>
      </w:r>
      <w:r w:rsidRPr="00967116">
        <w:rPr>
          <w:rFonts w:asciiTheme="majorHAnsi" w:hAnsiTheme="majorHAnsi" w:cstheme="majorHAnsi"/>
          <w:i/>
          <w:iCs/>
          <w:sz w:val="24"/>
          <w:szCs w:val="24"/>
        </w:rPr>
        <w:t>Informe de la Unesco sobre la ciencia</w:t>
      </w:r>
      <w:r w:rsidRPr="00967116">
        <w:rPr>
          <w:rFonts w:asciiTheme="majorHAnsi" w:hAnsiTheme="majorHAnsi" w:cstheme="majorHAnsi"/>
          <w:sz w:val="24"/>
          <w:szCs w:val="24"/>
        </w:rPr>
        <w:t xml:space="preserve"> (UNESCO, 2021), em 2019, 63% das publicações científicas no mundo foram realizadas por pessoas com renda alta, 38% por pessoas com renda média alta, 11,4% por pessoas com renda média baixa e somente 0,9% por pessoas com renda baixa. A produção estava concentrada na Ásia Oriental e Sudoriental (37%), na Europa (35%) e nos Estados Unidos (23%). A América Latina e o Caribe foram responsáveis </w:t>
      </w:r>
      <w:r w:rsidRPr="00967116">
        <w:rPr>
          <w:rFonts w:asciiTheme="majorHAnsi" w:hAnsiTheme="majorHAnsi" w:cstheme="majorHAnsi"/>
          <w:sz w:val="24"/>
          <w:szCs w:val="24"/>
        </w:rPr>
        <w:lastRenderedPageBreak/>
        <w:t xml:space="preserve">por 5,3%. Tais dados apontam para a manutenção do monopólio do capital científico do Norte Global, o que caracteriza a perpetuação da ordem científica dominante. Em contrapartida, apontam para a minimização do saber centrado no Atlântico Norte e para a ampliação da valoração do conhecimento produzido na Ásia. Isso pode ser inferido quando analisamos tal produção de forma comparativa entre 2015 e 2019. Nesse período, ocorreu um crescimento na Ásia Oriental e Sudoriental de 32,1% para 36,7% e um decréscimo na Europa (de 37,7% para 34,9%) e nos Estados Unidos (de 26,9% para 23,2%). Concomitantemente, pode ser registrada uma nova estratégia de quebra da homogeneidade do campo por meio da valoração dos saberes do Sul Global com a produção do saber local e/ou regional. Via de regra, os territórios do Sul Global são constituídos por países mais pobres, embora existam bolsões de riqueza em seu interior. Esses territórios que se constituem entre uma concepção de universidade tradicional e outra concepção de universidade voltada ao mercado são denominados de contextos emergentes, estando situados entre “concepções preexistentes, refletoras de tendências históricas” e a sociedade contemporânea (MOROSINI, 2014, p. 289). Tais contextos têm o </w:t>
      </w:r>
      <w:r w:rsidRPr="00967116">
        <w:rPr>
          <w:rFonts w:asciiTheme="majorHAnsi" w:hAnsiTheme="majorHAnsi" w:cstheme="majorHAnsi"/>
          <w:i/>
          <w:iCs/>
          <w:sz w:val="24"/>
          <w:szCs w:val="24"/>
        </w:rPr>
        <w:t>ethos</w:t>
      </w:r>
      <w:r w:rsidRPr="00967116">
        <w:rPr>
          <w:rFonts w:asciiTheme="majorHAnsi" w:hAnsiTheme="majorHAnsi" w:cstheme="majorHAnsi"/>
          <w:sz w:val="24"/>
          <w:szCs w:val="24"/>
        </w:rPr>
        <w:t xml:space="preserve"> social presente na instituição universitária, a qual é constituída em espaço de transição e que busca, além da excelência acadêmica, honrar compromissos sociais com o desenvolvimento de sua região. </w:t>
      </w:r>
    </w:p>
    <w:p w14:paraId="3B2A1B41" w14:textId="5723F43A" w:rsidR="00DA7023" w:rsidRDefault="00DA7023" w:rsidP="00700045">
      <w:pPr>
        <w:pStyle w:val="NormalWeb"/>
        <w:spacing w:before="0" w:beforeAutospacing="0" w:after="0" w:afterAutospacing="0" w:line="360" w:lineRule="auto"/>
        <w:ind w:firstLine="709"/>
        <w:jc w:val="both"/>
        <w:rPr>
          <w:rFonts w:asciiTheme="majorHAnsi" w:hAnsiTheme="majorHAnsi" w:cstheme="majorHAnsi"/>
          <w:color w:val="auto"/>
          <w:sz w:val="24"/>
        </w:rPr>
      </w:pPr>
      <w:r w:rsidRPr="00967116">
        <w:rPr>
          <w:rFonts w:asciiTheme="majorHAnsi" w:hAnsiTheme="majorHAnsi" w:cstheme="majorHAnsi"/>
          <w:color w:val="auto"/>
          <w:sz w:val="24"/>
        </w:rPr>
        <w:t xml:space="preserve">Esse mesmo princípio que caracteriza os contextos emergentes é identificado na proposição da intencionalidade institucional da UnDF (CEBRASPE, 2021). Há o reconhecimento da disputa ideológica e sociopolítica, mas está ressaltada a importância de esforços para: </w:t>
      </w:r>
    </w:p>
    <w:p w14:paraId="102E76D5" w14:textId="77777777" w:rsidR="00967116" w:rsidRPr="00967116" w:rsidRDefault="00967116" w:rsidP="00DA7023">
      <w:pPr>
        <w:pStyle w:val="NormalWeb"/>
        <w:spacing w:before="0" w:beforeAutospacing="0" w:after="0" w:afterAutospacing="0" w:line="360" w:lineRule="auto"/>
        <w:jc w:val="both"/>
        <w:rPr>
          <w:rFonts w:asciiTheme="majorHAnsi" w:hAnsiTheme="majorHAnsi" w:cstheme="majorHAnsi"/>
          <w:color w:val="auto"/>
          <w:sz w:val="24"/>
        </w:rPr>
      </w:pPr>
    </w:p>
    <w:p w14:paraId="59645C56" w14:textId="77777777" w:rsidR="00DA7023" w:rsidRPr="00967116" w:rsidRDefault="00DA7023" w:rsidP="00DA7023">
      <w:pPr>
        <w:pStyle w:val="NormalWeb"/>
        <w:spacing w:before="0" w:beforeAutospacing="0" w:after="0" w:afterAutospacing="0"/>
        <w:ind w:left="2268"/>
        <w:jc w:val="both"/>
        <w:rPr>
          <w:rFonts w:asciiTheme="majorHAnsi" w:hAnsiTheme="majorHAnsi" w:cstheme="majorHAnsi"/>
          <w:color w:val="auto"/>
          <w:sz w:val="20"/>
          <w:szCs w:val="20"/>
        </w:rPr>
      </w:pPr>
      <w:r w:rsidRPr="00967116">
        <w:rPr>
          <w:rFonts w:asciiTheme="majorHAnsi" w:hAnsiTheme="majorHAnsi" w:cstheme="majorHAnsi"/>
          <w:color w:val="auto"/>
          <w:sz w:val="20"/>
          <w:szCs w:val="20"/>
        </w:rPr>
        <w:t>(i) identificar formas de superação dos obstáculos à disseminação do conhecimento; (ii) analisar como se dá sua utilização, enfatizando seus desdobramentos no campo da política científica e suas contribuições para o ensino, a extensão e a pesquisa na universidade; e (iii) buscar alternativas teóricas e práticas que concorram para a formação dos pesquisadores</w:t>
      </w:r>
      <w:r w:rsidRPr="00967116">
        <w:rPr>
          <w:rFonts w:asciiTheme="majorHAnsi" w:hAnsiTheme="majorHAnsi" w:cstheme="majorHAnsi"/>
          <w:color w:val="auto"/>
          <w:sz w:val="24"/>
        </w:rPr>
        <w:t xml:space="preserve"> </w:t>
      </w:r>
      <w:r w:rsidRPr="00967116">
        <w:rPr>
          <w:rFonts w:asciiTheme="majorHAnsi" w:hAnsiTheme="majorHAnsi" w:cstheme="majorHAnsi"/>
          <w:color w:val="auto"/>
          <w:sz w:val="20"/>
          <w:szCs w:val="20"/>
        </w:rPr>
        <w:t>como protagonistas envolvidos na produção e disseminação do conhecimento – docentes, estudantes e funcionários técnico-administrativos. (CEBRASPE, 2021. P.31)</w:t>
      </w:r>
    </w:p>
    <w:p w14:paraId="7A373345" w14:textId="77777777" w:rsidR="00DA7023" w:rsidRPr="00BD1CCE" w:rsidRDefault="00DA7023" w:rsidP="00DA7023">
      <w:pPr>
        <w:spacing w:line="360" w:lineRule="auto"/>
        <w:ind w:firstLine="708"/>
        <w:jc w:val="both"/>
        <w:rPr>
          <w:rFonts w:asciiTheme="majorHAnsi" w:hAnsiTheme="majorHAnsi" w:cstheme="majorHAnsi"/>
        </w:rPr>
      </w:pPr>
    </w:p>
    <w:p w14:paraId="32B6CAB7" w14:textId="77777777" w:rsidR="00DA7023" w:rsidRPr="00967116" w:rsidRDefault="00DA7023" w:rsidP="00DA7023">
      <w:pPr>
        <w:spacing w:line="360" w:lineRule="auto"/>
        <w:ind w:firstLine="708"/>
        <w:jc w:val="both"/>
        <w:rPr>
          <w:rFonts w:asciiTheme="majorHAnsi" w:hAnsiTheme="majorHAnsi" w:cstheme="majorHAnsi"/>
          <w:sz w:val="24"/>
          <w:szCs w:val="24"/>
        </w:rPr>
      </w:pPr>
      <w:r w:rsidRPr="00967116">
        <w:rPr>
          <w:rFonts w:asciiTheme="majorHAnsi" w:hAnsiTheme="majorHAnsi" w:cstheme="majorHAnsi"/>
          <w:sz w:val="24"/>
          <w:szCs w:val="24"/>
        </w:rPr>
        <w:t>Nessa perspectiva, os mesmos dados da Unesco (2021) nos permitem inferir o crescimento da produção científica em contextos emergentes. Entre 2015 e 2019, ocorreu um crescimento da produção científica de pessoas de renda média baixa (de 8,9% para 11,4%) e de renda média alta (de 32,3% para 38,1%), paralelo ao decréscimo da produção de pessoas com ingresso alto (de 69,3% para 62,9%).</w:t>
      </w:r>
    </w:p>
    <w:p w14:paraId="298B90A5" w14:textId="77777777" w:rsidR="00DA7023" w:rsidRPr="00967116" w:rsidRDefault="00DA7023" w:rsidP="00DA7023">
      <w:pPr>
        <w:spacing w:line="360" w:lineRule="auto"/>
        <w:ind w:firstLine="708"/>
        <w:jc w:val="both"/>
        <w:rPr>
          <w:rFonts w:asciiTheme="majorHAnsi" w:hAnsiTheme="majorHAnsi" w:cstheme="majorHAnsi"/>
          <w:sz w:val="24"/>
          <w:szCs w:val="24"/>
        </w:rPr>
      </w:pPr>
      <w:r w:rsidRPr="00967116">
        <w:rPr>
          <w:rFonts w:asciiTheme="majorHAnsi" w:hAnsiTheme="majorHAnsi" w:cstheme="majorHAnsi"/>
          <w:sz w:val="24"/>
          <w:szCs w:val="24"/>
        </w:rPr>
        <w:lastRenderedPageBreak/>
        <w:t xml:space="preserve">Esse campo científico em tensão aponta, como desafio global, a construção de um mundo mais solidário com a presença da internacionalização intercultural para a integração. Assim, na base da internacionalização da educação superior em contextos emergentes, uma </w:t>
      </w:r>
      <w:r w:rsidRPr="00967116">
        <w:rPr>
          <w:rFonts w:asciiTheme="majorHAnsi" w:hAnsiTheme="majorHAnsi" w:cstheme="majorHAnsi"/>
          <w:spacing w:val="-4"/>
          <w:sz w:val="24"/>
          <w:szCs w:val="24"/>
        </w:rPr>
        <w:t>relação fundamental é o conceito de interculturalidade. Internacionalização e interculturalidade</w:t>
      </w:r>
      <w:r w:rsidRPr="00967116">
        <w:rPr>
          <w:rFonts w:asciiTheme="majorHAnsi" w:hAnsiTheme="majorHAnsi" w:cstheme="majorHAnsi"/>
          <w:sz w:val="24"/>
          <w:szCs w:val="24"/>
        </w:rPr>
        <w:t xml:space="preserve"> passam a ser considerados conceitos gêmeos (MOROSINI; CLEMENTE, 2019) e importantes, pois implicam um diálogo entre perspectivas culturais de diversos países visando à inter-relação para criar elos entre as diferentes culturas com vistas à paz (WALSH, 2009). Nesse entender, as competências culturais são importantes, pois alocam-se junto à tradicional competência cognitiva e às competências socioemocionais. De acordo com a Unesco (2015), as competências interculturais são fundamentais para permitir ao sujeito enfrentar os desafios globais assumindo uma identidade coletiva que transcenda as diferenças individuais. </w:t>
      </w:r>
    </w:p>
    <w:p w14:paraId="6A38CC53" w14:textId="77777777" w:rsidR="00DA7023" w:rsidRPr="00967116" w:rsidRDefault="00DA7023" w:rsidP="00DA7023">
      <w:pPr>
        <w:spacing w:line="360" w:lineRule="auto"/>
        <w:ind w:firstLine="708"/>
        <w:jc w:val="both"/>
        <w:rPr>
          <w:rFonts w:asciiTheme="majorHAnsi" w:hAnsiTheme="majorHAnsi" w:cstheme="majorHAnsi"/>
          <w:sz w:val="24"/>
          <w:szCs w:val="24"/>
        </w:rPr>
      </w:pPr>
      <w:r w:rsidRPr="00967116">
        <w:rPr>
          <w:rFonts w:asciiTheme="majorHAnsi" w:hAnsiTheme="majorHAnsi" w:cstheme="majorHAnsi"/>
          <w:sz w:val="24"/>
          <w:szCs w:val="24"/>
        </w:rPr>
        <w:t>Essa consideração ocorre no contexto de desafios no século XXI, no qual as IES precisam acompanhar as transformações do conhecimento globalizado aliado à capacidade de formar indivíduos intelectual e culturalmente capazes (DEARDORFF, 2006), sendo a internacionalização uma ferramenta cada vez mais latente para isso.</w:t>
      </w:r>
    </w:p>
    <w:p w14:paraId="200389CF" w14:textId="77777777" w:rsidR="00DA7023" w:rsidRPr="00BD1CCE" w:rsidRDefault="00DA7023" w:rsidP="00DA7023">
      <w:pPr>
        <w:spacing w:line="360" w:lineRule="auto"/>
        <w:jc w:val="both"/>
        <w:rPr>
          <w:rFonts w:asciiTheme="majorHAnsi" w:hAnsiTheme="majorHAnsi" w:cstheme="majorHAnsi"/>
          <w:bCs/>
        </w:rPr>
      </w:pPr>
    </w:p>
    <w:p w14:paraId="42CA9521" w14:textId="7A7D3B25" w:rsidR="00DA7023" w:rsidRPr="00BD1CCE" w:rsidRDefault="00BD1CCE" w:rsidP="00BD1CCE">
      <w:pPr>
        <w:pStyle w:val="Ttulo2"/>
        <w:ind w:left="993" w:hanging="576"/>
        <w:rPr>
          <w:rFonts w:asciiTheme="majorHAnsi" w:hAnsiTheme="majorHAnsi" w:cstheme="majorHAnsi"/>
        </w:rPr>
      </w:pPr>
      <w:r w:rsidRPr="00BD1CCE">
        <w:rPr>
          <w:rFonts w:asciiTheme="majorHAnsi" w:hAnsiTheme="majorHAnsi" w:cstheme="majorHAnsi"/>
        </w:rPr>
        <w:t xml:space="preserve">2.3 A INTERNACIONALIZAÇÃO DA EDUCAÇÃO SUPERIOR E SUAS INTERFACES </w:t>
      </w:r>
    </w:p>
    <w:p w14:paraId="7F02962B" w14:textId="6F6BAAD8" w:rsidR="00DA7023" w:rsidRPr="00700045" w:rsidRDefault="00DA7023" w:rsidP="00700045">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Para ser compreendida, a internacionalização da educação superior deve ser analisada na inter-relação de diferentes perspectivas do sistema mundo. Em outras palavras, as perspectivas global, regional e nacional interferem na perspectiva institucional quando nos referimos a uma política de internacionalização da UnDF.</w:t>
      </w:r>
    </w:p>
    <w:p w14:paraId="2147FBAA" w14:textId="77777777" w:rsidR="00DA7023" w:rsidRPr="00700045" w:rsidRDefault="00DA7023" w:rsidP="00700045">
      <w:pPr>
        <w:pStyle w:val="Ttulo3"/>
        <w:ind w:left="1276" w:hanging="720"/>
        <w:rPr>
          <w:rFonts w:asciiTheme="majorHAnsi" w:hAnsiTheme="majorHAnsi" w:cstheme="majorHAnsi"/>
        </w:rPr>
      </w:pPr>
      <w:r w:rsidRPr="00700045">
        <w:rPr>
          <w:rFonts w:asciiTheme="majorHAnsi" w:hAnsiTheme="majorHAnsi" w:cstheme="majorHAnsi"/>
        </w:rPr>
        <w:t>2.3.1. Internacionalização para o desenvolvimento sustentável e a aprendizagem — a perspectiva global</w:t>
      </w:r>
    </w:p>
    <w:p w14:paraId="3043DB23" w14:textId="77777777" w:rsidR="00DA7023" w:rsidRPr="00700045" w:rsidRDefault="00DA7023" w:rsidP="00DA7023">
      <w:pPr>
        <w:spacing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t xml:space="preserve">A perspectiva global, em especial a produzida pela Unesco, órgão integrante da ONU para a educação, vem sendo marcada pelo conceito de desenvolvimento sustentável, explicitado na agenda E2030. Em 2015, na Conferência de Incheon, foi defendida a pertinência dos 17 Objetivos do Desenvolvimento Sustentável (ODS), dos quais o ODS4 determina a promoção de uma educação de qualidade, inclusiva, equitativa e ao longo da vida. </w:t>
      </w:r>
    </w:p>
    <w:p w14:paraId="363AACA6" w14:textId="77777777" w:rsidR="00DA7023" w:rsidRPr="00700045" w:rsidRDefault="00DA7023" w:rsidP="00DA7023">
      <w:pPr>
        <w:spacing w:after="240"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lastRenderedPageBreak/>
        <w:t xml:space="preserve">A Unesco, para fundamentar esse princípio, discorre sobre a educação para a cidadania global e destaca princípios de uma visão holística, crítica, baseada em valores universais e no diálogo. </w:t>
      </w:r>
    </w:p>
    <w:p w14:paraId="03FE3B78" w14:textId="77777777" w:rsidR="00DA7023" w:rsidRPr="00BD1CCE" w:rsidRDefault="00DA7023" w:rsidP="00DA7023">
      <w:pPr>
        <w:ind w:left="2268"/>
        <w:jc w:val="both"/>
        <w:rPr>
          <w:rFonts w:asciiTheme="majorHAnsi" w:hAnsiTheme="majorHAnsi" w:cstheme="majorHAnsi"/>
          <w:sz w:val="20"/>
          <w:szCs w:val="20"/>
        </w:rPr>
      </w:pPr>
      <w:r w:rsidRPr="00BD1CCE">
        <w:rPr>
          <w:rFonts w:asciiTheme="majorHAnsi" w:hAnsiTheme="majorHAnsi" w:cstheme="majorHAnsi"/>
          <w:sz w:val="20"/>
          <w:szCs w:val="20"/>
        </w:rPr>
        <w:t>A educação para a cidadania global visa a equipar alunos de todas as idades com valores, conhecimentos e habilidades que sejam baseados e promovam o respeito aos direitos humanos, à justiça social, à diversidade, à igualdade de gênero e à sustentabilidade ambiental. (UNESCO, 2015, p. 2).</w:t>
      </w:r>
    </w:p>
    <w:p w14:paraId="4B3C11EE" w14:textId="77777777" w:rsidR="00DA7023" w:rsidRPr="00BD1CCE" w:rsidRDefault="00DA7023" w:rsidP="00DA7023">
      <w:pPr>
        <w:ind w:left="2268"/>
        <w:jc w:val="both"/>
        <w:rPr>
          <w:rFonts w:asciiTheme="majorHAnsi" w:hAnsiTheme="majorHAnsi" w:cstheme="majorHAnsi"/>
        </w:rPr>
      </w:pPr>
    </w:p>
    <w:p w14:paraId="5A88BF29" w14:textId="77777777" w:rsidR="00DA7023" w:rsidRPr="00BD1CCE" w:rsidRDefault="00DA7023" w:rsidP="00DA7023">
      <w:pPr>
        <w:ind w:left="2268"/>
        <w:jc w:val="both"/>
        <w:rPr>
          <w:rFonts w:asciiTheme="majorHAnsi" w:hAnsiTheme="majorHAnsi" w:cstheme="majorHAnsi"/>
          <w:sz w:val="20"/>
          <w:szCs w:val="20"/>
        </w:rPr>
      </w:pPr>
    </w:p>
    <w:p w14:paraId="4B1A70B8" w14:textId="77777777" w:rsidR="00DA7023" w:rsidRPr="00700045" w:rsidRDefault="00DA7023" w:rsidP="00DA7023">
      <w:pPr>
        <w:shd w:val="clear" w:color="auto" w:fill="FFFFFF"/>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Em sua proposição mais recente, a Unesco desenvolve um projeto interativo com a sociedade por meio do qual discute </w:t>
      </w:r>
      <w:r w:rsidRPr="00700045">
        <w:rPr>
          <w:rFonts w:asciiTheme="majorHAnsi" w:hAnsiTheme="majorHAnsi" w:cstheme="majorHAnsi"/>
          <w:i/>
          <w:iCs/>
          <w:sz w:val="24"/>
          <w:szCs w:val="24"/>
        </w:rPr>
        <w:t>Os futuros da Educação para 2050</w:t>
      </w:r>
      <w:r w:rsidRPr="00700045">
        <w:rPr>
          <w:rFonts w:asciiTheme="majorHAnsi" w:hAnsiTheme="majorHAnsi" w:cstheme="majorHAnsi"/>
          <w:sz w:val="24"/>
          <w:szCs w:val="24"/>
        </w:rPr>
        <w:t xml:space="preserve">, destacando uma educação copartícipe, planetária e além do mercado de trabalho (MOROSINI, 2022), com a priorização de uma “transición hacia sociedades digitales y ecológicas” (UNESCO, 2021, p. 2). </w:t>
      </w:r>
    </w:p>
    <w:p w14:paraId="5063211A" w14:textId="77777777" w:rsidR="00DA7023" w:rsidRPr="00700045" w:rsidRDefault="00DA7023" w:rsidP="00DA7023">
      <w:pPr>
        <w:shd w:val="clear" w:color="auto" w:fill="FFFFFF"/>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Em seus últimos posicionamentos, com o objetivo de uma sociedade que viva em paz, </w:t>
      </w:r>
      <w:r w:rsidRPr="00700045">
        <w:rPr>
          <w:rFonts w:asciiTheme="majorHAnsi" w:hAnsiTheme="majorHAnsi" w:cstheme="majorHAnsi"/>
          <w:spacing w:val="-2"/>
          <w:sz w:val="24"/>
          <w:szCs w:val="24"/>
        </w:rPr>
        <w:t>a Unesco consolidou as noções de aprendizagem defendidas anteriormente: aprender a conhecer</w:t>
      </w:r>
      <w:r w:rsidRPr="00700045">
        <w:rPr>
          <w:rFonts w:asciiTheme="majorHAnsi" w:hAnsiTheme="majorHAnsi" w:cstheme="majorHAnsi"/>
          <w:sz w:val="24"/>
          <w:szCs w:val="24"/>
        </w:rPr>
        <w:t xml:space="preserve"> (FAURE </w:t>
      </w:r>
      <w:r w:rsidRPr="00700045">
        <w:rPr>
          <w:rFonts w:asciiTheme="majorHAnsi" w:hAnsiTheme="majorHAnsi" w:cstheme="majorHAnsi"/>
          <w:i/>
          <w:iCs/>
          <w:sz w:val="24"/>
          <w:szCs w:val="24"/>
        </w:rPr>
        <w:t>et al.</w:t>
      </w:r>
      <w:r w:rsidRPr="00700045">
        <w:rPr>
          <w:rFonts w:asciiTheme="majorHAnsi" w:hAnsiTheme="majorHAnsi" w:cstheme="majorHAnsi"/>
          <w:sz w:val="24"/>
          <w:szCs w:val="24"/>
        </w:rPr>
        <w:t>, 1973), aprender a fazer, aprender a ser e aprender a viver juntos (UNESCO, 1996). Destaca-se, também, uma nova forma de aprendizagem — o aprender a se transformar.</w:t>
      </w:r>
    </w:p>
    <w:p w14:paraId="05F9CF9F" w14:textId="77777777" w:rsidR="00DA7023" w:rsidRPr="00BD1CCE" w:rsidRDefault="00DA7023" w:rsidP="00DA7023">
      <w:pPr>
        <w:jc w:val="both"/>
        <w:rPr>
          <w:rFonts w:asciiTheme="majorHAnsi" w:hAnsiTheme="majorHAnsi" w:cstheme="majorHAnsi"/>
          <w:sz w:val="20"/>
          <w:szCs w:val="20"/>
        </w:rPr>
      </w:pPr>
    </w:p>
    <w:p w14:paraId="5B9EACD3" w14:textId="77777777" w:rsidR="00DA7023" w:rsidRPr="00BD1CCE" w:rsidRDefault="00DA7023" w:rsidP="00DA7023">
      <w:pPr>
        <w:ind w:left="2268"/>
        <w:jc w:val="both"/>
        <w:rPr>
          <w:rFonts w:asciiTheme="majorHAnsi" w:hAnsiTheme="majorHAnsi" w:cstheme="majorHAnsi"/>
          <w:sz w:val="20"/>
          <w:szCs w:val="20"/>
        </w:rPr>
      </w:pPr>
      <w:r w:rsidRPr="00BD1CCE">
        <w:rPr>
          <w:rFonts w:asciiTheme="majorHAnsi" w:hAnsiTheme="majorHAnsi" w:cstheme="majorHAnsi"/>
          <w:sz w:val="20"/>
          <w:szCs w:val="20"/>
          <w:lang w:val="es-ES"/>
        </w:rPr>
        <w:t xml:space="preserve">Para procurar futuros sostenibles necesitamos abordar la </w:t>
      </w:r>
      <w:r w:rsidRPr="00BD1CCE">
        <w:rPr>
          <w:rFonts w:asciiTheme="majorHAnsi" w:hAnsiTheme="majorHAnsi" w:cstheme="majorHAnsi"/>
          <w:i/>
          <w:iCs/>
          <w:sz w:val="20"/>
          <w:szCs w:val="20"/>
          <w:lang w:val="es-ES"/>
        </w:rPr>
        <w:t>desigualdad y mejorar la calidad de la vida humana sin poner en peligro a las generaciones futuras y los ecosistemas de los que formamos parte</w:t>
      </w:r>
      <w:r w:rsidRPr="00BD1CCE">
        <w:rPr>
          <w:rFonts w:asciiTheme="majorHAnsi" w:hAnsiTheme="majorHAnsi" w:cstheme="majorHAnsi"/>
          <w:sz w:val="20"/>
          <w:szCs w:val="20"/>
          <w:lang w:val="es-ES"/>
        </w:rPr>
        <w:t xml:space="preserve">. También debemos considerar lo que significa ser humano en una era de rápida transformación tecnológica. La educación constituye una de las vías esenciales de las que nos servimos para reelaborar nuestras Educación Regenerativa para 2050. </w:t>
      </w:r>
      <w:r w:rsidRPr="00BD1CCE">
        <w:rPr>
          <w:rFonts w:asciiTheme="majorHAnsi" w:hAnsiTheme="majorHAnsi" w:cstheme="majorHAnsi"/>
          <w:sz w:val="20"/>
          <w:szCs w:val="20"/>
        </w:rPr>
        <w:t>(UNESCO, 2021, p. 3, grifo nosso).</w:t>
      </w:r>
    </w:p>
    <w:p w14:paraId="7E3AC556" w14:textId="77777777" w:rsidR="00DA7023" w:rsidRPr="00BD1CCE" w:rsidRDefault="00DA7023" w:rsidP="00DA7023">
      <w:pPr>
        <w:jc w:val="both"/>
        <w:rPr>
          <w:rFonts w:asciiTheme="majorHAnsi" w:hAnsiTheme="majorHAnsi" w:cstheme="majorHAnsi"/>
        </w:rPr>
      </w:pPr>
    </w:p>
    <w:p w14:paraId="749A4151" w14:textId="5CC8B370" w:rsidR="00E60A89" w:rsidRPr="00700045" w:rsidRDefault="00DA7023" w:rsidP="00E60A89">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Assim, o aprender a se transformar une-se aos quatro aprenderes já propostos pela Unesco (2021, p. 3), em uma educação regenerativa para 2050 “[...] que cure, repare, reconverta e renove, possui um enorme potencial para encaminhar o mundo a futuros mais justos e sustentáveis para todos”.</w:t>
      </w:r>
    </w:p>
    <w:p w14:paraId="0F9816E1" w14:textId="77777777" w:rsidR="00DA7023" w:rsidRPr="00700045" w:rsidRDefault="00DA7023" w:rsidP="00700045">
      <w:pPr>
        <w:pStyle w:val="Ttulo3"/>
        <w:ind w:left="1276" w:hanging="720"/>
        <w:rPr>
          <w:rFonts w:asciiTheme="majorHAnsi" w:hAnsiTheme="majorHAnsi" w:cstheme="majorHAnsi"/>
        </w:rPr>
      </w:pPr>
      <w:r w:rsidRPr="00700045">
        <w:rPr>
          <w:rFonts w:asciiTheme="majorHAnsi" w:hAnsiTheme="majorHAnsi" w:cstheme="majorHAnsi"/>
        </w:rPr>
        <w:t xml:space="preserve">2.3.2. Internacionalização e integração solidária </w:t>
      </w:r>
      <w:r w:rsidRPr="00BD1CCE">
        <w:rPr>
          <w:rFonts w:asciiTheme="majorHAnsi" w:hAnsiTheme="majorHAnsi" w:cstheme="majorHAnsi"/>
        </w:rPr>
        <w:t>—</w:t>
      </w:r>
      <w:r w:rsidRPr="00700045">
        <w:rPr>
          <w:rFonts w:asciiTheme="majorHAnsi" w:hAnsiTheme="majorHAnsi" w:cstheme="majorHAnsi"/>
        </w:rPr>
        <w:t xml:space="preserve"> a perspectiva regional </w:t>
      </w:r>
    </w:p>
    <w:p w14:paraId="51865D1D" w14:textId="0C0EAA24" w:rsidR="00DA7023" w:rsidRDefault="00DA7023" w:rsidP="00DA7023">
      <w:pPr>
        <w:spacing w:after="240" w:line="360" w:lineRule="auto"/>
        <w:ind w:firstLine="708"/>
        <w:jc w:val="both"/>
        <w:rPr>
          <w:rFonts w:asciiTheme="majorHAnsi" w:hAnsiTheme="majorHAnsi" w:cstheme="majorHAnsi"/>
          <w:sz w:val="24"/>
          <w:szCs w:val="24"/>
          <w:lang w:val="es-ES"/>
        </w:rPr>
      </w:pPr>
      <w:r w:rsidRPr="00700045">
        <w:rPr>
          <w:rFonts w:asciiTheme="majorHAnsi" w:hAnsiTheme="majorHAnsi" w:cstheme="majorHAnsi"/>
          <w:sz w:val="24"/>
          <w:szCs w:val="24"/>
        </w:rPr>
        <w:t xml:space="preserve">Os fundamentos do desenvolvimento sustentável são propagados na perspectiva regional pela representação da Unesco/Iesalc e reafirmados na CRES 2018. </w:t>
      </w:r>
      <w:r w:rsidRPr="00700045">
        <w:rPr>
          <w:rFonts w:asciiTheme="majorHAnsi" w:hAnsiTheme="majorHAnsi" w:cstheme="majorHAnsi"/>
          <w:sz w:val="24"/>
          <w:szCs w:val="24"/>
          <w:lang w:val="es-ES"/>
        </w:rPr>
        <w:t xml:space="preserve">O foco está na </w:t>
      </w:r>
      <w:r w:rsidRPr="00700045">
        <w:rPr>
          <w:rFonts w:asciiTheme="majorHAnsi" w:hAnsiTheme="majorHAnsi" w:cstheme="majorHAnsi"/>
          <w:bCs/>
          <w:sz w:val="24"/>
          <w:szCs w:val="24"/>
          <w:lang w:val="es-ES"/>
        </w:rPr>
        <w:t xml:space="preserve">integração regional solidária, </w:t>
      </w:r>
      <w:r w:rsidRPr="00700045">
        <w:rPr>
          <w:rFonts w:asciiTheme="majorHAnsi" w:hAnsiTheme="majorHAnsi" w:cstheme="majorHAnsi"/>
          <w:sz w:val="24"/>
          <w:szCs w:val="24"/>
          <w:lang w:val="es-ES"/>
        </w:rPr>
        <w:t xml:space="preserve">que propõe o seguinte: </w:t>
      </w:r>
    </w:p>
    <w:p w14:paraId="2AAF0C29" w14:textId="77777777" w:rsidR="00DA7023" w:rsidRPr="00BD1CCE" w:rsidRDefault="00DA7023" w:rsidP="00DA7023">
      <w:pPr>
        <w:ind w:left="2268"/>
        <w:jc w:val="both"/>
        <w:rPr>
          <w:rFonts w:asciiTheme="majorHAnsi" w:hAnsiTheme="majorHAnsi" w:cstheme="majorHAnsi"/>
          <w:b/>
          <w:color w:val="111111" w:themeColor="accent6" w:themeShade="BF"/>
          <w:sz w:val="20"/>
          <w:szCs w:val="20"/>
        </w:rPr>
      </w:pPr>
      <w:r w:rsidRPr="00BD1CCE">
        <w:rPr>
          <w:rFonts w:asciiTheme="majorHAnsi" w:hAnsiTheme="majorHAnsi" w:cstheme="majorHAnsi"/>
          <w:spacing w:val="-2"/>
          <w:sz w:val="20"/>
          <w:szCs w:val="20"/>
          <w:lang w:val="es-ES"/>
        </w:rPr>
        <w:lastRenderedPageBreak/>
        <w:t>[…] una cooperación interinstitucional basada en una relación solidaria entre iguales, con énfasis en la cooperación Sur-Sur y la integración regional. Debe promover</w:t>
      </w:r>
      <w:r w:rsidRPr="00BD1CCE">
        <w:rPr>
          <w:rFonts w:asciiTheme="majorHAnsi" w:hAnsiTheme="majorHAnsi" w:cstheme="majorHAnsi"/>
          <w:sz w:val="20"/>
          <w:szCs w:val="20"/>
          <w:lang w:val="es-ES"/>
        </w:rPr>
        <w:t xml:space="preserve"> el diálogo intercultural, respetando la idiosincrasia e identidad de los países participantes, fomentar la organización de redes interuniversitarias y fortalecer las capacidades nacionales mediante la colaboración interinstitucional y la interacción con pares académicos a escala regional e internacional. </w:t>
      </w:r>
      <w:r w:rsidRPr="00BD1CCE">
        <w:rPr>
          <w:rFonts w:asciiTheme="majorHAnsi" w:hAnsiTheme="majorHAnsi" w:cstheme="majorHAnsi"/>
          <w:sz w:val="20"/>
          <w:szCs w:val="20"/>
        </w:rPr>
        <w:t>(IESALC, 2018a, p. 14).</w:t>
      </w:r>
    </w:p>
    <w:p w14:paraId="18724695" w14:textId="77777777" w:rsidR="00DA7023" w:rsidRPr="00BD1CCE" w:rsidRDefault="00DA7023" w:rsidP="00DA7023">
      <w:pPr>
        <w:jc w:val="both"/>
        <w:rPr>
          <w:rFonts w:asciiTheme="majorHAnsi" w:hAnsiTheme="majorHAnsi" w:cstheme="majorHAnsi"/>
          <w:sz w:val="20"/>
          <w:szCs w:val="20"/>
        </w:rPr>
      </w:pPr>
    </w:p>
    <w:p w14:paraId="730A72C1" w14:textId="77777777" w:rsidR="00DA7023" w:rsidRPr="00BD1CCE" w:rsidRDefault="00DA7023" w:rsidP="00DA7023">
      <w:pPr>
        <w:jc w:val="both"/>
        <w:rPr>
          <w:rFonts w:asciiTheme="majorHAnsi" w:hAnsiTheme="majorHAnsi" w:cstheme="majorHAnsi"/>
          <w:sz w:val="20"/>
          <w:szCs w:val="20"/>
        </w:rPr>
      </w:pPr>
    </w:p>
    <w:p w14:paraId="490F9ABA" w14:textId="3E3AC385" w:rsidR="00DA7023" w:rsidRPr="00700045" w:rsidRDefault="00DA7023" w:rsidP="00700045">
      <w:pPr>
        <w:tabs>
          <w:tab w:val="num" w:pos="709"/>
        </w:tabs>
        <w:spacing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t>Na elaboração do plano de ação para uma integração solidária (IESALC, 2018b), são apontadas as seguintes medidas: ampliar o acesso dos países emergentes ao mercado mundial e às decisões que são tomadas pelos organismos multilaterais; promover a colaboração e a cooperação, para a valorização da diversidade multicultural; firmar tratados de cooperação entre países do Norte Global e do Sul Global; firmar projetos de cooperação técnico-científica igualitários; ampliar o conhecimento e o investimento das IES nos elementos relacionados a contextos emergentes da educação superior, como a modernização das estratégias institucionais de gestão universitária e do currículo.</w:t>
      </w:r>
    </w:p>
    <w:p w14:paraId="76AFB7FF" w14:textId="77777777" w:rsidR="00DA7023" w:rsidRPr="00700045" w:rsidRDefault="00DA7023" w:rsidP="00700045">
      <w:pPr>
        <w:pStyle w:val="Ttulo3"/>
        <w:ind w:left="1276" w:hanging="720"/>
        <w:rPr>
          <w:rFonts w:asciiTheme="majorHAnsi" w:hAnsiTheme="majorHAnsi" w:cstheme="majorHAnsi"/>
        </w:rPr>
      </w:pPr>
      <w:r w:rsidRPr="00700045">
        <w:rPr>
          <w:rFonts w:asciiTheme="majorHAnsi" w:hAnsiTheme="majorHAnsi" w:cstheme="majorHAnsi"/>
        </w:rPr>
        <w:t xml:space="preserve">2.3.3. Internacionalização da educação superior em construção — a perspectiva nacional </w:t>
      </w:r>
    </w:p>
    <w:p w14:paraId="05DB251A"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No Brasil, a internacionalização é um fenômeno do século XX. Uma das primeiras políticas nacionais de fomento à internacionalização com possibilidade de desenvolvimento em todo o território nacional ocorreu com o </w:t>
      </w:r>
      <w:bookmarkStart w:id="4" w:name="_Hlk504850058"/>
      <w:r w:rsidRPr="00700045">
        <w:rPr>
          <w:rFonts w:asciiTheme="majorHAnsi" w:hAnsiTheme="majorHAnsi" w:cstheme="majorHAnsi"/>
          <w:sz w:val="24"/>
          <w:szCs w:val="24"/>
        </w:rPr>
        <w:t xml:space="preserve">Programa Estudante-Convênio de Graduação </w:t>
      </w:r>
      <w:r w:rsidRPr="00700045">
        <w:rPr>
          <w:rFonts w:asciiTheme="majorHAnsi" w:hAnsiTheme="majorHAnsi" w:cstheme="majorHAnsi"/>
          <w:spacing w:val="-2"/>
          <w:sz w:val="24"/>
          <w:szCs w:val="24"/>
        </w:rPr>
        <w:t xml:space="preserve">(PEC-G) e com o Programa Estudante-Convênio de Pós-graduação (PEC-PG), conduzidos pelo </w:t>
      </w:r>
      <w:r w:rsidRPr="00700045">
        <w:rPr>
          <w:rFonts w:asciiTheme="majorHAnsi" w:hAnsiTheme="majorHAnsi" w:cstheme="majorHAnsi"/>
          <w:sz w:val="24"/>
          <w:szCs w:val="24"/>
        </w:rPr>
        <w:t xml:space="preserve">Ministério das Relações Exteriores e dirigidos aos estudantes de países em desenvolvimento com os quais o Brasil mantém acordo educacional, cultural ou científico-tecnológico. </w:t>
      </w:r>
      <w:bookmarkEnd w:id="4"/>
    </w:p>
    <w:p w14:paraId="432AFE75"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Em termos de sistema de educação superior, o Brasil não tem uma política nacional de internacionalização. As políticas públicas de fomento à internacionalização (MOROSINI, </w:t>
      </w:r>
      <w:r w:rsidRPr="00700045">
        <w:rPr>
          <w:rFonts w:asciiTheme="majorHAnsi" w:hAnsiTheme="majorHAnsi" w:cstheme="majorHAnsi"/>
          <w:spacing w:val="-2"/>
          <w:sz w:val="24"/>
          <w:szCs w:val="24"/>
        </w:rPr>
        <w:t>2021) estiveram focadas no pesquisador, na pós-graduação e em instituições federais, aspectos</w:t>
      </w:r>
      <w:r w:rsidRPr="00700045">
        <w:rPr>
          <w:rFonts w:asciiTheme="majorHAnsi" w:hAnsiTheme="majorHAnsi" w:cstheme="majorHAnsi"/>
          <w:sz w:val="24"/>
          <w:szCs w:val="24"/>
        </w:rPr>
        <w:t xml:space="preserve"> que já apontam para um percentual muito baixo de universidades se considerarmos o todo do sistema de educação superior, com predomínio de faculdades privadas e de cursos na modalidade de graduação. </w:t>
      </w:r>
    </w:p>
    <w:p w14:paraId="6370A831"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A partir do início deste século, o governo brasileiro criou IES federais internacionalizadas com viés integracionista. Podemos citar, em 2009, a Universidade Federal da Fronteira Sul (UFFS), criada </w:t>
      </w:r>
      <w:r w:rsidRPr="00700045">
        <w:rPr>
          <w:rFonts w:asciiTheme="majorHAnsi" w:hAnsiTheme="majorHAnsi" w:cstheme="majorHAnsi"/>
          <w:sz w:val="24"/>
          <w:szCs w:val="24"/>
        </w:rPr>
        <w:lastRenderedPageBreak/>
        <w:t xml:space="preserve">com o objetivo de suprir a carência de vagas na Fronteira </w:t>
      </w:r>
      <w:r w:rsidRPr="00700045">
        <w:rPr>
          <w:rFonts w:asciiTheme="majorHAnsi" w:hAnsiTheme="majorHAnsi" w:cstheme="majorHAnsi"/>
          <w:spacing w:val="-4"/>
          <w:sz w:val="24"/>
          <w:szCs w:val="24"/>
        </w:rPr>
        <w:t>Mercosul. A Universidade da Integração Internacional da Lusofonia Afro-Brasileira (UNILAB),</w:t>
      </w:r>
      <w:r w:rsidRPr="00700045">
        <w:rPr>
          <w:rFonts w:asciiTheme="majorHAnsi" w:hAnsiTheme="majorHAnsi" w:cstheme="majorHAnsi"/>
          <w:sz w:val="24"/>
          <w:szCs w:val="24"/>
        </w:rPr>
        <w:t xml:space="preserve"> criada, em 2010, com a missão institucional de formar recursos humanos para contribuir com a integração entre o Brasil e os demais países membros da Comunidade de Países de Língua Oficial Portuguesa (CPLP). Em 2010, houve a criação da Universidade Federal da Integração Latino-Americana (UNILA), com a missão de atender à América Latina e ao Caribe. </w:t>
      </w:r>
    </w:p>
    <w:p w14:paraId="73F149E5" w14:textId="77777777" w:rsidR="00DA7023" w:rsidRPr="00700045" w:rsidRDefault="00DA7023" w:rsidP="00DA7023">
      <w:pPr>
        <w:spacing w:line="360" w:lineRule="auto"/>
        <w:ind w:firstLine="708"/>
        <w:jc w:val="both"/>
        <w:rPr>
          <w:rFonts w:asciiTheme="majorHAnsi" w:hAnsiTheme="majorHAnsi" w:cstheme="majorHAnsi"/>
          <w:kern w:val="24"/>
          <w:sz w:val="24"/>
          <w:szCs w:val="24"/>
        </w:rPr>
      </w:pPr>
      <w:r w:rsidRPr="00700045">
        <w:rPr>
          <w:rFonts w:asciiTheme="majorHAnsi" w:hAnsiTheme="majorHAnsi" w:cstheme="majorHAnsi"/>
          <w:bCs/>
          <w:kern w:val="24"/>
          <w:sz w:val="24"/>
          <w:szCs w:val="24"/>
        </w:rPr>
        <w:t>Outra ação do governo brasileiro em direção à internacionalização foi o programa Ciência sem Fronteiras (CsF),</w:t>
      </w:r>
      <w:r w:rsidRPr="00700045">
        <w:rPr>
          <w:rFonts w:asciiTheme="majorHAnsi" w:hAnsiTheme="majorHAnsi" w:cstheme="majorHAnsi"/>
          <w:sz w:val="24"/>
          <w:szCs w:val="24"/>
        </w:rPr>
        <w:t xml:space="preserve"> que </w:t>
      </w:r>
      <w:r w:rsidRPr="00700045">
        <w:rPr>
          <w:rFonts w:asciiTheme="majorHAnsi" w:hAnsiTheme="majorHAnsi" w:cstheme="majorHAnsi"/>
          <w:bCs/>
          <w:kern w:val="24"/>
          <w:sz w:val="24"/>
          <w:szCs w:val="24"/>
        </w:rPr>
        <w:t xml:space="preserve">buscou promover a consolidação, a expansão e a internacionalização da ciência e tecnologia, da inovação e da competitividade brasileira por meio do intercâmbio e da mobilidade internacional. Teve como período de duração os anos 2011 a 2014, com o objetivo de </w:t>
      </w:r>
      <w:r w:rsidRPr="00700045">
        <w:rPr>
          <w:rFonts w:asciiTheme="majorHAnsi" w:hAnsiTheme="majorHAnsi" w:cstheme="majorHAnsi"/>
          <w:kern w:val="24"/>
          <w:sz w:val="24"/>
          <w:szCs w:val="24"/>
        </w:rPr>
        <w:t xml:space="preserve">conceder </w:t>
      </w:r>
      <w:r w:rsidRPr="00700045">
        <w:rPr>
          <w:rFonts w:asciiTheme="majorHAnsi" w:hAnsiTheme="majorHAnsi" w:cstheme="majorHAnsi"/>
          <w:bCs/>
          <w:kern w:val="24"/>
          <w:sz w:val="24"/>
          <w:szCs w:val="24"/>
        </w:rPr>
        <w:t>vagas</w:t>
      </w:r>
      <w:r w:rsidRPr="00700045">
        <w:rPr>
          <w:rFonts w:asciiTheme="majorHAnsi" w:hAnsiTheme="majorHAnsi" w:cstheme="majorHAnsi"/>
          <w:kern w:val="24"/>
          <w:sz w:val="24"/>
          <w:szCs w:val="24"/>
        </w:rPr>
        <w:t xml:space="preserve"> para mobilidade internacional de acadêmicos de graduação e de pós-graduação, bem como incentivos para atração de jovens talentos</w:t>
      </w:r>
      <w:r w:rsidRPr="00700045">
        <w:rPr>
          <w:rFonts w:asciiTheme="majorHAnsi" w:eastAsia="Calibri" w:hAnsiTheme="majorHAnsi" w:cstheme="majorHAnsi"/>
          <w:sz w:val="24"/>
          <w:szCs w:val="24"/>
        </w:rPr>
        <w:t>.</w:t>
      </w:r>
      <w:r w:rsidRPr="00700045">
        <w:rPr>
          <w:rFonts w:asciiTheme="majorHAnsi" w:hAnsiTheme="majorHAnsi" w:cstheme="majorHAnsi"/>
          <w:kern w:val="24"/>
          <w:sz w:val="24"/>
          <w:szCs w:val="24"/>
        </w:rPr>
        <w:t xml:space="preserve"> Atingiu o total de 92.880 bolsas, voltadas a instituições de países do Norte Global para as áreas das engenharias e da saúde. Paralelamente também foi desenvolvido o Programa Idiomas sem Fronteiras (</w:t>
      </w:r>
      <w:bookmarkStart w:id="5" w:name="_Hlk5032290"/>
      <w:r w:rsidRPr="00700045">
        <w:rPr>
          <w:rFonts w:asciiTheme="majorHAnsi" w:hAnsiTheme="majorHAnsi" w:cstheme="majorHAnsi"/>
          <w:kern w:val="24"/>
          <w:sz w:val="24"/>
          <w:szCs w:val="24"/>
        </w:rPr>
        <w:t>IsF</w:t>
      </w:r>
      <w:bookmarkEnd w:id="5"/>
      <w:r w:rsidRPr="00700045">
        <w:rPr>
          <w:rFonts w:asciiTheme="majorHAnsi" w:hAnsiTheme="majorHAnsi" w:cstheme="majorHAnsi"/>
          <w:kern w:val="24"/>
          <w:sz w:val="24"/>
          <w:szCs w:val="24"/>
        </w:rPr>
        <w:t>).</w:t>
      </w:r>
    </w:p>
    <w:p w14:paraId="0AACDE31"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bCs/>
          <w:sz w:val="24"/>
          <w:szCs w:val="24"/>
        </w:rPr>
        <w:t xml:space="preserve">A mais recente política do governo brasileiro como fomento à internacionalização é o CAPES-PrInt, gerenciado pela CAPES e focado na implementação dos planos estratégicos de internacionalização das IES, especialmente em programas de pós-graduação de excelência. Prioriza </w:t>
      </w:r>
      <w:r w:rsidRPr="00700045">
        <w:rPr>
          <w:rFonts w:asciiTheme="majorHAnsi" w:hAnsiTheme="majorHAnsi" w:cstheme="majorHAnsi"/>
          <w:sz w:val="24"/>
          <w:szCs w:val="24"/>
        </w:rPr>
        <w:t>estimular a formação de redes de pesquisas internacionais com vistas a aprimorar a qualidade da produção acadêmica vinculada à pós-graduação, entre outros objetivos.</w:t>
      </w:r>
    </w:p>
    <w:p w14:paraId="24D4A4FE"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Os programas anteriores focavam no pesquisador e em sua autonomia; já o </w:t>
      </w:r>
      <w:r w:rsidRPr="00700045">
        <w:rPr>
          <w:rFonts w:asciiTheme="majorHAnsi" w:hAnsiTheme="majorHAnsi" w:cstheme="majorHAnsi"/>
          <w:bCs/>
          <w:sz w:val="24"/>
          <w:szCs w:val="24"/>
        </w:rPr>
        <w:t>CAPES-PrInt</w:t>
      </w:r>
      <w:r w:rsidRPr="00700045">
        <w:rPr>
          <w:rFonts w:asciiTheme="majorHAnsi" w:hAnsiTheme="majorHAnsi" w:cstheme="majorHAnsi"/>
          <w:sz w:val="24"/>
          <w:szCs w:val="24"/>
        </w:rPr>
        <w:t xml:space="preserve"> apresenta uma característica inovadora, que é a internacionalização da instituição por meio da construção de um projeto.</w:t>
      </w:r>
    </w:p>
    <w:p w14:paraId="0CCA57AD" w14:textId="74D2B4E2" w:rsidR="00DA7023" w:rsidRDefault="00DA7023" w:rsidP="00DA7023">
      <w:pPr>
        <w:spacing w:line="360" w:lineRule="auto"/>
        <w:ind w:firstLine="708"/>
        <w:jc w:val="both"/>
        <w:rPr>
          <w:rFonts w:asciiTheme="majorHAnsi" w:hAnsiTheme="majorHAnsi" w:cstheme="majorHAnsi"/>
        </w:rPr>
      </w:pPr>
    </w:p>
    <w:p w14:paraId="52722A8D" w14:textId="77777777" w:rsidR="00700045" w:rsidRPr="00BD1CCE" w:rsidRDefault="00700045" w:rsidP="00DA7023">
      <w:pPr>
        <w:spacing w:line="360" w:lineRule="auto"/>
        <w:ind w:firstLine="708"/>
        <w:jc w:val="both"/>
        <w:rPr>
          <w:rFonts w:asciiTheme="majorHAnsi" w:hAnsiTheme="majorHAnsi" w:cstheme="majorHAnsi"/>
        </w:rPr>
      </w:pPr>
    </w:p>
    <w:p w14:paraId="0D75C8BD" w14:textId="01A95A61" w:rsidR="00DA7023" w:rsidRPr="00700045" w:rsidRDefault="00DA7023" w:rsidP="00700045">
      <w:pPr>
        <w:pStyle w:val="Ttulo2"/>
        <w:ind w:left="993" w:hanging="576"/>
        <w:rPr>
          <w:rFonts w:asciiTheme="majorHAnsi" w:hAnsiTheme="majorHAnsi" w:cstheme="majorHAnsi"/>
        </w:rPr>
      </w:pPr>
      <w:r w:rsidRPr="00BD1CCE">
        <w:rPr>
          <w:rFonts w:asciiTheme="majorHAnsi" w:hAnsiTheme="majorHAnsi" w:cstheme="majorHAnsi"/>
        </w:rPr>
        <w:t>2.4. Conceito de internacionalização da educação superior</w:t>
      </w:r>
    </w:p>
    <w:p w14:paraId="7AA2A225" w14:textId="58FCDCA8" w:rsidR="00DA7023" w:rsidRPr="00700045" w:rsidRDefault="00DA7023" w:rsidP="00DA7023">
      <w:pPr>
        <w:shd w:val="clear" w:color="auto" w:fill="FFFFFF"/>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A presente seção apresenta</w:t>
      </w:r>
      <w:r w:rsidRPr="00700045">
        <w:rPr>
          <w:rFonts w:asciiTheme="majorHAnsi" w:hAnsiTheme="majorHAnsi" w:cstheme="majorHAnsi"/>
          <w:spacing w:val="-2"/>
          <w:sz w:val="24"/>
          <w:szCs w:val="24"/>
        </w:rPr>
        <w:t xml:space="preserve"> uma visão panorâmica dos conceitos de internacionalização identificados na produção cientifica e conclui com a proposição de um conceito</w:t>
      </w:r>
      <w:r w:rsidRPr="00700045">
        <w:rPr>
          <w:rFonts w:asciiTheme="majorHAnsi" w:hAnsiTheme="majorHAnsi" w:cstheme="majorHAnsi"/>
          <w:sz w:val="24"/>
          <w:szCs w:val="24"/>
        </w:rPr>
        <w:t xml:space="preserve"> integrador na perspectiva do desenvolvimento sustentável. Tal conceito se alimenta das inter-relações entre os diversos tipos de modelo de internacionalização da educação. Em outras palavras, não é um </w:t>
      </w:r>
      <w:r w:rsidRPr="00700045">
        <w:rPr>
          <w:rFonts w:asciiTheme="majorHAnsi" w:hAnsiTheme="majorHAnsi" w:cstheme="majorHAnsi"/>
          <w:sz w:val="24"/>
          <w:szCs w:val="24"/>
        </w:rPr>
        <w:lastRenderedPageBreak/>
        <w:t xml:space="preserve">conceito marcado pela excludência, mas sim pela inclusão de diferentes possibilidades de potencializar a internacionalização que se adequam ao tempo e ao espaço de um local preservado, mas interconectado ao global. </w:t>
      </w:r>
    </w:p>
    <w:p w14:paraId="4C335B14" w14:textId="77777777" w:rsidR="00DA7023" w:rsidRPr="00BD1CCE" w:rsidRDefault="00DA7023" w:rsidP="00DA7023">
      <w:pPr>
        <w:spacing w:line="360" w:lineRule="auto"/>
        <w:jc w:val="both"/>
        <w:rPr>
          <w:rFonts w:asciiTheme="majorHAnsi" w:hAnsiTheme="majorHAnsi" w:cstheme="majorHAnsi"/>
        </w:rPr>
      </w:pPr>
    </w:p>
    <w:p w14:paraId="6939EEFF" w14:textId="77777777" w:rsidR="00DA7023" w:rsidRPr="00700045" w:rsidRDefault="00DA7023" w:rsidP="00700045">
      <w:pPr>
        <w:pStyle w:val="Ttulo3"/>
        <w:ind w:left="1276" w:hanging="720"/>
        <w:rPr>
          <w:rFonts w:asciiTheme="majorHAnsi" w:hAnsiTheme="majorHAnsi" w:cstheme="majorHAnsi"/>
        </w:rPr>
      </w:pPr>
      <w:r w:rsidRPr="00700045">
        <w:rPr>
          <w:rFonts w:asciiTheme="majorHAnsi" w:hAnsiTheme="majorHAnsi" w:cstheme="majorHAnsi"/>
        </w:rPr>
        <w:t xml:space="preserve">2.4.1. A internacionalização integral </w:t>
      </w:r>
    </w:p>
    <w:p w14:paraId="091AC705"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Qual deverá ser o tipo de internacionalização da educação superior que possa atender à proposição de um desenvolvimento sustentável como o propagado pela ONU e na perspectiva da educação pela Unesco? </w:t>
      </w:r>
    </w:p>
    <w:p w14:paraId="6351AEDB"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Em geral, a internacionalização é entendida como mobilidade. Segundo a Unesco (2021), porém, no caso do Brasil, a mobilidade </w:t>
      </w:r>
      <w:r w:rsidRPr="00700045">
        <w:rPr>
          <w:rFonts w:asciiTheme="majorHAnsi" w:hAnsiTheme="majorHAnsi" w:cstheme="majorHAnsi"/>
          <w:i/>
          <w:iCs/>
          <w:sz w:val="24"/>
          <w:szCs w:val="24"/>
        </w:rPr>
        <w:t>in</w:t>
      </w:r>
      <w:r w:rsidRPr="00700045">
        <w:rPr>
          <w:rFonts w:asciiTheme="majorHAnsi" w:hAnsiTheme="majorHAnsi" w:cstheme="majorHAnsi"/>
          <w:sz w:val="24"/>
          <w:szCs w:val="24"/>
        </w:rPr>
        <w:t xml:space="preserve"> representa 0,4% e a </w:t>
      </w:r>
      <w:r w:rsidRPr="00700045">
        <w:rPr>
          <w:rFonts w:asciiTheme="majorHAnsi" w:hAnsiTheme="majorHAnsi" w:cstheme="majorHAnsi"/>
          <w:i/>
          <w:iCs/>
          <w:sz w:val="24"/>
          <w:szCs w:val="24"/>
        </w:rPr>
        <w:t>out</w:t>
      </w:r>
      <w:r w:rsidRPr="00700045">
        <w:rPr>
          <w:rFonts w:asciiTheme="majorHAnsi" w:hAnsiTheme="majorHAnsi" w:cstheme="majorHAnsi"/>
          <w:sz w:val="24"/>
          <w:szCs w:val="24"/>
        </w:rPr>
        <w:t xml:space="preserve"> 1,4% dos intercâmbios presenciais mundiais. Para dar conta do proposto para uma universidade que busca a internacionalização como perspectiva transversal, a noção mais próxima é a internacionalização integral (Figura 3). </w:t>
      </w:r>
    </w:p>
    <w:p w14:paraId="4FADEF8F" w14:textId="77777777" w:rsidR="00DA7023" w:rsidRPr="00BD1CCE" w:rsidRDefault="00DA7023" w:rsidP="00DA7023">
      <w:pPr>
        <w:spacing w:line="360" w:lineRule="auto"/>
        <w:rPr>
          <w:rFonts w:asciiTheme="majorHAnsi" w:hAnsiTheme="majorHAnsi" w:cstheme="majorHAnsi"/>
        </w:rPr>
      </w:pPr>
    </w:p>
    <w:p w14:paraId="5ECC1F48" w14:textId="77777777" w:rsidR="00DA7023" w:rsidRPr="00BD1CCE" w:rsidRDefault="00DA7023" w:rsidP="00DA7023">
      <w:pPr>
        <w:spacing w:line="360" w:lineRule="auto"/>
        <w:rPr>
          <w:rFonts w:asciiTheme="majorHAnsi" w:hAnsiTheme="majorHAnsi" w:cstheme="majorHAnsi"/>
        </w:rPr>
      </w:pPr>
      <w:r w:rsidRPr="00BD1CCE">
        <w:rPr>
          <w:rFonts w:asciiTheme="majorHAnsi" w:hAnsiTheme="majorHAnsi" w:cstheme="majorHAnsi"/>
          <w:b/>
          <w:bCs/>
        </w:rPr>
        <w:t>Figura 3.</w:t>
      </w:r>
      <w:r w:rsidRPr="00BD1CCE">
        <w:rPr>
          <w:rFonts w:asciiTheme="majorHAnsi" w:hAnsiTheme="majorHAnsi" w:cstheme="majorHAnsi"/>
        </w:rPr>
        <w:t xml:space="preserve"> Tipos de internacionalização da educação superior</w:t>
      </w:r>
    </w:p>
    <w:p w14:paraId="57D9014B" w14:textId="77777777" w:rsidR="00DA7023" w:rsidRPr="00BD1CCE" w:rsidRDefault="00DA7023" w:rsidP="00DA7023">
      <w:pPr>
        <w:spacing w:line="360" w:lineRule="auto"/>
        <w:jc w:val="center"/>
        <w:rPr>
          <w:rFonts w:asciiTheme="majorHAnsi" w:hAnsiTheme="majorHAnsi" w:cstheme="majorHAnsi"/>
        </w:rPr>
      </w:pPr>
      <w:r w:rsidRPr="00BD1CCE">
        <w:rPr>
          <w:rFonts w:asciiTheme="majorHAnsi" w:hAnsiTheme="majorHAnsi" w:cstheme="majorHAnsi"/>
          <w:noProof/>
        </w:rPr>
        <w:drawing>
          <wp:inline distT="0" distB="0" distL="0" distR="0" wp14:anchorId="5DA5CB6D" wp14:editId="6827C763">
            <wp:extent cx="3954485" cy="2224585"/>
            <wp:effectExtent l="0" t="0" r="8255"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1755" cy="2234300"/>
                    </a:xfrm>
                    <a:prstGeom prst="rect">
                      <a:avLst/>
                    </a:prstGeom>
                  </pic:spPr>
                </pic:pic>
              </a:graphicData>
            </a:graphic>
          </wp:inline>
        </w:drawing>
      </w:r>
    </w:p>
    <w:p w14:paraId="3B1388EA" w14:textId="77777777" w:rsidR="00DA7023" w:rsidRPr="00700045" w:rsidRDefault="00DA7023" w:rsidP="00DA7023">
      <w:pPr>
        <w:spacing w:line="360" w:lineRule="auto"/>
        <w:rPr>
          <w:rFonts w:asciiTheme="majorHAnsi" w:hAnsiTheme="majorHAnsi" w:cstheme="majorHAnsi"/>
          <w:sz w:val="20"/>
          <w:szCs w:val="20"/>
        </w:rPr>
      </w:pPr>
      <w:r w:rsidRPr="00700045">
        <w:rPr>
          <w:rFonts w:asciiTheme="majorHAnsi" w:hAnsiTheme="majorHAnsi" w:cstheme="majorHAnsi"/>
          <w:sz w:val="20"/>
          <w:szCs w:val="20"/>
        </w:rPr>
        <w:t>Fonte: Gráfico adaptado de Morosini e Dalla Corte (2021, p. 57).</w:t>
      </w:r>
    </w:p>
    <w:p w14:paraId="77785DB5" w14:textId="77777777" w:rsidR="00DA7023" w:rsidRPr="00700045" w:rsidRDefault="00DA7023" w:rsidP="00DA7023">
      <w:pPr>
        <w:spacing w:line="360" w:lineRule="auto"/>
        <w:ind w:firstLine="708"/>
        <w:jc w:val="both"/>
        <w:rPr>
          <w:rFonts w:asciiTheme="majorHAnsi" w:hAnsiTheme="majorHAnsi" w:cstheme="majorHAnsi"/>
          <w:sz w:val="24"/>
          <w:szCs w:val="24"/>
          <w:shd w:val="clear" w:color="auto" w:fill="FCFCFC"/>
        </w:rPr>
      </w:pPr>
      <w:r w:rsidRPr="00700045">
        <w:rPr>
          <w:rFonts w:asciiTheme="majorHAnsi" w:hAnsiTheme="majorHAnsi" w:cstheme="majorHAnsi"/>
          <w:sz w:val="24"/>
          <w:szCs w:val="24"/>
        </w:rPr>
        <w:t xml:space="preserve">A </w:t>
      </w:r>
      <w:r w:rsidRPr="00700045">
        <w:rPr>
          <w:rFonts w:asciiTheme="majorHAnsi" w:hAnsiTheme="majorHAnsi" w:cstheme="majorHAnsi"/>
          <w:bCs/>
          <w:sz w:val="24"/>
          <w:szCs w:val="24"/>
        </w:rPr>
        <w:t>internacionalização integral</w:t>
      </w:r>
      <w:r w:rsidRPr="00700045">
        <w:rPr>
          <w:rFonts w:asciiTheme="majorHAnsi" w:hAnsiTheme="majorHAnsi" w:cstheme="majorHAnsi"/>
          <w:b/>
          <w:sz w:val="24"/>
          <w:szCs w:val="24"/>
        </w:rPr>
        <w:t xml:space="preserve"> — </w:t>
      </w:r>
      <w:r w:rsidRPr="00700045">
        <w:rPr>
          <w:rFonts w:asciiTheme="majorHAnsi" w:hAnsiTheme="majorHAnsi" w:cstheme="majorHAnsi"/>
          <w:bCs/>
          <w:i/>
          <w:iCs/>
          <w:sz w:val="24"/>
          <w:szCs w:val="24"/>
        </w:rPr>
        <w:t xml:space="preserve">comprehensive </w:t>
      </w:r>
      <w:r w:rsidRPr="00700045">
        <w:rPr>
          <w:rFonts w:asciiTheme="majorHAnsi" w:eastAsiaTheme="minorEastAsia" w:hAnsiTheme="majorHAnsi" w:cstheme="majorHAnsi"/>
          <w:sz w:val="24"/>
          <w:szCs w:val="24"/>
          <w:lang w:val="pt-PT"/>
        </w:rPr>
        <w:t xml:space="preserve">é um compromisso, confirmado por </w:t>
      </w:r>
      <w:r w:rsidRPr="00700045">
        <w:rPr>
          <w:rFonts w:asciiTheme="majorHAnsi" w:eastAsiaTheme="minorEastAsia" w:hAnsiTheme="majorHAnsi" w:cstheme="majorHAnsi"/>
          <w:spacing w:val="-2"/>
          <w:sz w:val="24"/>
          <w:szCs w:val="24"/>
          <w:lang w:val="pt-PT"/>
        </w:rPr>
        <w:t>meio da ação, para infundir perspectivas internacionais e comparativas ao longo das missões de</w:t>
      </w:r>
      <w:r w:rsidRPr="00700045">
        <w:rPr>
          <w:rFonts w:asciiTheme="majorHAnsi" w:eastAsiaTheme="minorEastAsia" w:hAnsiTheme="majorHAnsi" w:cstheme="majorHAnsi"/>
          <w:sz w:val="24"/>
          <w:szCs w:val="24"/>
          <w:lang w:val="pt-PT"/>
        </w:rPr>
        <w:t xml:space="preserve"> </w:t>
      </w:r>
      <w:r w:rsidRPr="00700045">
        <w:rPr>
          <w:rFonts w:asciiTheme="majorHAnsi" w:eastAsiaTheme="minorEastAsia" w:hAnsiTheme="majorHAnsi" w:cstheme="majorHAnsi"/>
          <w:spacing w:val="-2"/>
          <w:sz w:val="24"/>
          <w:szCs w:val="24"/>
          <w:lang w:val="pt-PT"/>
        </w:rPr>
        <w:t xml:space="preserve">ensino, de pesquisa e de serviço do ensino superior. Molda o </w:t>
      </w:r>
      <w:r w:rsidRPr="00700045">
        <w:rPr>
          <w:rFonts w:asciiTheme="majorHAnsi" w:eastAsiaTheme="minorEastAsia" w:hAnsiTheme="majorHAnsi" w:cstheme="majorHAnsi"/>
          <w:i/>
          <w:spacing w:val="-2"/>
          <w:sz w:val="24"/>
          <w:szCs w:val="24"/>
          <w:lang w:val="pt-PT"/>
        </w:rPr>
        <w:t>ethos</w:t>
      </w:r>
      <w:r w:rsidRPr="00700045">
        <w:rPr>
          <w:rFonts w:asciiTheme="majorHAnsi" w:eastAsiaTheme="minorEastAsia" w:hAnsiTheme="majorHAnsi" w:cstheme="majorHAnsi"/>
          <w:spacing w:val="-2"/>
          <w:sz w:val="24"/>
          <w:szCs w:val="24"/>
          <w:lang w:val="pt-PT"/>
        </w:rPr>
        <w:t xml:space="preserve"> e os valores institucionais e atinge</w:t>
      </w:r>
      <w:r w:rsidRPr="00700045">
        <w:rPr>
          <w:rFonts w:asciiTheme="majorHAnsi" w:eastAsiaTheme="minorEastAsia" w:hAnsiTheme="majorHAnsi" w:cstheme="majorHAnsi"/>
          <w:sz w:val="24"/>
          <w:szCs w:val="24"/>
          <w:lang w:val="pt-PT"/>
        </w:rPr>
        <w:t xml:space="preserve"> toda a IES. É essencial que seja adotado pela liderança institucional, pela governança, pelos professores, pelos alunos e por todas as unidades de serviço e suporte acadêmico. Trata-se de um imperativo </w:t>
      </w:r>
      <w:r w:rsidRPr="00700045">
        <w:rPr>
          <w:rFonts w:asciiTheme="majorHAnsi" w:eastAsiaTheme="minorEastAsia" w:hAnsiTheme="majorHAnsi" w:cstheme="majorHAnsi"/>
          <w:spacing w:val="-2"/>
          <w:sz w:val="24"/>
          <w:szCs w:val="24"/>
          <w:lang w:val="pt-PT"/>
        </w:rPr>
        <w:lastRenderedPageBreak/>
        <w:t>institucional, não apenas de uma possibilidade desejável (</w:t>
      </w:r>
      <w:r w:rsidRPr="00700045">
        <w:rPr>
          <w:rFonts w:asciiTheme="majorHAnsi" w:hAnsiTheme="majorHAnsi" w:cstheme="majorHAnsi"/>
          <w:spacing w:val="-2"/>
          <w:sz w:val="24"/>
          <w:szCs w:val="24"/>
        </w:rPr>
        <w:t xml:space="preserve">HUDZIK, </w:t>
      </w:r>
      <w:hyperlink r:id="rId17" w:anchor="CR22" w:tooltip="View reference" w:history="1">
        <w:r w:rsidRPr="00700045">
          <w:rPr>
            <w:rFonts w:asciiTheme="majorHAnsi" w:hAnsiTheme="majorHAnsi" w:cstheme="majorHAnsi"/>
            <w:spacing w:val="-2"/>
            <w:sz w:val="24"/>
            <w:szCs w:val="24"/>
          </w:rPr>
          <w:t>2011</w:t>
        </w:r>
      </w:hyperlink>
      <w:r w:rsidRPr="00700045">
        <w:rPr>
          <w:rFonts w:asciiTheme="majorHAnsi" w:hAnsiTheme="majorHAnsi" w:cstheme="majorHAnsi"/>
          <w:spacing w:val="-2"/>
          <w:sz w:val="24"/>
          <w:szCs w:val="24"/>
        </w:rPr>
        <w:t>). A internacionalização</w:t>
      </w:r>
      <w:r w:rsidRPr="00700045">
        <w:rPr>
          <w:rFonts w:asciiTheme="majorHAnsi" w:hAnsiTheme="majorHAnsi" w:cstheme="majorHAnsi"/>
          <w:spacing w:val="2"/>
          <w:sz w:val="24"/>
          <w:szCs w:val="24"/>
        </w:rPr>
        <w:t xml:space="preserve"> integral se encaixa nos estudos que a analisam como internacionalização transformadora, exigindo uma abordagem holística em que as universidades se tornam comunidades de espírito internacional (ROBSON, 2011). </w:t>
      </w:r>
      <w:r w:rsidRPr="00700045">
        <w:rPr>
          <w:rFonts w:asciiTheme="majorHAnsi" w:hAnsiTheme="majorHAnsi" w:cstheme="majorHAnsi"/>
          <w:sz w:val="24"/>
          <w:szCs w:val="24"/>
          <w:shd w:val="clear" w:color="auto" w:fill="FCFCFC"/>
        </w:rPr>
        <w:t>Gacel-Ávila (2012)</w:t>
      </w:r>
      <w:r w:rsidRPr="00700045">
        <w:rPr>
          <w:rFonts w:asciiTheme="majorHAnsi" w:eastAsiaTheme="minorEastAsia" w:hAnsiTheme="majorHAnsi" w:cstheme="majorHAnsi"/>
          <w:sz w:val="24"/>
          <w:szCs w:val="24"/>
          <w:lang w:val="pt-PT"/>
        </w:rPr>
        <w:t xml:space="preserve"> propõe sua</w:t>
      </w:r>
      <w:r w:rsidRPr="00700045">
        <w:rPr>
          <w:rFonts w:asciiTheme="majorHAnsi" w:hAnsiTheme="majorHAnsi" w:cstheme="majorHAnsi"/>
          <w:sz w:val="24"/>
          <w:szCs w:val="24"/>
          <w:shd w:val="clear" w:color="auto" w:fill="FCFCFC"/>
        </w:rPr>
        <w:t xml:space="preserve"> aplicação na América Latina para que tenha potencial para desencadear as transformações exigidas por todo o sistema para se adaptar às novas demandas da sociedade. </w:t>
      </w:r>
    </w:p>
    <w:p w14:paraId="5FAFEDC0" w14:textId="77777777" w:rsidR="00DA7023" w:rsidRPr="00700045" w:rsidRDefault="00DA7023" w:rsidP="00DA7023">
      <w:pPr>
        <w:pStyle w:val="PargrafodaLista"/>
        <w:spacing w:after="240" w:line="360" w:lineRule="auto"/>
        <w:ind w:left="0" w:firstLine="708"/>
        <w:jc w:val="both"/>
        <w:rPr>
          <w:rFonts w:asciiTheme="majorHAnsi" w:hAnsiTheme="majorHAnsi" w:cstheme="majorHAnsi"/>
          <w:sz w:val="24"/>
          <w:szCs w:val="24"/>
        </w:rPr>
      </w:pPr>
      <w:r w:rsidRPr="00700045">
        <w:rPr>
          <w:rFonts w:asciiTheme="majorHAnsi" w:hAnsiTheme="majorHAnsi" w:cstheme="majorHAnsi"/>
          <w:sz w:val="24"/>
          <w:szCs w:val="24"/>
        </w:rPr>
        <w:t>A internacionalização integral se apoia na IoC</w:t>
      </w:r>
      <w:r w:rsidRPr="00700045">
        <w:rPr>
          <w:rFonts w:asciiTheme="majorHAnsi" w:hAnsiTheme="majorHAnsi" w:cstheme="majorHAnsi"/>
          <w:bCs/>
          <w:sz w:val="24"/>
          <w:szCs w:val="24"/>
        </w:rPr>
        <w:t>, entendida</w:t>
      </w:r>
      <w:r w:rsidRPr="00700045">
        <w:rPr>
          <w:rFonts w:asciiTheme="majorHAnsi" w:hAnsiTheme="majorHAnsi" w:cstheme="majorHAnsi"/>
          <w:b/>
          <w:sz w:val="24"/>
          <w:szCs w:val="24"/>
        </w:rPr>
        <w:t xml:space="preserve"> </w:t>
      </w:r>
      <w:r w:rsidRPr="00700045">
        <w:rPr>
          <w:rFonts w:asciiTheme="majorHAnsi" w:hAnsiTheme="majorHAnsi" w:cstheme="majorHAnsi"/>
          <w:sz w:val="24"/>
          <w:szCs w:val="24"/>
        </w:rPr>
        <w:t>como:</w:t>
      </w:r>
    </w:p>
    <w:p w14:paraId="7B40C878" w14:textId="77777777" w:rsidR="00DA7023" w:rsidRPr="00BD1CCE" w:rsidRDefault="00DA7023" w:rsidP="00DA7023">
      <w:pPr>
        <w:pStyle w:val="PargrafodaLista"/>
        <w:spacing w:line="120" w:lineRule="auto"/>
        <w:ind w:left="0" w:firstLine="709"/>
        <w:jc w:val="both"/>
        <w:rPr>
          <w:rFonts w:asciiTheme="majorHAnsi" w:hAnsiTheme="majorHAnsi" w:cstheme="majorHAnsi"/>
        </w:rPr>
      </w:pPr>
    </w:p>
    <w:p w14:paraId="7F57AF1B" w14:textId="77777777" w:rsidR="00DA7023" w:rsidRPr="00BD1CCE" w:rsidRDefault="00DA7023" w:rsidP="00DA7023">
      <w:pPr>
        <w:pStyle w:val="PargrafodaLista"/>
        <w:spacing w:line="120" w:lineRule="auto"/>
        <w:ind w:left="0" w:firstLine="709"/>
        <w:jc w:val="both"/>
        <w:rPr>
          <w:rFonts w:asciiTheme="majorHAnsi" w:hAnsiTheme="majorHAnsi" w:cstheme="majorHAnsi"/>
        </w:rPr>
      </w:pPr>
    </w:p>
    <w:p w14:paraId="61E5A767" w14:textId="77777777" w:rsidR="00DA7023" w:rsidRPr="00BD1CCE" w:rsidRDefault="00DA7023" w:rsidP="00DA7023">
      <w:pPr>
        <w:pStyle w:val="PargrafodaLista"/>
        <w:ind w:left="2268"/>
        <w:jc w:val="both"/>
        <w:rPr>
          <w:rFonts w:asciiTheme="majorHAnsi" w:hAnsiTheme="majorHAnsi" w:cstheme="majorHAnsi"/>
          <w:sz w:val="20"/>
          <w:szCs w:val="20"/>
          <w:lang w:val="pt-PT"/>
        </w:rPr>
      </w:pPr>
      <w:r w:rsidRPr="00BD1CCE">
        <w:rPr>
          <w:rFonts w:asciiTheme="majorHAnsi" w:hAnsiTheme="majorHAnsi" w:cstheme="majorHAnsi"/>
          <w:sz w:val="20"/>
          <w:szCs w:val="20"/>
          <w:lang w:val="pt-PT"/>
        </w:rPr>
        <w:t>[...] a incorporação de dimensões internacionais, interculturais e/ou globais no conteúdo do currículo, bem como os resultados de aprendizagem, tarefas de avaliação, métodos de ensino e serviços de apoio de um programa de estudo. (LEASK, 2015, p. 9, tradução nossa).</w:t>
      </w:r>
    </w:p>
    <w:p w14:paraId="4253F95A" w14:textId="77777777" w:rsidR="00DA7023" w:rsidRPr="00BD1CCE" w:rsidRDefault="00DA7023" w:rsidP="00DA7023">
      <w:pPr>
        <w:pStyle w:val="PargrafodaLista"/>
        <w:ind w:left="2268"/>
        <w:jc w:val="both"/>
        <w:rPr>
          <w:rFonts w:asciiTheme="majorHAnsi" w:hAnsiTheme="majorHAnsi" w:cstheme="majorHAnsi"/>
          <w:sz w:val="20"/>
          <w:szCs w:val="20"/>
          <w:lang w:val="pt-PT"/>
        </w:rPr>
      </w:pPr>
    </w:p>
    <w:p w14:paraId="2A91D0DB" w14:textId="77777777" w:rsidR="00DA7023" w:rsidRPr="00BD1CCE" w:rsidRDefault="00DA7023" w:rsidP="00DA7023">
      <w:pPr>
        <w:pStyle w:val="PargrafodaLista"/>
        <w:spacing w:after="240"/>
        <w:ind w:left="2268"/>
        <w:jc w:val="both"/>
        <w:rPr>
          <w:rFonts w:asciiTheme="majorHAnsi" w:hAnsiTheme="majorHAnsi" w:cstheme="majorHAnsi"/>
          <w:sz w:val="20"/>
          <w:szCs w:val="20"/>
          <w:lang w:val="pt-PT"/>
        </w:rPr>
      </w:pPr>
    </w:p>
    <w:p w14:paraId="37062F43" w14:textId="77777777" w:rsidR="00DA7023" w:rsidRPr="00700045" w:rsidRDefault="00DA7023" w:rsidP="00DA7023">
      <w:pPr>
        <w:pStyle w:val="PargrafodaLista"/>
        <w:spacing w:line="360" w:lineRule="auto"/>
        <w:ind w:left="0" w:firstLine="708"/>
        <w:jc w:val="both"/>
        <w:rPr>
          <w:rFonts w:asciiTheme="majorHAnsi" w:hAnsiTheme="majorHAnsi" w:cstheme="majorHAnsi"/>
          <w:sz w:val="24"/>
          <w:szCs w:val="24"/>
        </w:rPr>
      </w:pPr>
      <w:r w:rsidRPr="00700045">
        <w:rPr>
          <w:rFonts w:asciiTheme="majorHAnsi" w:hAnsiTheme="majorHAnsi" w:cstheme="majorHAnsi"/>
          <w:sz w:val="24"/>
          <w:szCs w:val="24"/>
          <w:lang w:val="pt-PT"/>
        </w:rPr>
        <w:t>A perspectiva da IoC se desenvolveu neste século quando a internacionalização se voltou para a função ensino, cujo currículo é a base do processo de formação (MOROSINI, 2018). Relaciona-se tanto com o currículo formal quanto com o informal, e visa a desenvolver conhecimentos, habilidades e atitudes internacionais e interculturais para todos os alunos, independentemente de eles também participarem de oportunidades de mobilidade (LEASK, 2015).</w:t>
      </w:r>
    </w:p>
    <w:p w14:paraId="034FDEAE"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A IoC abarca a internacionalização por mobilidade (transfronteiriça) e a IaH. A primeira é compreendida como a realização de estudos fora da instituição à qual estudantes, professores e pesquisadores pertencem. A mobilidade de professores e pesquisadores é comum via congressos, e a estudantil pode ocorrer para obter créditos acadêmicos, como estágios de graduação e de pós-graduação, ou titulação. A internacionalização da educação superior é entendida prioritariamente como mobilidade acadêmica, que ocorre </w:t>
      </w:r>
      <w:r w:rsidRPr="00700045">
        <w:rPr>
          <w:rFonts w:asciiTheme="majorHAnsi" w:hAnsiTheme="majorHAnsi" w:cstheme="majorHAnsi"/>
          <w:sz w:val="24"/>
          <w:szCs w:val="24"/>
          <w:shd w:val="clear" w:color="auto" w:fill="FFFFFF"/>
        </w:rPr>
        <w:t xml:space="preserve">via programas que fomentam e estimulam esse tipo de formação. A mobilidade da maioria dos estudantes e dos professores é financiada por editais, por acordos e por organismos (públicos e privados) de fomento à graduação e à pós-graduação. </w:t>
      </w:r>
    </w:p>
    <w:p w14:paraId="2A1E7BAD"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Além da mobilidade, a IoC congrega a IaH, compreendida como um </w:t>
      </w:r>
      <w:r w:rsidRPr="00700045">
        <w:rPr>
          <w:rFonts w:asciiTheme="majorHAnsi" w:eastAsiaTheme="minorEastAsia" w:hAnsiTheme="majorHAnsi" w:cstheme="majorHAnsi"/>
          <w:sz w:val="24"/>
          <w:szCs w:val="24"/>
        </w:rPr>
        <w:t xml:space="preserve">processo de integração das dimensões internacional e intercultural nos currículos formal e informal para todos os estudantes do ambiente doméstico de aprendizagem. A IaH, em seu mais alto estágio de desenvolvimento, pode ocorrer </w:t>
      </w:r>
      <w:r w:rsidRPr="00700045">
        <w:rPr>
          <w:rFonts w:asciiTheme="majorHAnsi" w:hAnsiTheme="majorHAnsi" w:cstheme="majorHAnsi"/>
          <w:sz w:val="24"/>
          <w:szCs w:val="24"/>
          <w:lang w:val="pt-PT"/>
        </w:rPr>
        <w:t>“por transformação”, que prevê a construção das perspectivas intercultural e internacional no currículo existente</w:t>
      </w:r>
      <w:r w:rsidRPr="00700045">
        <w:rPr>
          <w:rFonts w:asciiTheme="majorHAnsi" w:hAnsiTheme="majorHAnsi" w:cstheme="majorHAnsi"/>
          <w:sz w:val="24"/>
          <w:szCs w:val="24"/>
        </w:rPr>
        <w:t xml:space="preserve"> (BEELEN; JONES, 2015).</w:t>
      </w:r>
    </w:p>
    <w:p w14:paraId="6E7B53BE"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lang w:val="pt-PT"/>
        </w:rPr>
        <w:t xml:space="preserve">A IaH contribuiu para o deslocamento do foco da internacionalização da mobilidade para o do currículo doméstico (MOROSINI; BARANZELI, 2018) e tem facilitada a sua aplicabilidade pela </w:t>
      </w:r>
      <w:r w:rsidRPr="00700045">
        <w:rPr>
          <w:rFonts w:asciiTheme="majorHAnsi" w:hAnsiTheme="majorHAnsi" w:cstheme="majorHAnsi"/>
          <w:sz w:val="24"/>
          <w:szCs w:val="24"/>
          <w:lang w:val="pt-PT"/>
        </w:rPr>
        <w:lastRenderedPageBreak/>
        <w:t xml:space="preserve">capacitação dos atores acadêmicos e administrativos (ALMEIDA </w:t>
      </w:r>
      <w:r w:rsidRPr="00700045">
        <w:rPr>
          <w:rFonts w:asciiTheme="majorHAnsi" w:hAnsiTheme="majorHAnsi" w:cstheme="majorHAnsi"/>
          <w:i/>
          <w:iCs/>
          <w:sz w:val="24"/>
          <w:szCs w:val="24"/>
          <w:lang w:val="pt-PT"/>
        </w:rPr>
        <w:t>et al.</w:t>
      </w:r>
      <w:r w:rsidRPr="00700045">
        <w:rPr>
          <w:rFonts w:asciiTheme="majorHAnsi" w:hAnsiTheme="majorHAnsi" w:cstheme="majorHAnsi"/>
          <w:sz w:val="24"/>
          <w:szCs w:val="24"/>
          <w:lang w:val="pt-PT"/>
        </w:rPr>
        <w:t xml:space="preserve">, 2019) quanto ao conceito de internacionalização e suas estratégias. Essas devem ser complementares por meio de uma governança que combine estratégias </w:t>
      </w:r>
      <w:r w:rsidRPr="00700045">
        <w:rPr>
          <w:rFonts w:asciiTheme="majorHAnsi" w:hAnsiTheme="majorHAnsi" w:cstheme="majorHAnsi"/>
          <w:i/>
          <w:iCs/>
          <w:sz w:val="24"/>
          <w:szCs w:val="24"/>
          <w:lang w:val="pt-PT"/>
        </w:rPr>
        <w:t>top down</w:t>
      </w:r>
      <w:r w:rsidRPr="00700045">
        <w:rPr>
          <w:rFonts w:asciiTheme="majorHAnsi" w:hAnsiTheme="majorHAnsi" w:cstheme="majorHAnsi"/>
          <w:sz w:val="24"/>
          <w:szCs w:val="24"/>
          <w:lang w:val="pt-PT"/>
        </w:rPr>
        <w:t xml:space="preserve"> com estratégias participativas, ou seja, o processo de coparticipação é necessário.</w:t>
      </w:r>
    </w:p>
    <w:p w14:paraId="0C48A433"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Os diferentes modelos de internacionalização (Figura 3) podem ser analisados de forma complementar e conviver de maneira a implementar a cultura da internacionalização na instituição. Um exemplo dessa afirmação é considerar a internacionalização como movimento sofrendo a influência do tempo e do espaço. </w:t>
      </w:r>
    </w:p>
    <w:p w14:paraId="74130D11" w14:textId="77777777" w:rsidR="00700045" w:rsidRDefault="00DA7023" w:rsidP="00700045">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Com a pandemia de COVID-19, os modelos supracitados sofreram a influência do desenvolvimento das tecnologias da informação e comunicação e passaram a ser dominados pela virtualidade. Passou-se a ter a mobilidade virtual, a </w:t>
      </w:r>
      <w:r w:rsidRPr="00700045">
        <w:rPr>
          <w:rFonts w:asciiTheme="majorHAnsi" w:hAnsiTheme="majorHAnsi" w:cstheme="majorHAnsi"/>
          <w:sz w:val="24"/>
          <w:szCs w:val="24"/>
          <w:lang w:val="pt-PT"/>
        </w:rPr>
        <w:t>IoC</w:t>
      </w:r>
      <w:r w:rsidRPr="00700045">
        <w:rPr>
          <w:rFonts w:asciiTheme="majorHAnsi" w:hAnsiTheme="majorHAnsi" w:cstheme="majorHAnsi"/>
          <w:sz w:val="24"/>
          <w:szCs w:val="24"/>
        </w:rPr>
        <w:t>em casa e, na perspectiva da pesquisa, a constante expansão das redes colaborativas virtuais.</w:t>
      </w:r>
    </w:p>
    <w:p w14:paraId="1AFF189F" w14:textId="7DF67C7F" w:rsidR="00DA7023" w:rsidRPr="00700045" w:rsidRDefault="00DA7023" w:rsidP="00700045">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Nesse período, a proposição de redes colaborativas regionais virtuais </w:t>
      </w:r>
      <w:r w:rsidRPr="00700045">
        <w:rPr>
          <w:rFonts w:asciiTheme="majorHAnsi" w:eastAsia="Arial" w:hAnsiTheme="majorHAnsi" w:cstheme="majorHAnsi"/>
          <w:sz w:val="24"/>
          <w:szCs w:val="24"/>
        </w:rPr>
        <w:t xml:space="preserve">(IESALC, 2018b) </w:t>
      </w:r>
      <w:r w:rsidRPr="00700045">
        <w:rPr>
          <w:rFonts w:asciiTheme="majorHAnsi" w:hAnsiTheme="majorHAnsi" w:cstheme="majorHAnsi"/>
          <w:sz w:val="24"/>
          <w:szCs w:val="24"/>
        </w:rPr>
        <w:t>nos leva a uma internacionalização sustentável (</w:t>
      </w:r>
      <w:r w:rsidRPr="00700045">
        <w:rPr>
          <w:rFonts w:asciiTheme="majorHAnsi" w:eastAsia="Arial" w:hAnsiTheme="majorHAnsi" w:cstheme="majorHAnsi"/>
          <w:sz w:val="24"/>
          <w:szCs w:val="24"/>
        </w:rPr>
        <w:t xml:space="preserve">O’DOWD; BEAVEN, 2019). </w:t>
      </w:r>
      <w:r w:rsidRPr="00700045">
        <w:rPr>
          <w:rFonts w:asciiTheme="majorHAnsi" w:hAnsiTheme="majorHAnsi" w:cstheme="majorHAnsi"/>
          <w:sz w:val="24"/>
          <w:szCs w:val="24"/>
        </w:rPr>
        <w:t xml:space="preserve">Além disso, </w:t>
      </w:r>
      <w:r w:rsidRPr="00700045">
        <w:rPr>
          <w:rFonts w:asciiTheme="majorHAnsi" w:eastAsia="Arial" w:hAnsiTheme="majorHAnsi" w:cstheme="majorHAnsi"/>
          <w:sz w:val="24"/>
          <w:szCs w:val="24"/>
        </w:rPr>
        <w:t xml:space="preserve">os processos que permitiram a </w:t>
      </w:r>
      <w:r w:rsidRPr="00700045">
        <w:rPr>
          <w:rFonts w:asciiTheme="majorHAnsi" w:hAnsiTheme="majorHAnsi" w:cstheme="majorHAnsi"/>
          <w:sz w:val="24"/>
          <w:szCs w:val="24"/>
          <w:lang w:val="pt-PT"/>
        </w:rPr>
        <w:t>IoC</w:t>
      </w:r>
      <w:r w:rsidRPr="00700045">
        <w:rPr>
          <w:rFonts w:asciiTheme="majorHAnsi" w:eastAsia="Arial" w:hAnsiTheme="majorHAnsi" w:cstheme="majorHAnsi"/>
          <w:sz w:val="24"/>
          <w:szCs w:val="24"/>
        </w:rPr>
        <w:t xml:space="preserve"> em casa e on-line, e para um maior número de estudantes, constituíram movimentos de uma nova era na internacionalização da educação superior (BRANDENBURG </w:t>
      </w:r>
      <w:r w:rsidRPr="00700045">
        <w:rPr>
          <w:rFonts w:asciiTheme="majorHAnsi" w:eastAsia="Arial" w:hAnsiTheme="majorHAnsi" w:cstheme="majorHAnsi"/>
          <w:i/>
          <w:iCs/>
          <w:sz w:val="24"/>
          <w:szCs w:val="24"/>
        </w:rPr>
        <w:t>et al.</w:t>
      </w:r>
      <w:r w:rsidRPr="00700045">
        <w:rPr>
          <w:rFonts w:asciiTheme="majorHAnsi" w:eastAsia="Arial" w:hAnsiTheme="majorHAnsi" w:cstheme="majorHAnsi"/>
          <w:sz w:val="24"/>
          <w:szCs w:val="24"/>
        </w:rPr>
        <w:t xml:space="preserve">, 2020), que se configura sustentável. A virtualização é uma oportunidade para a continuidade das políticas de internacionalização no Brasil e no Sul Global no contexto pós-pandêmico, ainda que haja uma brecha digital no país e no continente (WOICOLESCO; CASSOL-SILVA; MOROSINI, 2022). </w:t>
      </w:r>
    </w:p>
    <w:p w14:paraId="36960517" w14:textId="77777777" w:rsidR="00DA7023" w:rsidRPr="00700045" w:rsidRDefault="00DA7023" w:rsidP="00700045">
      <w:pPr>
        <w:pStyle w:val="Ttulo3"/>
        <w:ind w:left="1276" w:hanging="720"/>
        <w:rPr>
          <w:rFonts w:asciiTheme="majorHAnsi" w:hAnsiTheme="majorHAnsi" w:cstheme="majorHAnsi"/>
        </w:rPr>
      </w:pPr>
      <w:r w:rsidRPr="00700045">
        <w:rPr>
          <w:rFonts w:asciiTheme="majorHAnsi" w:hAnsiTheme="majorHAnsi" w:cstheme="majorHAnsi"/>
        </w:rPr>
        <w:t>2.4.2. A internacionalização para o desenvolvimento sustentável</w:t>
      </w:r>
    </w:p>
    <w:p w14:paraId="31365632"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Com a internacionalização da educação superior no cerne do sistema mundo, inúmeros conceitos, que se adequam ao tempo e ao espaço, vêm sendo propostos. Um dos primeiros e mais difundido refere que a internacionalização da educação superior é um processo de integrar uma dimensão internacional, intercultural ou global nas finalidades, nas funções e nos cursos e programas presenciais e a distância da educação pós-secundária (KNIGHT, 2004). </w:t>
      </w:r>
    </w:p>
    <w:p w14:paraId="0C957DF4"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Com a expansão da internacionalização no mundo, outros conceitos foram propostos. Em 2015, passou-se a incluir a relação da internacionalização com a sociedade. Ela é compreendida como o processo intencional de integração das dimensões internacional, intercultural e/ou global aos objetivos, funções e implementação da educação superior, a fim </w:t>
      </w:r>
      <w:r w:rsidRPr="00700045">
        <w:rPr>
          <w:rFonts w:asciiTheme="majorHAnsi" w:hAnsiTheme="majorHAnsi" w:cstheme="majorHAnsi"/>
          <w:spacing w:val="-2"/>
          <w:sz w:val="24"/>
          <w:szCs w:val="24"/>
        </w:rPr>
        <w:t xml:space="preserve">de elevar a qualidade da </w:t>
      </w:r>
      <w:r w:rsidRPr="00700045">
        <w:rPr>
          <w:rFonts w:asciiTheme="majorHAnsi" w:hAnsiTheme="majorHAnsi" w:cstheme="majorHAnsi"/>
          <w:spacing w:val="-2"/>
          <w:sz w:val="24"/>
          <w:szCs w:val="24"/>
        </w:rPr>
        <w:lastRenderedPageBreak/>
        <w:t>educação e da pesquisa para todos os estudantes e para equipe universitária</w:t>
      </w:r>
      <w:r w:rsidRPr="00700045">
        <w:rPr>
          <w:rFonts w:asciiTheme="majorHAnsi" w:hAnsiTheme="majorHAnsi" w:cstheme="majorHAnsi"/>
          <w:sz w:val="24"/>
          <w:szCs w:val="24"/>
        </w:rPr>
        <w:t xml:space="preserve">, produzindo uma significativa contribuição para a sociedade (DE WIT </w:t>
      </w:r>
      <w:r w:rsidRPr="00700045">
        <w:rPr>
          <w:rFonts w:asciiTheme="majorHAnsi" w:hAnsiTheme="majorHAnsi" w:cstheme="majorHAnsi"/>
          <w:i/>
          <w:iCs/>
          <w:sz w:val="24"/>
          <w:szCs w:val="24"/>
        </w:rPr>
        <w:t>et al.</w:t>
      </w:r>
      <w:r w:rsidRPr="00700045">
        <w:rPr>
          <w:rFonts w:asciiTheme="majorHAnsi" w:hAnsiTheme="majorHAnsi" w:cstheme="majorHAnsi"/>
          <w:sz w:val="24"/>
          <w:szCs w:val="24"/>
        </w:rPr>
        <w:t>, 2015).</w:t>
      </w:r>
    </w:p>
    <w:p w14:paraId="5E0DBF8C"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Na perspectiva regional, com a CRES2018, propôs-se a cooperação interinstitucional baseada em uma relação solidária entre iguais, com ênfase na cooperação Sul-Sul e na integração regional, a circulação e a apropriação do conhecimento como bem social </w:t>
      </w:r>
      <w:r w:rsidRPr="00700045">
        <w:rPr>
          <w:rFonts w:asciiTheme="majorHAnsi" w:hAnsiTheme="majorHAnsi" w:cstheme="majorHAnsi"/>
          <w:spacing w:val="-2"/>
          <w:sz w:val="24"/>
          <w:szCs w:val="24"/>
        </w:rPr>
        <w:t>estratégico, em favor do desenvolvimento sustentável da região e dos países (IESALC, 2018a).</w:t>
      </w:r>
    </w:p>
    <w:p w14:paraId="507A49C1" w14:textId="77777777" w:rsidR="00DA7023" w:rsidRPr="00700045" w:rsidRDefault="00DA7023" w:rsidP="00DA7023">
      <w:pPr>
        <w:spacing w:after="240"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Nessa proposta de política de internacionalização, para a UnDF, o conceito a ser adotado a partir de sua visão, missão e valores em uma perspectiva de universidade pública distrital, tecnologicamente avançada e com compromisso social é: </w:t>
      </w:r>
    </w:p>
    <w:p w14:paraId="7E6C6087" w14:textId="77777777" w:rsidR="00DA7023" w:rsidRPr="00BD1CCE" w:rsidRDefault="00DA7023" w:rsidP="00DA7023">
      <w:pPr>
        <w:spacing w:before="240" w:after="360"/>
        <w:ind w:left="2268"/>
        <w:jc w:val="both"/>
        <w:rPr>
          <w:rFonts w:asciiTheme="majorHAnsi" w:hAnsiTheme="majorHAnsi" w:cstheme="majorHAnsi"/>
          <w:sz w:val="20"/>
          <w:szCs w:val="20"/>
        </w:rPr>
      </w:pPr>
      <w:r w:rsidRPr="00BD1CCE">
        <w:rPr>
          <w:rFonts w:asciiTheme="majorHAnsi" w:hAnsiTheme="majorHAnsi" w:cstheme="majorHAnsi"/>
          <w:sz w:val="20"/>
          <w:szCs w:val="20"/>
        </w:rPr>
        <w:t>Processo de integrar uma dimensão internacional e intercultural na educação superior, advindo de interações, sustentadas por redes colaborativas, fortalecendo a capacidade científica tecnológica nacional, conectada com o local, com o fito de ser irradiador do desenvolvimento sustentável. (MOROSINI, 2017).</w:t>
      </w:r>
    </w:p>
    <w:p w14:paraId="771D8443" w14:textId="77777777" w:rsidR="00700045" w:rsidRDefault="00DA7023" w:rsidP="00700045">
      <w:pPr>
        <w:tabs>
          <w:tab w:val="left" w:pos="709"/>
        </w:tabs>
        <w:spacing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t xml:space="preserve">Este conceito tem em seu cerne a transversalidade da internacionalização com perspectiva intercultural, de respeito às diferentes culturas que estarão em convivência por meio de redes internacionais (presencial e/ou virtual) marcadas pelo processo colaborativo, para que a UnDF possa se consolidar como um </w:t>
      </w:r>
      <w:r w:rsidRPr="00700045">
        <w:rPr>
          <w:rFonts w:asciiTheme="majorHAnsi" w:hAnsiTheme="majorHAnsi" w:cstheme="majorHAnsi"/>
          <w:i/>
          <w:iCs/>
          <w:sz w:val="24"/>
          <w:szCs w:val="24"/>
        </w:rPr>
        <w:t>hub</w:t>
      </w:r>
      <w:r w:rsidRPr="00700045">
        <w:rPr>
          <w:rFonts w:asciiTheme="majorHAnsi" w:hAnsiTheme="majorHAnsi" w:cstheme="majorHAnsi"/>
          <w:sz w:val="24"/>
          <w:szCs w:val="24"/>
        </w:rPr>
        <w:t xml:space="preserve"> (polo) tecnologicamente inovador de conhecimento, que irradie na região e nos diversos níveis do sistema mundo, e contribua para a transformação social com respeito aos princípios de uma educação de qualidade, inclusiva, equitativa, ao longo da vida e orientada para o desenvolvimento sustentável.</w:t>
      </w:r>
    </w:p>
    <w:p w14:paraId="4B74AB1D" w14:textId="1712987A" w:rsidR="00E60A89" w:rsidRDefault="00DA7023" w:rsidP="00700045">
      <w:pPr>
        <w:tabs>
          <w:tab w:val="left" w:pos="709"/>
        </w:tabs>
        <w:spacing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t>A perspectiva de Desenvolvimento Sustentável é um dos pilares estruturantes da UnDF e está fundamentada em seus diversos documentos, como a Lei de sua criação (GOVERNO DO DISTRITO FEDERAL, 2021), em documentos mais recentes que orientam para a discussão sobre a universidade que queremos (CEBRASPE, 2021) e em documento que subsidia o PDI, com a proposição da missão, visão, valores, objetivos e metas institucionais da Universidade do Distrito Federal Jorge Amaury Maia Nunes — UnDF (CEBRASPE, 2022), a qual é uma universidade distrital, pública, com compromisso social e defensora dos valores da ética pública e institucional, gestão democrática, inclusão, inovação, pesquisa e desenvolvimento tecnológico, pluralismo, sustentabilidade e responsabilidade, transparência e interesse público (CEBRASPE, 2022).</w:t>
      </w:r>
    </w:p>
    <w:p w14:paraId="3F703DD6" w14:textId="77777777" w:rsidR="00E60A89" w:rsidRDefault="00E60A89">
      <w:pPr>
        <w:tabs>
          <w:tab w:val="clear" w:pos="1615"/>
        </w:tabs>
        <w:spacing w:line="259" w:lineRule="auto"/>
        <w:rPr>
          <w:rFonts w:asciiTheme="majorHAnsi" w:hAnsiTheme="majorHAnsi" w:cstheme="majorHAnsi"/>
          <w:sz w:val="24"/>
          <w:szCs w:val="24"/>
        </w:rPr>
      </w:pPr>
      <w:r>
        <w:rPr>
          <w:rFonts w:asciiTheme="majorHAnsi" w:hAnsiTheme="majorHAnsi" w:cstheme="majorHAnsi"/>
          <w:sz w:val="24"/>
          <w:szCs w:val="24"/>
        </w:rPr>
        <w:br w:type="page"/>
      </w:r>
    </w:p>
    <w:p w14:paraId="72E4C9F3" w14:textId="2BC03AEC" w:rsidR="00DA7023" w:rsidRPr="00A44C62" w:rsidRDefault="00DA7023" w:rsidP="00215724">
      <w:pPr>
        <w:pStyle w:val="Ttulo1"/>
        <w:ind w:left="432" w:hanging="432"/>
        <w:rPr>
          <w:rFonts w:asciiTheme="majorHAnsi" w:hAnsiTheme="majorHAnsi" w:cstheme="majorHAnsi"/>
          <w:color w:val="4875BD" w:themeColor="accent1"/>
        </w:rPr>
      </w:pPr>
      <w:r w:rsidRPr="00A44C62">
        <w:rPr>
          <w:rFonts w:asciiTheme="majorHAnsi" w:hAnsiTheme="majorHAnsi" w:cstheme="majorHAnsi"/>
          <w:color w:val="4875BD" w:themeColor="accent1"/>
        </w:rPr>
        <w:lastRenderedPageBreak/>
        <w:t>3. A INTERNACIONALIZAÇÃO DA EDUCAÇÃO SUPERIOR NO CONTEXTO DA UnDF</w:t>
      </w:r>
    </w:p>
    <w:p w14:paraId="4E246E5B" w14:textId="77777777" w:rsidR="00DA7023" w:rsidRPr="00BD1CCE" w:rsidRDefault="00DA7023" w:rsidP="00DA7023">
      <w:pPr>
        <w:pStyle w:val="PargrafodaLista"/>
        <w:tabs>
          <w:tab w:val="left" w:pos="284"/>
        </w:tabs>
        <w:spacing w:after="120" w:line="360" w:lineRule="auto"/>
        <w:ind w:left="0"/>
        <w:contextualSpacing w:val="0"/>
        <w:rPr>
          <w:rFonts w:asciiTheme="majorHAnsi" w:hAnsiTheme="majorHAnsi" w:cstheme="majorHAnsi"/>
        </w:rPr>
      </w:pPr>
    </w:p>
    <w:p w14:paraId="66AA754B"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A educação é uma política social pública e está organizada por atos do poder público replicados institucionalmente (FRANCO, 2021). A política é constituída por princípios e por instrumentos legais. Assim, para entendê-la, faz-se necessário o estudo das peças legais. Há, também, uma hierarquia, pela qual o ato normativo menor não pode contradizer o maior, sob pena de se tornar inválido. Embora as proposições da Unesco não tenham poder direto de determinação sobre a soberania do estado-nação, suas orientações, indiretamente, apresentam uma pressão marcante sobre a política dos países. Na prática, os governos tendem a seguir as orientações de organismos multilaterais, como a Unesco. A partir dessa lógica é que as conceituações anteriormente discutidas neste trabalho devem ser compreendidas. </w:t>
      </w:r>
    </w:p>
    <w:p w14:paraId="3462AF17"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Na perspectiva institucional, os mesmos preceitos devem ser atendidos. Logo, a UnDF tem seus documentos norteadores, que ressignificam as políticas maiores, mas que não podem contradizê-las. Um exemplo é a política de internacionalização da instituição, que considera a lei de sua criação e o Plano de Desenvolvimento Institucional (PDI), que se encontra em processo de construção. </w:t>
      </w:r>
    </w:p>
    <w:p w14:paraId="48E3CDF6" w14:textId="77777777" w:rsidR="00DA7023" w:rsidRPr="00700045" w:rsidRDefault="00DA7023" w:rsidP="00DA7023">
      <w:pPr>
        <w:spacing w:after="240"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Seguindo esse entendimento, a política de internacionalização proposta para a UnDF está direcionada por diversos documentos que a orientam. Entre as principais inter-relações, pode-se salientar a importância da internacionalização no contexto da universidade. No marco normativo maior, a Lei Complementar n. 987, de 26 de julho de 2021, que autoriza a criação e que define as áreas de atuação da Universidade do Distrito Federal — UnDF e dá outras providências, destaca, no Artigo 2º inciso VIII, das finalidades da instituição, a competência que atenda: </w:t>
      </w:r>
    </w:p>
    <w:p w14:paraId="66613094" w14:textId="77777777" w:rsidR="00DA7023" w:rsidRPr="00BD1CCE" w:rsidRDefault="00DA7023" w:rsidP="00DA7023">
      <w:pPr>
        <w:shd w:val="clear" w:color="auto" w:fill="FFFFFF"/>
        <w:ind w:left="2268"/>
        <w:jc w:val="both"/>
        <w:rPr>
          <w:rFonts w:asciiTheme="majorHAnsi" w:hAnsiTheme="majorHAnsi" w:cstheme="majorHAnsi"/>
          <w:sz w:val="20"/>
          <w:szCs w:val="20"/>
        </w:rPr>
      </w:pPr>
    </w:p>
    <w:p w14:paraId="39919248" w14:textId="77777777" w:rsidR="00DA7023" w:rsidRPr="00BD1CCE" w:rsidRDefault="00DA7023" w:rsidP="00DA7023">
      <w:pPr>
        <w:shd w:val="clear" w:color="auto" w:fill="FFFFFF"/>
        <w:ind w:left="2268"/>
        <w:jc w:val="both"/>
        <w:rPr>
          <w:rFonts w:asciiTheme="majorHAnsi" w:hAnsiTheme="majorHAnsi" w:cstheme="majorHAnsi"/>
          <w:sz w:val="20"/>
          <w:szCs w:val="20"/>
        </w:rPr>
      </w:pPr>
      <w:r w:rsidRPr="00BD1CCE">
        <w:rPr>
          <w:rFonts w:asciiTheme="majorHAnsi" w:hAnsiTheme="majorHAnsi" w:cstheme="majorHAnsi"/>
          <w:sz w:val="20"/>
          <w:szCs w:val="20"/>
        </w:rPr>
        <w:t>[...] cooperar e fomentar parcerias e intercâmbios com universidades e outras instituições cientificas, culturais e educacionais brasileiras e internacionais</w:t>
      </w:r>
      <w:r w:rsidRPr="00BD1CCE">
        <w:rPr>
          <w:rFonts w:asciiTheme="majorHAnsi" w:hAnsiTheme="majorHAnsi" w:cstheme="majorHAnsi"/>
          <w:sz w:val="20"/>
          <w:szCs w:val="20"/>
          <w:u w:val="single"/>
        </w:rPr>
        <w:t>,</w:t>
      </w:r>
      <w:r w:rsidRPr="00BD1CCE">
        <w:rPr>
          <w:rFonts w:asciiTheme="majorHAnsi" w:hAnsiTheme="majorHAnsi" w:cstheme="majorHAnsi"/>
          <w:sz w:val="20"/>
          <w:szCs w:val="20"/>
        </w:rPr>
        <w:t xml:space="preserve"> visando a garantir qualidade científica, educacional e tecnológica às ações da UnDF. (GOVERNO DO DISTRITO FEDERAL, 2021, documento on-line). </w:t>
      </w:r>
    </w:p>
    <w:p w14:paraId="20A598F1" w14:textId="77777777" w:rsidR="00DA7023" w:rsidRPr="00BD1CCE" w:rsidRDefault="00DA7023" w:rsidP="00DA7023">
      <w:pPr>
        <w:shd w:val="clear" w:color="auto" w:fill="FFFFFF"/>
        <w:ind w:left="2268"/>
        <w:jc w:val="both"/>
        <w:rPr>
          <w:rFonts w:asciiTheme="majorHAnsi" w:hAnsiTheme="majorHAnsi" w:cstheme="majorHAnsi"/>
          <w:sz w:val="20"/>
          <w:szCs w:val="20"/>
        </w:rPr>
      </w:pPr>
    </w:p>
    <w:p w14:paraId="0BE925A7" w14:textId="77777777" w:rsidR="00DA7023" w:rsidRPr="00BD1CCE" w:rsidRDefault="00DA7023" w:rsidP="00DA7023">
      <w:pPr>
        <w:rPr>
          <w:rFonts w:asciiTheme="majorHAnsi" w:hAnsiTheme="majorHAnsi" w:cstheme="majorHAnsi"/>
          <w:sz w:val="20"/>
          <w:szCs w:val="20"/>
        </w:rPr>
      </w:pPr>
    </w:p>
    <w:p w14:paraId="0A5631D1" w14:textId="77777777" w:rsidR="00DA7023" w:rsidRPr="00700045" w:rsidRDefault="00DA7023" w:rsidP="00DA7023">
      <w:pPr>
        <w:spacing w:after="240"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lastRenderedPageBreak/>
        <w:t>No Documento de Referência também é afirmada a inserção internacional da UnDF: “uma definição e consolidação de ações voltadas para sua inserção local, regional, nacional e, em termos mais amplos, uma projeção de futuro, internacional” (CEBRASPE, 2021, documento on-line). Na proposta de PDI, quando descreve a perspectiva de futuro, expressa na visão, está determinada a crescente inserção da UnDF no plano internacional.</w:t>
      </w:r>
    </w:p>
    <w:p w14:paraId="27C1D09B" w14:textId="77777777" w:rsidR="00DA7023" w:rsidRPr="00BD1CCE" w:rsidRDefault="00DA7023" w:rsidP="00DA7023">
      <w:pPr>
        <w:ind w:left="2268"/>
        <w:jc w:val="both"/>
        <w:rPr>
          <w:rFonts w:asciiTheme="majorHAnsi" w:hAnsiTheme="majorHAnsi" w:cstheme="majorHAnsi"/>
          <w:sz w:val="20"/>
          <w:szCs w:val="20"/>
        </w:rPr>
      </w:pPr>
    </w:p>
    <w:p w14:paraId="516C8E31" w14:textId="77777777" w:rsidR="00DA7023" w:rsidRPr="00BD1CCE" w:rsidRDefault="00DA7023" w:rsidP="00DA7023">
      <w:pPr>
        <w:ind w:left="2268"/>
        <w:jc w:val="both"/>
        <w:rPr>
          <w:rFonts w:asciiTheme="majorHAnsi" w:hAnsiTheme="majorHAnsi" w:cstheme="majorHAnsi"/>
          <w:sz w:val="20"/>
          <w:szCs w:val="20"/>
        </w:rPr>
      </w:pPr>
      <w:r w:rsidRPr="00BD1CCE">
        <w:rPr>
          <w:rFonts w:asciiTheme="majorHAnsi" w:hAnsiTheme="majorHAnsi" w:cstheme="majorHAnsi"/>
          <w:sz w:val="20"/>
          <w:szCs w:val="20"/>
        </w:rPr>
        <w:t>Ser referência entre as universidades na formação tecnologicamente avançada em diferentes áreas do conhecimento, assegurando patamares crescentes de inserção local, nacional, regional e internacional, por meio de uma gestão democrática, inovadora e inclusiva que a configure como vetor de transformação da realidade social, econômica e ambiental</w:t>
      </w:r>
      <w:r w:rsidRPr="00BD1CCE">
        <w:rPr>
          <w:rFonts w:asciiTheme="majorHAnsi" w:hAnsiTheme="majorHAnsi" w:cstheme="majorHAnsi"/>
          <w:i/>
          <w:iCs/>
          <w:sz w:val="20"/>
          <w:szCs w:val="20"/>
        </w:rPr>
        <w:t xml:space="preserve">. </w:t>
      </w:r>
      <w:r w:rsidRPr="00BD1CCE">
        <w:rPr>
          <w:rFonts w:asciiTheme="majorHAnsi" w:hAnsiTheme="majorHAnsi" w:cstheme="majorHAnsi"/>
          <w:sz w:val="20"/>
          <w:szCs w:val="20"/>
        </w:rPr>
        <w:t>(CEBRASPE, 2022, p. 27).</w:t>
      </w:r>
    </w:p>
    <w:p w14:paraId="4C97DD5E" w14:textId="77777777" w:rsidR="00DA7023" w:rsidRPr="00BD1CCE" w:rsidRDefault="00DA7023" w:rsidP="00DA7023">
      <w:pPr>
        <w:ind w:left="2268"/>
        <w:jc w:val="both"/>
        <w:rPr>
          <w:rFonts w:asciiTheme="majorHAnsi" w:hAnsiTheme="majorHAnsi" w:cstheme="majorHAnsi"/>
          <w:sz w:val="20"/>
          <w:szCs w:val="20"/>
        </w:rPr>
      </w:pPr>
    </w:p>
    <w:p w14:paraId="79144ABE" w14:textId="77777777" w:rsidR="00DA7023" w:rsidRPr="00700045" w:rsidRDefault="00DA7023" w:rsidP="00DA7023">
      <w:pPr>
        <w:spacing w:before="100" w:beforeAutospacing="1" w:after="240"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Merece destaque, nos documentos orientadores, a proposição de um modelo de universidade inovadora, com compromisso social, voltada à formação para o desenvolvimento humano integral e aberta a novas metodologias. Inclui-se, aí, uma proposição de inovação, ressaltando-se “Investir na realização de pesquisas aplicadas de alto impacto regional, nacional e internacional”, contemplada pela perspectiva de inclusão.</w:t>
      </w:r>
    </w:p>
    <w:p w14:paraId="1A8454EF" w14:textId="77777777" w:rsidR="00DA7023" w:rsidRPr="00BD1CCE" w:rsidRDefault="00DA7023" w:rsidP="00DA7023">
      <w:pPr>
        <w:ind w:left="2268"/>
        <w:jc w:val="both"/>
        <w:rPr>
          <w:rFonts w:asciiTheme="majorHAnsi" w:hAnsiTheme="majorHAnsi" w:cstheme="majorHAnsi"/>
          <w:sz w:val="20"/>
          <w:szCs w:val="20"/>
        </w:rPr>
      </w:pPr>
      <w:r w:rsidRPr="00BD1CCE">
        <w:rPr>
          <w:rFonts w:asciiTheme="majorHAnsi" w:hAnsiTheme="majorHAnsi" w:cstheme="majorHAnsi"/>
          <w:sz w:val="20"/>
          <w:szCs w:val="20"/>
        </w:rPr>
        <w:t>[...] propostas curriculares inovadoras, como a defendida pela UnDF, pressupõem, dentre outros elementos, a opção pela formação de indivíduos com consciência ética para trabalhar em uma realidade social e econômica preocupada com o desenvolvimento humano integral e com a sustentabilidade da própria instituição. (CEBRASPE, 2021, p. 131).</w:t>
      </w:r>
    </w:p>
    <w:p w14:paraId="61BB1CAE" w14:textId="77777777" w:rsidR="00DA7023" w:rsidRPr="00BD1CCE" w:rsidRDefault="00DA7023" w:rsidP="00DA7023">
      <w:pPr>
        <w:ind w:left="2268"/>
        <w:jc w:val="both"/>
        <w:rPr>
          <w:rFonts w:asciiTheme="majorHAnsi" w:hAnsiTheme="majorHAnsi" w:cstheme="majorHAnsi"/>
          <w:sz w:val="20"/>
          <w:szCs w:val="20"/>
        </w:rPr>
      </w:pPr>
    </w:p>
    <w:p w14:paraId="62482077"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Na construção do conceito de inovação edificante ou emancipatória, “[...] a UnDF é criada frente à possibilidade de avançar na construção de uma proposta de engajamento coletivo” (CEBRASPE, 2021, documento on-line). Os princípios de coparticipação e de inovação estão presentes em diversos documentos:</w:t>
      </w:r>
    </w:p>
    <w:p w14:paraId="04126C98" w14:textId="77777777" w:rsidR="00DA7023" w:rsidRPr="00BD1CCE" w:rsidRDefault="00DA7023" w:rsidP="00DA7023">
      <w:pPr>
        <w:spacing w:line="120" w:lineRule="auto"/>
        <w:ind w:firstLine="709"/>
        <w:jc w:val="both"/>
        <w:rPr>
          <w:rFonts w:asciiTheme="majorHAnsi" w:hAnsiTheme="majorHAnsi" w:cstheme="majorHAnsi"/>
        </w:rPr>
      </w:pPr>
    </w:p>
    <w:p w14:paraId="51DCC441" w14:textId="77777777" w:rsidR="00DA7023" w:rsidRPr="00BD1CCE" w:rsidRDefault="00DA7023" w:rsidP="00DA7023">
      <w:pPr>
        <w:spacing w:after="240"/>
        <w:ind w:left="2268"/>
        <w:jc w:val="both"/>
        <w:rPr>
          <w:rFonts w:asciiTheme="majorHAnsi" w:hAnsiTheme="majorHAnsi" w:cstheme="majorHAnsi"/>
          <w:sz w:val="20"/>
          <w:szCs w:val="20"/>
        </w:rPr>
      </w:pPr>
      <w:r w:rsidRPr="00BD1CCE">
        <w:rPr>
          <w:rFonts w:asciiTheme="majorHAnsi" w:hAnsiTheme="majorHAnsi" w:cstheme="majorHAnsi"/>
          <w:sz w:val="20"/>
          <w:szCs w:val="20"/>
        </w:rPr>
        <w:t xml:space="preserve">Consiste na criação de formas para estimular o protagonismo dos atores, promovendo inclusão, diálogo e participação coletiva por meio de práticas de integração, intercâmbio e cooperação, utilizando tecnologias de ponta e metodologias criativas capazes de provocar mudanças contextualizadas e de trazer novas maneiras de pensar e de agir no contexto interno da UnDF e em sua relação com o ambiente externo. (CEBRASPE, 2022, p. 30). </w:t>
      </w:r>
    </w:p>
    <w:p w14:paraId="1D61E4EE" w14:textId="42680510" w:rsidR="00DA7023" w:rsidRPr="00BD1CCE" w:rsidRDefault="00DA7023" w:rsidP="00700045">
      <w:pPr>
        <w:pStyle w:val="Textodecomentrio"/>
        <w:spacing w:line="276" w:lineRule="auto"/>
        <w:ind w:firstLine="709"/>
        <w:jc w:val="both"/>
        <w:rPr>
          <w:rFonts w:asciiTheme="majorHAnsi" w:hAnsiTheme="majorHAnsi" w:cstheme="majorHAnsi"/>
          <w:sz w:val="24"/>
          <w:szCs w:val="24"/>
        </w:rPr>
      </w:pPr>
      <w:r w:rsidRPr="00BD1CCE">
        <w:rPr>
          <w:rFonts w:asciiTheme="majorHAnsi" w:hAnsiTheme="majorHAnsi" w:cstheme="majorHAnsi"/>
          <w:sz w:val="24"/>
          <w:szCs w:val="24"/>
        </w:rPr>
        <w:t>O respeito e o compromisso com o desenvolvimento sustentável são marcantes nos documentos propositivos da política, com especial ênfase à proposição do PDI. (CEBRASPE, 2022).</w:t>
      </w:r>
    </w:p>
    <w:p w14:paraId="4F9846D7" w14:textId="77777777" w:rsidR="00DA7023" w:rsidRPr="00BD1CCE" w:rsidRDefault="00DA7023" w:rsidP="00DA7023">
      <w:pPr>
        <w:pStyle w:val="Textodecomentrio"/>
        <w:spacing w:line="276" w:lineRule="auto"/>
        <w:jc w:val="both"/>
        <w:rPr>
          <w:rFonts w:asciiTheme="majorHAnsi" w:hAnsiTheme="majorHAnsi" w:cstheme="majorHAnsi"/>
          <w:sz w:val="24"/>
          <w:szCs w:val="24"/>
        </w:rPr>
      </w:pPr>
    </w:p>
    <w:p w14:paraId="1FE291C8" w14:textId="77777777" w:rsidR="00DA7023" w:rsidRPr="00BD1CCE" w:rsidRDefault="00DA7023" w:rsidP="00DA7023">
      <w:pPr>
        <w:spacing w:after="240"/>
        <w:ind w:left="2268"/>
        <w:jc w:val="both"/>
        <w:rPr>
          <w:rFonts w:asciiTheme="majorHAnsi" w:hAnsiTheme="majorHAnsi" w:cstheme="majorHAnsi"/>
          <w:i/>
          <w:iCs/>
          <w:sz w:val="20"/>
          <w:szCs w:val="20"/>
        </w:rPr>
      </w:pPr>
      <w:r w:rsidRPr="00BD1CCE">
        <w:rPr>
          <w:rFonts w:asciiTheme="majorHAnsi" w:hAnsiTheme="majorHAnsi" w:cstheme="majorHAnsi"/>
          <w:sz w:val="20"/>
          <w:szCs w:val="20"/>
        </w:rPr>
        <w:lastRenderedPageBreak/>
        <w:t>Ser uma universidade com gestão de excelência, inovadora, inclusiva e tecnologicamente avançada e orientada para a formação de profissionais que revelem postura cidadã̃, crítica, democrática e ética frente aos desafios nacionais e internacionais, bem como compromisso com a transformação da sociedade e o desenvolvimento sustentável. (CEBRASPE, 2022, p. 25).</w:t>
      </w:r>
    </w:p>
    <w:p w14:paraId="11948069" w14:textId="77777777" w:rsidR="00700045" w:rsidRDefault="00700045" w:rsidP="00DA7023">
      <w:pPr>
        <w:spacing w:line="360" w:lineRule="auto"/>
        <w:ind w:firstLine="708"/>
        <w:jc w:val="both"/>
        <w:rPr>
          <w:rFonts w:asciiTheme="majorHAnsi" w:hAnsiTheme="majorHAnsi" w:cstheme="majorHAnsi"/>
          <w:sz w:val="24"/>
          <w:szCs w:val="24"/>
        </w:rPr>
      </w:pPr>
    </w:p>
    <w:p w14:paraId="51FF59CE" w14:textId="0F7B8B1D"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No item Pesquisa do documento propositivo do PDI, fica destacada a necessidade de redes de pesquisa, cujo Objetivo 3 afirma “Fomentar a participação da UnDF em redes de pesquisa, a fim de definir e incrementar formas de participação da UnDF em redes de universidades com visão nacional e internacional visando a criar oportunidades para a comunidade acadêmica” (CEBRASPE, 2022, p. 37). Já o Objetivo 6 tem como diretriz promover a internacionalização da instituição (CEBRASPE, 2022).</w:t>
      </w:r>
    </w:p>
    <w:p w14:paraId="4C251DDC"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É importante destacar o registro de uma construção da política de internacionalização genuína para a UnDF. Apesar de a proposta ter sido alimentada a partir de diferentes fontes bibliográficas, documentais e </w:t>
      </w:r>
      <w:r w:rsidRPr="00700045">
        <w:rPr>
          <w:rFonts w:asciiTheme="majorHAnsi" w:hAnsiTheme="majorHAnsi" w:cstheme="majorHAnsi"/>
          <w:i/>
          <w:iCs/>
          <w:sz w:val="24"/>
          <w:szCs w:val="24"/>
        </w:rPr>
        <w:t>benchmarks</w:t>
      </w:r>
      <w:r w:rsidRPr="00700045">
        <w:rPr>
          <w:rFonts w:asciiTheme="majorHAnsi" w:hAnsiTheme="majorHAnsi" w:cstheme="majorHAnsi"/>
          <w:sz w:val="24"/>
          <w:szCs w:val="24"/>
        </w:rPr>
        <w:t>, é “imprescindível que a UnDF defina políticas institucionais que contribuam para a construção de sua marca e identidade” (CEBRASPE, 2021, documento on-line).</w:t>
      </w:r>
    </w:p>
    <w:p w14:paraId="46F75B96"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Além dos aspectos anteriormente citados que caracterizam o </w:t>
      </w:r>
      <w:r w:rsidRPr="00700045">
        <w:rPr>
          <w:rFonts w:asciiTheme="majorHAnsi" w:hAnsiTheme="majorHAnsi" w:cstheme="majorHAnsi"/>
          <w:i/>
          <w:iCs/>
          <w:sz w:val="24"/>
          <w:szCs w:val="24"/>
        </w:rPr>
        <w:t>ethos</w:t>
      </w:r>
      <w:r w:rsidRPr="00700045">
        <w:rPr>
          <w:rFonts w:asciiTheme="majorHAnsi" w:hAnsiTheme="majorHAnsi" w:cstheme="majorHAnsi"/>
          <w:sz w:val="24"/>
          <w:szCs w:val="24"/>
        </w:rPr>
        <w:t xml:space="preserve"> da UnDF, muitos outros poderiam ser apontados, os quais nos levam a acreditar que o conceito de internacionalização proposto se adequa aos princípios da UnDF, ou seja, uma internacionalização integral e intercultural, por meio de redes internacionais colaborativas que preservem os ODS de uma educação inclusiva, equitativa e de qualidade ao longo da vida, constituindo a instituição como um polo irradiador de desenvolvimento cientifico e tecnológico para a região e a nação/mundo. A internacionalização integral ocorre em um ambiente inovador que a UnDF se propõe a construir, fundamentado pela abertura ao avanço tecnológico do conhecimento com compromissos sociais.</w:t>
      </w:r>
    </w:p>
    <w:p w14:paraId="1A815B17" w14:textId="77777777" w:rsidR="00DA7023" w:rsidRPr="00BD1CCE" w:rsidRDefault="00DA7023" w:rsidP="00DA7023">
      <w:pPr>
        <w:spacing w:after="240" w:line="360" w:lineRule="auto"/>
        <w:ind w:firstLine="709"/>
        <w:jc w:val="both"/>
        <w:rPr>
          <w:rFonts w:asciiTheme="majorHAnsi" w:hAnsiTheme="majorHAnsi" w:cstheme="majorHAnsi"/>
        </w:rPr>
      </w:pPr>
      <w:r w:rsidRPr="00700045">
        <w:rPr>
          <w:rFonts w:asciiTheme="majorHAnsi" w:hAnsiTheme="majorHAnsi" w:cstheme="majorHAnsi"/>
          <w:sz w:val="24"/>
          <w:szCs w:val="24"/>
        </w:rPr>
        <w:t>Frente aos arrazoados que buscaram demonstrar a relação entre a política de internacionalização para a UnDF proposta e os marcos normativos que a orientam, nos próximos capítulos serão especificados os objetivos e as políticas que determinam a política de internacionalização.</w:t>
      </w:r>
      <w:r w:rsidRPr="00BD1CCE">
        <w:rPr>
          <w:rFonts w:asciiTheme="majorHAnsi" w:hAnsiTheme="majorHAnsi" w:cstheme="majorHAnsi"/>
        </w:rPr>
        <w:br w:type="page"/>
      </w:r>
    </w:p>
    <w:p w14:paraId="6F9053C6" w14:textId="77777777" w:rsidR="00DA7023" w:rsidRPr="00A44C62" w:rsidRDefault="00DA7023" w:rsidP="00215724">
      <w:pPr>
        <w:pStyle w:val="Ttulo1"/>
        <w:ind w:left="432" w:hanging="432"/>
        <w:rPr>
          <w:rFonts w:asciiTheme="majorHAnsi" w:hAnsiTheme="majorHAnsi" w:cstheme="majorHAnsi"/>
          <w:color w:val="4875BD" w:themeColor="accent1"/>
        </w:rPr>
      </w:pPr>
      <w:r w:rsidRPr="00A44C62">
        <w:rPr>
          <w:rFonts w:asciiTheme="majorHAnsi" w:hAnsiTheme="majorHAnsi" w:cstheme="majorHAnsi"/>
          <w:color w:val="4875BD" w:themeColor="accent1"/>
        </w:rPr>
        <w:lastRenderedPageBreak/>
        <w:t>4. OBJETIVOS DA INTERNACIONALIZAÇÃO DA EDUCAÇÃO SUPERIOR DA UnDF</w:t>
      </w:r>
    </w:p>
    <w:p w14:paraId="0EEACBA4" w14:textId="77777777" w:rsidR="00DA7023" w:rsidRPr="00BD1CCE" w:rsidRDefault="00DA7023" w:rsidP="00DA7023">
      <w:pPr>
        <w:spacing w:line="360" w:lineRule="auto"/>
        <w:rPr>
          <w:rFonts w:asciiTheme="majorHAnsi" w:hAnsiTheme="majorHAnsi" w:cstheme="majorHAnsi"/>
        </w:rPr>
      </w:pPr>
    </w:p>
    <w:p w14:paraId="06F3EF61" w14:textId="77777777" w:rsidR="00DA7023" w:rsidRPr="00700045" w:rsidRDefault="00DA7023" w:rsidP="00DA7023">
      <w:pPr>
        <w:spacing w:line="360" w:lineRule="auto"/>
        <w:ind w:firstLine="709"/>
        <w:jc w:val="both"/>
        <w:rPr>
          <w:rFonts w:asciiTheme="majorHAnsi" w:hAnsiTheme="majorHAnsi" w:cstheme="majorHAnsi"/>
          <w:sz w:val="24"/>
          <w:szCs w:val="24"/>
        </w:rPr>
      </w:pPr>
      <w:r w:rsidRPr="00700045">
        <w:rPr>
          <w:rFonts w:asciiTheme="majorHAnsi" w:hAnsiTheme="majorHAnsi" w:cstheme="majorHAnsi"/>
          <w:spacing w:val="-4"/>
          <w:sz w:val="24"/>
          <w:szCs w:val="24"/>
        </w:rPr>
        <w:t>Nas seções anteriores, foram discutidas, em um primeiro momento, a internacionalização</w:t>
      </w:r>
      <w:r w:rsidRPr="00700045">
        <w:rPr>
          <w:rFonts w:asciiTheme="majorHAnsi" w:hAnsiTheme="majorHAnsi" w:cstheme="majorHAnsi"/>
          <w:sz w:val="24"/>
          <w:szCs w:val="24"/>
        </w:rPr>
        <w:t xml:space="preserve"> da educação superior, global e regionalmente e, em um segundo momento, a perspectiva nacional, pelas especificidades da regulação do sistema da educação superior pelo governo brasileiro. Na perspectiva institucional, o estudo da UnDF buscou as interfaces das perspectivas global, regional e nacional para ressignificar tais políticas para uma universidade distrital pública, inovadora, tecnologicamente avançada e com compromisso social.</w:t>
      </w:r>
    </w:p>
    <w:p w14:paraId="5AB58AC2" w14:textId="3F0B735D" w:rsidR="00DA7023" w:rsidRDefault="00DA7023" w:rsidP="00700045">
      <w:pPr>
        <w:spacing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t>Frente a tais discussões, neste capítulo, vamos consubstanciar a política de internacionalização da educação superior da UnDF, propondo o objetivo geral e os objetivos  específicos.</w:t>
      </w:r>
    </w:p>
    <w:p w14:paraId="35559113" w14:textId="77777777" w:rsidR="00700045" w:rsidRPr="00700045" w:rsidRDefault="00700045" w:rsidP="00700045">
      <w:pPr>
        <w:spacing w:line="360" w:lineRule="auto"/>
        <w:ind w:firstLine="709"/>
        <w:jc w:val="both"/>
        <w:rPr>
          <w:rFonts w:asciiTheme="majorHAnsi" w:hAnsiTheme="majorHAnsi" w:cstheme="majorHAnsi"/>
          <w:sz w:val="24"/>
          <w:szCs w:val="24"/>
        </w:rPr>
      </w:pPr>
    </w:p>
    <w:p w14:paraId="01991836" w14:textId="6F61C310" w:rsidR="00DA7023" w:rsidRPr="00700045" w:rsidRDefault="00700045" w:rsidP="00700045">
      <w:pPr>
        <w:pStyle w:val="Ttulo2"/>
        <w:ind w:left="993" w:hanging="576"/>
        <w:rPr>
          <w:rFonts w:asciiTheme="majorHAnsi" w:hAnsiTheme="majorHAnsi" w:cstheme="majorHAnsi"/>
        </w:rPr>
      </w:pPr>
      <w:r w:rsidRPr="00700045">
        <w:rPr>
          <w:rFonts w:asciiTheme="majorHAnsi" w:hAnsiTheme="majorHAnsi" w:cstheme="majorHAnsi"/>
        </w:rPr>
        <w:t xml:space="preserve">4.1 OBJETIVO GERAL </w:t>
      </w:r>
    </w:p>
    <w:p w14:paraId="69427A06" w14:textId="2EAB5B06" w:rsidR="00DA7023" w:rsidRDefault="00DA7023" w:rsidP="00DA7023">
      <w:pPr>
        <w:spacing w:before="100" w:beforeAutospacing="1" w:after="100" w:afterAutospacing="1"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Desenvolver, consolidar e integrar as dimensões internacional e intercultural no âmbito do ensino, da pesquisa, da extensão, da cultura e da arte e na gestão da universidade, com vistas à excelência acadêmica, à inclusão e ao desenvolvimento de processos formativos contemporâneos que garantam uma educação nos parâmetros de inclusão e desenvolvimento sustentável.</w:t>
      </w:r>
    </w:p>
    <w:p w14:paraId="7ECFB5D7" w14:textId="77777777" w:rsidR="00700045" w:rsidRPr="00700045" w:rsidRDefault="00700045" w:rsidP="00DA7023">
      <w:pPr>
        <w:spacing w:before="100" w:beforeAutospacing="1" w:after="100" w:afterAutospacing="1" w:line="360" w:lineRule="auto"/>
        <w:ind w:firstLine="708"/>
        <w:jc w:val="both"/>
        <w:rPr>
          <w:rFonts w:asciiTheme="majorHAnsi" w:hAnsiTheme="majorHAnsi" w:cstheme="majorHAnsi"/>
          <w:sz w:val="24"/>
          <w:szCs w:val="24"/>
        </w:rPr>
      </w:pPr>
    </w:p>
    <w:p w14:paraId="3D763169" w14:textId="2424CDB0" w:rsidR="00DA7023" w:rsidRPr="00700045" w:rsidRDefault="00700045" w:rsidP="00700045">
      <w:pPr>
        <w:pStyle w:val="Ttulo2"/>
        <w:ind w:left="993" w:hanging="576"/>
        <w:rPr>
          <w:rFonts w:asciiTheme="majorHAnsi" w:hAnsiTheme="majorHAnsi" w:cstheme="majorHAnsi"/>
        </w:rPr>
      </w:pPr>
      <w:r w:rsidRPr="00700045">
        <w:rPr>
          <w:rFonts w:asciiTheme="majorHAnsi" w:hAnsiTheme="majorHAnsi" w:cstheme="majorHAnsi"/>
        </w:rPr>
        <w:t>4.2. OBJETIVOS ESPECÍFICOS</w:t>
      </w:r>
    </w:p>
    <w:p w14:paraId="7A526EBE" w14:textId="77777777" w:rsidR="00DA7023" w:rsidRPr="00700045" w:rsidRDefault="00DA7023" w:rsidP="00DA7023">
      <w:pPr>
        <w:pStyle w:val="PargrafodaLista"/>
        <w:numPr>
          <w:ilvl w:val="0"/>
          <w:numId w:val="18"/>
        </w:numPr>
        <w:tabs>
          <w:tab w:val="clear" w:pos="1615"/>
        </w:tabs>
        <w:spacing w:after="0" w:line="360" w:lineRule="auto"/>
        <w:ind w:left="284" w:hanging="284"/>
        <w:jc w:val="both"/>
        <w:rPr>
          <w:rFonts w:asciiTheme="majorHAnsi" w:hAnsiTheme="majorHAnsi" w:cstheme="majorHAnsi"/>
          <w:sz w:val="24"/>
          <w:szCs w:val="24"/>
        </w:rPr>
      </w:pPr>
      <w:r w:rsidRPr="00700045">
        <w:rPr>
          <w:rFonts w:asciiTheme="majorHAnsi" w:hAnsiTheme="majorHAnsi" w:cstheme="majorHAnsi"/>
          <w:sz w:val="24"/>
          <w:szCs w:val="24"/>
        </w:rPr>
        <w:t xml:space="preserve">Construir a política genuína de internacionalização da UnDF em coparticipação com os diferentes atores acadêmicos e administrativos que a integram; </w:t>
      </w:r>
    </w:p>
    <w:p w14:paraId="476F7AEA" w14:textId="77777777" w:rsidR="00DA7023" w:rsidRPr="00700045" w:rsidRDefault="00DA7023" w:rsidP="00DA7023">
      <w:pPr>
        <w:pStyle w:val="PargrafodaLista"/>
        <w:numPr>
          <w:ilvl w:val="0"/>
          <w:numId w:val="18"/>
        </w:numPr>
        <w:tabs>
          <w:tab w:val="clear" w:pos="1615"/>
        </w:tabs>
        <w:spacing w:after="0" w:line="360" w:lineRule="auto"/>
        <w:ind w:left="284" w:hanging="284"/>
        <w:jc w:val="both"/>
        <w:rPr>
          <w:rFonts w:asciiTheme="majorHAnsi" w:hAnsiTheme="majorHAnsi" w:cstheme="majorHAnsi"/>
          <w:sz w:val="24"/>
          <w:szCs w:val="24"/>
        </w:rPr>
      </w:pPr>
      <w:r w:rsidRPr="00700045">
        <w:rPr>
          <w:rFonts w:asciiTheme="majorHAnsi" w:hAnsiTheme="majorHAnsi" w:cstheme="majorHAnsi"/>
          <w:sz w:val="24"/>
          <w:szCs w:val="24"/>
        </w:rPr>
        <w:t>Fomentar a internacionalização na integralidade da instituição, nas perspectivas acadêmica e de gestão administrativa, buscando atender à qualificação da UnDF na construção de um percurso de excelência;</w:t>
      </w:r>
    </w:p>
    <w:p w14:paraId="1ACB41A5" w14:textId="77777777" w:rsidR="00DA7023" w:rsidRPr="00700045" w:rsidRDefault="00DA7023" w:rsidP="00DA7023">
      <w:pPr>
        <w:pStyle w:val="PargrafodaLista"/>
        <w:numPr>
          <w:ilvl w:val="0"/>
          <w:numId w:val="18"/>
        </w:numPr>
        <w:tabs>
          <w:tab w:val="clear" w:pos="1615"/>
        </w:tabs>
        <w:spacing w:after="0" w:line="360" w:lineRule="auto"/>
        <w:ind w:left="284" w:hanging="284"/>
        <w:jc w:val="both"/>
        <w:rPr>
          <w:rFonts w:asciiTheme="majorHAnsi" w:hAnsiTheme="majorHAnsi" w:cstheme="majorHAnsi"/>
          <w:sz w:val="24"/>
          <w:szCs w:val="24"/>
        </w:rPr>
      </w:pPr>
      <w:r w:rsidRPr="00700045">
        <w:rPr>
          <w:rFonts w:asciiTheme="majorHAnsi" w:hAnsiTheme="majorHAnsi" w:cstheme="majorHAnsi"/>
          <w:sz w:val="24"/>
          <w:szCs w:val="24"/>
        </w:rPr>
        <w:lastRenderedPageBreak/>
        <w:t>Fomentar a internacionalização em casa (IaH), de forma presencial e virtual, buscando garantir uma formação de qualidade internacional e intercultural a todos os estudantes/docentes/técnicos-administrativos, como subsídio à construção de uma universidade inovadora com compromisso social;</w:t>
      </w:r>
    </w:p>
    <w:p w14:paraId="02A21A3B" w14:textId="77777777" w:rsidR="00DA7023" w:rsidRPr="00700045" w:rsidRDefault="00DA7023" w:rsidP="00DA7023">
      <w:pPr>
        <w:pStyle w:val="PargrafodaLista"/>
        <w:numPr>
          <w:ilvl w:val="0"/>
          <w:numId w:val="18"/>
        </w:numPr>
        <w:tabs>
          <w:tab w:val="clear" w:pos="1615"/>
        </w:tabs>
        <w:spacing w:after="0" w:line="360" w:lineRule="auto"/>
        <w:ind w:left="284" w:hanging="284"/>
        <w:jc w:val="both"/>
        <w:rPr>
          <w:rFonts w:asciiTheme="majorHAnsi" w:hAnsiTheme="majorHAnsi" w:cstheme="majorHAnsi"/>
          <w:sz w:val="24"/>
          <w:szCs w:val="24"/>
        </w:rPr>
      </w:pPr>
      <w:r w:rsidRPr="00700045">
        <w:rPr>
          <w:rFonts w:asciiTheme="majorHAnsi" w:hAnsiTheme="majorHAnsi" w:cstheme="majorHAnsi"/>
          <w:sz w:val="24"/>
          <w:szCs w:val="24"/>
        </w:rPr>
        <w:t xml:space="preserve">Promover a criação e a consolidação de redes colaborativas internacionais visando ao desenvolvimento da internacionalização da UnDF, com vistas a transformar a instituição em polo irradiador de conhecimento para a região/nação; e </w:t>
      </w:r>
    </w:p>
    <w:p w14:paraId="1FD50142" w14:textId="14FF85C1" w:rsidR="00215724" w:rsidRPr="00700045" w:rsidRDefault="00DA7023" w:rsidP="00DA7023">
      <w:pPr>
        <w:pStyle w:val="PargrafodaLista"/>
        <w:numPr>
          <w:ilvl w:val="0"/>
          <w:numId w:val="18"/>
        </w:numPr>
        <w:tabs>
          <w:tab w:val="clear" w:pos="1615"/>
        </w:tabs>
        <w:spacing w:after="0" w:line="360" w:lineRule="auto"/>
        <w:ind w:left="284" w:hanging="284"/>
        <w:jc w:val="both"/>
        <w:rPr>
          <w:rFonts w:asciiTheme="majorHAnsi" w:hAnsiTheme="majorHAnsi" w:cstheme="majorHAnsi"/>
          <w:sz w:val="24"/>
          <w:szCs w:val="24"/>
        </w:rPr>
      </w:pPr>
      <w:r w:rsidRPr="00700045">
        <w:rPr>
          <w:rFonts w:asciiTheme="majorHAnsi" w:hAnsiTheme="majorHAnsi" w:cstheme="majorHAnsi"/>
          <w:sz w:val="24"/>
          <w:szCs w:val="24"/>
        </w:rPr>
        <w:t>Fomentar os intercâmbios para o desenvolvimento de pessoas, conhecimentos e processos por meio de acordos de reciprocidade com instituições internacionais parceiras.</w:t>
      </w:r>
    </w:p>
    <w:p w14:paraId="29BB0412" w14:textId="77777777" w:rsidR="00215724" w:rsidRDefault="00215724">
      <w:pPr>
        <w:tabs>
          <w:tab w:val="clear" w:pos="1615"/>
        </w:tabs>
        <w:spacing w:line="259" w:lineRule="auto"/>
        <w:rPr>
          <w:rFonts w:asciiTheme="majorHAnsi" w:hAnsiTheme="majorHAnsi" w:cstheme="majorHAnsi"/>
        </w:rPr>
      </w:pPr>
      <w:r>
        <w:rPr>
          <w:rFonts w:asciiTheme="majorHAnsi" w:hAnsiTheme="majorHAnsi" w:cstheme="majorHAnsi"/>
        </w:rPr>
        <w:br w:type="page"/>
      </w:r>
    </w:p>
    <w:p w14:paraId="499E00D1" w14:textId="77777777" w:rsidR="00DA7023" w:rsidRPr="00A44C62" w:rsidRDefault="00DA7023" w:rsidP="00215724">
      <w:pPr>
        <w:pStyle w:val="Ttulo1"/>
        <w:ind w:left="432" w:hanging="432"/>
        <w:rPr>
          <w:rFonts w:asciiTheme="majorHAnsi" w:hAnsiTheme="majorHAnsi" w:cstheme="majorHAnsi"/>
          <w:color w:val="4875BD" w:themeColor="accent1"/>
        </w:rPr>
      </w:pPr>
      <w:r w:rsidRPr="00A44C62">
        <w:rPr>
          <w:rFonts w:asciiTheme="majorHAnsi" w:hAnsiTheme="majorHAnsi" w:cstheme="majorHAnsi"/>
          <w:color w:val="4875BD" w:themeColor="accent1"/>
        </w:rPr>
        <w:lastRenderedPageBreak/>
        <w:t xml:space="preserve">5. POLÍTICAS DA INTERNACIONALIZAÇÃO DA EDUCAÇÃO DA UnDF </w:t>
      </w:r>
    </w:p>
    <w:p w14:paraId="4D92397A" w14:textId="77777777" w:rsidR="00DA7023" w:rsidRPr="00BD1CCE" w:rsidRDefault="00DA7023" w:rsidP="00DA7023">
      <w:pPr>
        <w:spacing w:line="360" w:lineRule="auto"/>
        <w:jc w:val="both"/>
        <w:rPr>
          <w:rFonts w:asciiTheme="majorHAnsi" w:hAnsiTheme="majorHAnsi" w:cstheme="majorHAnsi"/>
        </w:rPr>
      </w:pPr>
    </w:p>
    <w:p w14:paraId="7DB3D834"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A proposição de uma política de internacionalização para a UnDF, além de ser constituída por uma revisão bibliográfica e documental, já apresentadas, que fundamentaram a opção por uma episteme de internacionalização integral, formada pela </w:t>
      </w:r>
      <w:r w:rsidRPr="00700045">
        <w:rPr>
          <w:rFonts w:asciiTheme="majorHAnsi" w:hAnsiTheme="majorHAnsi" w:cstheme="majorHAnsi"/>
          <w:sz w:val="24"/>
          <w:szCs w:val="24"/>
          <w:lang w:val="pt-PT"/>
        </w:rPr>
        <w:t>IoC</w:t>
      </w:r>
      <w:r w:rsidRPr="00700045">
        <w:rPr>
          <w:rFonts w:asciiTheme="majorHAnsi" w:hAnsiTheme="majorHAnsi" w:cstheme="majorHAnsi"/>
          <w:sz w:val="24"/>
          <w:szCs w:val="24"/>
        </w:rPr>
        <w:t xml:space="preserve">, pela mobilidade e pela IaH, de forma </w:t>
      </w:r>
      <w:r w:rsidRPr="00700045">
        <w:rPr>
          <w:rFonts w:asciiTheme="majorHAnsi" w:hAnsiTheme="majorHAnsi" w:cstheme="majorHAnsi"/>
        </w:rPr>
        <w:t>presencial e/ou virtual, decorre, também, da análise de políticas de internacionalização de IES brasileiras.</w:t>
      </w:r>
    </w:p>
    <w:p w14:paraId="777A4FC1"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Assim, o presente capítulo, em um primeiro item, abarca o estudo de políticas/planos de internacionalização de IES do país que foram selecionadas pelo edital </w:t>
      </w:r>
      <w:r w:rsidRPr="00700045">
        <w:rPr>
          <w:rFonts w:asciiTheme="majorHAnsi" w:hAnsiTheme="majorHAnsi" w:cstheme="majorHAnsi"/>
          <w:bCs/>
          <w:sz w:val="24"/>
          <w:szCs w:val="24"/>
        </w:rPr>
        <w:t>CAPES-PrInt</w:t>
      </w:r>
      <w:r w:rsidRPr="00700045">
        <w:rPr>
          <w:rFonts w:asciiTheme="majorHAnsi" w:hAnsiTheme="majorHAnsi" w:cstheme="majorHAnsi"/>
          <w:sz w:val="24"/>
          <w:szCs w:val="24"/>
        </w:rPr>
        <w:t xml:space="preserve">. Os critérios de seleção dessa fonte de pesquisa foram a qualidade, decorrente de serem oriundas dos 36 melhores projetos de internacionalização selecionados pelo programa, e a disponibilidade na internet. Tais materiais são constitutivos de um banco de dados (UNIVERSITAS/RIES, 2021) e transformam-se em </w:t>
      </w:r>
      <w:r w:rsidRPr="00700045">
        <w:rPr>
          <w:rFonts w:asciiTheme="majorHAnsi" w:hAnsiTheme="majorHAnsi" w:cstheme="majorHAnsi"/>
          <w:i/>
          <w:iCs/>
          <w:sz w:val="24"/>
          <w:szCs w:val="24"/>
        </w:rPr>
        <w:t>benchmark</w:t>
      </w:r>
      <w:r w:rsidRPr="00700045">
        <w:rPr>
          <w:rFonts w:asciiTheme="majorHAnsi" w:hAnsiTheme="majorHAnsi" w:cstheme="majorHAnsi"/>
          <w:sz w:val="24"/>
          <w:szCs w:val="24"/>
        </w:rPr>
        <w:t xml:space="preserve"> para a proposição de políticas de internacionalização para a UnDF, apresentadas no segundo item.</w:t>
      </w:r>
    </w:p>
    <w:p w14:paraId="2A528B89" w14:textId="77777777" w:rsidR="00DA7023" w:rsidRPr="00BD1CCE" w:rsidRDefault="00DA7023" w:rsidP="00DA7023">
      <w:pPr>
        <w:spacing w:line="360" w:lineRule="auto"/>
        <w:jc w:val="both"/>
        <w:rPr>
          <w:rFonts w:asciiTheme="majorHAnsi" w:hAnsiTheme="majorHAnsi" w:cstheme="majorHAnsi"/>
        </w:rPr>
      </w:pPr>
    </w:p>
    <w:p w14:paraId="3BBFDA51" w14:textId="5DE1A821" w:rsidR="00DA7023" w:rsidRPr="00215724" w:rsidRDefault="00215724" w:rsidP="00215724">
      <w:pPr>
        <w:pStyle w:val="Ttulo2"/>
        <w:ind w:left="993" w:hanging="576"/>
        <w:rPr>
          <w:rFonts w:asciiTheme="majorHAnsi" w:hAnsiTheme="majorHAnsi" w:cstheme="majorHAnsi"/>
        </w:rPr>
      </w:pPr>
      <w:r w:rsidRPr="00215724">
        <w:rPr>
          <w:rFonts w:asciiTheme="majorHAnsi" w:hAnsiTheme="majorHAnsi" w:cstheme="majorHAnsi"/>
        </w:rPr>
        <w:t>5.1. POLÍTICAS INSTITUCIONAIS DE INTERNACIONALIZAÇÃO NO BRASIL</w:t>
      </w:r>
    </w:p>
    <w:p w14:paraId="5998548B" w14:textId="1BB7DB55" w:rsidR="00DA7023" w:rsidRPr="00700045" w:rsidRDefault="00DA7023" w:rsidP="00215724">
      <w:pPr>
        <w:spacing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t>A existência de políticas institucionais de internacionalização é relativamente recente nas IES brasileiras, verificada em poucas instituições. Inclusive, não há clareza no uso do(s) termo(s) política(s), sendo, muitas vezes, substituído(s) pelo(s) termo(s) plano(s), o que não significa dizer que eles não abordem o mesmo construto. Ou seja, tanto política(s) quanto plano(s) podem apresentar a mesma forma e conteúdo e não, necessariamente, o primeiro abordar a filosofia fundamentadora e segundo abordar as estratégias.</w:t>
      </w:r>
    </w:p>
    <w:p w14:paraId="43F02D9D" w14:textId="77777777" w:rsidR="00DA7023" w:rsidRPr="00700045" w:rsidRDefault="00DA7023" w:rsidP="00DA7023">
      <w:pPr>
        <w:spacing w:line="360" w:lineRule="auto"/>
        <w:ind w:firstLine="708"/>
        <w:jc w:val="both"/>
        <w:rPr>
          <w:rStyle w:val="normaltextrun"/>
          <w:rFonts w:asciiTheme="majorHAnsi" w:hAnsiTheme="majorHAnsi" w:cstheme="majorHAnsi"/>
          <w:sz w:val="24"/>
          <w:szCs w:val="24"/>
        </w:rPr>
      </w:pPr>
      <w:r w:rsidRPr="00700045">
        <w:rPr>
          <w:rFonts w:asciiTheme="majorHAnsi" w:hAnsiTheme="majorHAnsi" w:cstheme="majorHAnsi"/>
          <w:sz w:val="24"/>
          <w:szCs w:val="24"/>
        </w:rPr>
        <w:t xml:space="preserve">No Brasil, a criação e a expansão das políticas de internacionalização apresentam antecedentes, já abordados no item 2.3.3 deste documento, como o Programa PEC-G e PEC-PG, o primeiro criado em 1965 e o segundo em 1981 sob a égide do Ministério de Relações Exteriores (MRE), Ministério de Educação (MEC) e instituições de educação superior brasileiras para estudantes de países em desenvolvimento cursarem a graduação ou a pós-graduação no país; </w:t>
      </w:r>
      <w:r w:rsidRPr="00700045">
        <w:rPr>
          <w:rFonts w:asciiTheme="majorHAnsi" w:hAnsiTheme="majorHAnsi" w:cstheme="majorHAnsi"/>
          <w:sz w:val="24"/>
          <w:szCs w:val="24"/>
        </w:rPr>
        <w:lastRenderedPageBreak/>
        <w:t xml:space="preserve">também contribui para a internacionalização o Programa Ciências sem Fronteiras (CNPq/CAPES), criado em 2011 pelo Decreto n. 7642/11. Mais recentemente, um dos fatores constitutivos da politica de internacionalização é o </w:t>
      </w:r>
      <w:r w:rsidRPr="00700045">
        <w:rPr>
          <w:rStyle w:val="normaltextrun"/>
          <w:rFonts w:asciiTheme="majorHAnsi" w:hAnsiTheme="majorHAnsi" w:cstheme="majorHAnsi"/>
          <w:sz w:val="24"/>
          <w:szCs w:val="24"/>
          <w:shd w:val="clear" w:color="auto" w:fill="FFFFFF"/>
        </w:rPr>
        <w:t xml:space="preserve">atual programa de fomento do Governo Federal à internacionalização das IES denominado </w:t>
      </w:r>
      <w:r w:rsidRPr="00700045">
        <w:rPr>
          <w:rFonts w:asciiTheme="majorHAnsi" w:hAnsiTheme="majorHAnsi" w:cstheme="majorHAnsi"/>
          <w:bCs/>
          <w:sz w:val="24"/>
          <w:szCs w:val="24"/>
        </w:rPr>
        <w:t>CAPES-PrInt</w:t>
      </w:r>
      <w:r w:rsidRPr="00700045">
        <w:rPr>
          <w:rStyle w:val="normaltextrun"/>
          <w:rFonts w:asciiTheme="majorHAnsi" w:hAnsiTheme="majorHAnsi" w:cstheme="majorHAnsi"/>
          <w:sz w:val="24"/>
          <w:szCs w:val="24"/>
          <w:shd w:val="clear" w:color="auto" w:fill="FFFFFF"/>
        </w:rPr>
        <w:t xml:space="preserve">. Ele foi criado em 2017 pela CAPES com o objetivo de fomentar o desenvolvimento e a consolidação de planos institucionais de internacionalização nas instituições participantes. </w:t>
      </w:r>
    </w:p>
    <w:p w14:paraId="7012C70F" w14:textId="77777777" w:rsidR="00DA7023" w:rsidRPr="00700045" w:rsidRDefault="00DA7023" w:rsidP="00DA7023">
      <w:pPr>
        <w:spacing w:line="360" w:lineRule="auto"/>
        <w:ind w:firstLine="709"/>
        <w:jc w:val="both"/>
        <w:rPr>
          <w:rStyle w:val="normaltextrun"/>
          <w:rFonts w:asciiTheme="majorHAnsi" w:hAnsiTheme="majorHAnsi" w:cstheme="majorHAnsi"/>
          <w:sz w:val="24"/>
          <w:szCs w:val="24"/>
          <w:shd w:val="clear" w:color="auto" w:fill="FFFFFF"/>
        </w:rPr>
      </w:pPr>
      <w:r w:rsidRPr="00700045">
        <w:rPr>
          <w:rStyle w:val="normaltextrun"/>
          <w:rFonts w:asciiTheme="majorHAnsi" w:hAnsiTheme="majorHAnsi" w:cstheme="majorHAnsi"/>
          <w:sz w:val="24"/>
          <w:szCs w:val="24"/>
          <w:shd w:val="clear" w:color="auto" w:fill="FFFFFF"/>
        </w:rPr>
        <w:t xml:space="preserve">Ainda, o </w:t>
      </w:r>
      <w:r w:rsidRPr="00700045">
        <w:rPr>
          <w:rFonts w:asciiTheme="majorHAnsi" w:hAnsiTheme="majorHAnsi" w:cstheme="majorHAnsi"/>
          <w:bCs/>
          <w:sz w:val="24"/>
          <w:szCs w:val="24"/>
        </w:rPr>
        <w:t>CAPES-PrInt</w:t>
      </w:r>
      <w:r w:rsidRPr="00700045" w:rsidDel="009A1D83">
        <w:rPr>
          <w:rStyle w:val="normaltextrun"/>
          <w:rFonts w:asciiTheme="majorHAnsi" w:hAnsiTheme="majorHAnsi" w:cstheme="majorHAnsi"/>
          <w:sz w:val="24"/>
          <w:szCs w:val="24"/>
          <w:shd w:val="clear" w:color="auto" w:fill="FFFFFF"/>
        </w:rPr>
        <w:t xml:space="preserve"> </w:t>
      </w:r>
      <w:r w:rsidRPr="00700045">
        <w:rPr>
          <w:rStyle w:val="normaltextrun"/>
          <w:rFonts w:asciiTheme="majorHAnsi" w:hAnsiTheme="majorHAnsi" w:cstheme="majorHAnsi"/>
          <w:sz w:val="24"/>
          <w:szCs w:val="24"/>
          <w:shd w:val="clear" w:color="auto" w:fill="FFFFFF"/>
        </w:rPr>
        <w:t xml:space="preserve">tem como escopo o incentivo à criação de redes de pesquisa internacionais que promovam a melhoria da qualidade da produção científica, a ampliação das ações de internacionalização nos programas de pós-graduação das IES participantes, a promoção da mobilidade acadêmica de estudantes e docentes para o exterior, bem como a captação de estudantes e docentes internacionais para realizarem intercâmbios no Brasil, fomentando, dessa forma, a criação de uma cultura internacional nessas instituições (CAPES, 2017). </w:t>
      </w:r>
    </w:p>
    <w:p w14:paraId="1B6B814A" w14:textId="77777777" w:rsidR="00DA7023" w:rsidRPr="00700045" w:rsidRDefault="00DA7023" w:rsidP="00DA7023">
      <w:pPr>
        <w:spacing w:line="360" w:lineRule="auto"/>
        <w:ind w:firstLine="709"/>
        <w:jc w:val="both"/>
        <w:rPr>
          <w:rStyle w:val="normaltextrun"/>
          <w:rFonts w:asciiTheme="majorHAnsi" w:hAnsiTheme="majorHAnsi" w:cstheme="majorHAnsi"/>
          <w:sz w:val="24"/>
          <w:szCs w:val="24"/>
          <w:shd w:val="clear" w:color="auto" w:fill="FFFFFF"/>
        </w:rPr>
      </w:pPr>
      <w:r w:rsidRPr="00700045">
        <w:rPr>
          <w:rStyle w:val="normaltextrun"/>
          <w:rFonts w:asciiTheme="majorHAnsi" w:hAnsiTheme="majorHAnsi" w:cstheme="majorHAnsi"/>
          <w:sz w:val="24"/>
          <w:szCs w:val="24"/>
          <w:shd w:val="clear" w:color="auto" w:fill="FFFFFF"/>
        </w:rPr>
        <w:t xml:space="preserve">Esse programa de fomento à internacionalização das IES brasileiras tem a previsão de duração de até quatro anos (2018-2022) e, para sua execução, estão previstos recursos para o financiamento de ações no exterior, como missões de trabalho e pesquisa, e bolsas de estudo para doutorado sanduíche, professor visitante júnior e visitante sênior, e participação em capacitação em cursos de curta duração ou </w:t>
      </w:r>
      <w:r w:rsidRPr="00700045">
        <w:rPr>
          <w:rStyle w:val="normaltextrun"/>
          <w:rFonts w:asciiTheme="majorHAnsi" w:hAnsiTheme="majorHAnsi" w:cstheme="majorHAnsi"/>
          <w:i/>
          <w:iCs/>
          <w:sz w:val="24"/>
          <w:szCs w:val="24"/>
          <w:shd w:val="clear" w:color="auto" w:fill="FFFFFF"/>
        </w:rPr>
        <w:t>summer/winter schools</w:t>
      </w:r>
      <w:r w:rsidRPr="00700045">
        <w:rPr>
          <w:rStyle w:val="normaltextrun"/>
          <w:rFonts w:asciiTheme="majorHAnsi" w:hAnsiTheme="majorHAnsi" w:cstheme="majorHAnsi"/>
          <w:sz w:val="24"/>
          <w:szCs w:val="24"/>
          <w:shd w:val="clear" w:color="auto" w:fill="FFFFFF"/>
        </w:rPr>
        <w:t xml:space="preserve">. É previsto, ainda, o financiamento de bolsas no Brasil para atração de professores visitantes, jovens talentos e pesquisadores para estágio pós-doutoral (CAPES, 2017). </w:t>
      </w:r>
    </w:p>
    <w:p w14:paraId="064BAAA9"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Style w:val="normaltextrun"/>
          <w:rFonts w:asciiTheme="majorHAnsi" w:hAnsiTheme="majorHAnsi" w:cstheme="majorHAnsi"/>
          <w:sz w:val="24"/>
          <w:szCs w:val="24"/>
          <w:shd w:val="clear" w:color="auto" w:fill="FFFFFF"/>
        </w:rPr>
        <w:t xml:space="preserve">Em uma análise preliminar </w:t>
      </w:r>
      <w:r w:rsidRPr="00700045">
        <w:rPr>
          <w:rFonts w:asciiTheme="majorHAnsi" w:hAnsiTheme="majorHAnsi" w:cstheme="majorHAnsi"/>
          <w:sz w:val="24"/>
          <w:szCs w:val="24"/>
        </w:rPr>
        <w:t xml:space="preserve">dos planos de internacionalização das universidades participantes do </w:t>
      </w:r>
      <w:r w:rsidRPr="00700045">
        <w:rPr>
          <w:rFonts w:asciiTheme="majorHAnsi" w:hAnsiTheme="majorHAnsi" w:cstheme="majorHAnsi"/>
          <w:bCs/>
          <w:sz w:val="24"/>
          <w:szCs w:val="24"/>
        </w:rPr>
        <w:t>CAPES-PrInt</w:t>
      </w:r>
      <w:r w:rsidRPr="00700045" w:rsidDel="009A1D83">
        <w:rPr>
          <w:rFonts w:asciiTheme="majorHAnsi" w:hAnsiTheme="majorHAnsi" w:cstheme="majorHAnsi"/>
          <w:sz w:val="24"/>
          <w:szCs w:val="24"/>
        </w:rPr>
        <w:t xml:space="preserve"> </w:t>
      </w:r>
      <w:r w:rsidRPr="00700045">
        <w:rPr>
          <w:rFonts w:asciiTheme="majorHAnsi" w:hAnsiTheme="majorHAnsi" w:cstheme="majorHAnsi"/>
          <w:sz w:val="24"/>
          <w:szCs w:val="24"/>
        </w:rPr>
        <w:t xml:space="preserve">(WOICOLESCO </w:t>
      </w:r>
      <w:r w:rsidRPr="00700045">
        <w:rPr>
          <w:rFonts w:asciiTheme="majorHAnsi" w:hAnsiTheme="majorHAnsi" w:cstheme="majorHAnsi"/>
          <w:i/>
          <w:iCs/>
          <w:sz w:val="24"/>
          <w:szCs w:val="24"/>
        </w:rPr>
        <w:t>et al.</w:t>
      </w:r>
      <w:r w:rsidRPr="00700045">
        <w:rPr>
          <w:rFonts w:asciiTheme="majorHAnsi" w:hAnsiTheme="majorHAnsi" w:cstheme="majorHAnsi"/>
          <w:sz w:val="24"/>
          <w:szCs w:val="24"/>
        </w:rPr>
        <w:t xml:space="preserve">, 2022), foi identificado que, em sua seleção final, foram aprovadas 36 universidades: </w:t>
      </w:r>
      <w:r w:rsidRPr="00700045">
        <w:rPr>
          <w:rFonts w:asciiTheme="majorHAnsi" w:hAnsiTheme="majorHAnsi" w:cstheme="majorHAnsi"/>
          <w:sz w:val="24"/>
          <w:szCs w:val="24"/>
          <w:shd w:val="clear" w:color="auto" w:fill="FFFFFF"/>
        </w:rPr>
        <w:t>seis localizadas no Nordeste, duas no Centro-Oeste, 20 no Sudeste, oito na região Sul e nenhuma na região Norte do país (Quadro 1).</w:t>
      </w:r>
    </w:p>
    <w:p w14:paraId="1FDEC068" w14:textId="77777777" w:rsidR="00DA7023" w:rsidRPr="00BD1CCE" w:rsidRDefault="00DA7023" w:rsidP="00DA7023">
      <w:pPr>
        <w:spacing w:line="276" w:lineRule="auto"/>
        <w:ind w:firstLine="709"/>
        <w:jc w:val="both"/>
        <w:rPr>
          <w:rFonts w:asciiTheme="majorHAnsi" w:hAnsiTheme="majorHAnsi" w:cstheme="majorHAnsi"/>
          <w:color w:val="0E194A" w:themeColor="text2"/>
          <w:shd w:val="clear" w:color="auto" w:fill="FFFFFF"/>
        </w:rPr>
      </w:pPr>
    </w:p>
    <w:p w14:paraId="2B8E2707" w14:textId="77777777" w:rsidR="00DA7023" w:rsidRPr="00BD1CCE" w:rsidRDefault="00DA7023" w:rsidP="00DA7023">
      <w:pPr>
        <w:spacing w:line="360" w:lineRule="auto"/>
        <w:rPr>
          <w:rFonts w:asciiTheme="majorHAnsi" w:hAnsiTheme="majorHAnsi" w:cstheme="majorHAnsi"/>
          <w:shd w:val="clear" w:color="auto" w:fill="FFFFFF"/>
        </w:rPr>
      </w:pPr>
      <w:r w:rsidRPr="00BD1CCE">
        <w:rPr>
          <w:rFonts w:asciiTheme="majorHAnsi" w:hAnsiTheme="majorHAnsi" w:cstheme="majorHAnsi"/>
          <w:b/>
          <w:bCs/>
          <w:shd w:val="clear" w:color="auto" w:fill="FFFFFF"/>
        </w:rPr>
        <w:t>Quadro 1.</w:t>
      </w:r>
      <w:r w:rsidRPr="00BD1CCE">
        <w:rPr>
          <w:rFonts w:asciiTheme="majorHAnsi" w:hAnsiTheme="majorHAnsi" w:cstheme="majorHAnsi"/>
          <w:shd w:val="clear" w:color="auto" w:fill="FFFFFF"/>
        </w:rPr>
        <w:t xml:space="preserve"> Distribuição geográfica das IES contempladas no </w:t>
      </w:r>
      <w:r w:rsidRPr="00BD1CCE">
        <w:rPr>
          <w:rFonts w:asciiTheme="majorHAnsi" w:hAnsiTheme="majorHAnsi" w:cstheme="majorHAnsi"/>
          <w:bCs/>
        </w:rPr>
        <w:t>CAPES-PrInt</w:t>
      </w:r>
    </w:p>
    <w:tbl>
      <w:tblPr>
        <w:tblStyle w:val="TabeladeGrade41"/>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389"/>
        <w:gridCol w:w="3994"/>
        <w:gridCol w:w="1959"/>
        <w:gridCol w:w="46"/>
      </w:tblGrid>
      <w:tr w:rsidR="00DA7023" w:rsidRPr="00BD1CCE" w14:paraId="476D119B" w14:textId="77777777" w:rsidTr="0070004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tcPr>
          <w:p w14:paraId="077C0493" w14:textId="77777777" w:rsidR="00DA7023" w:rsidRPr="00BD1CCE" w:rsidRDefault="00DA7023" w:rsidP="00142614">
            <w:pPr>
              <w:jc w:val="center"/>
              <w:rPr>
                <w:rFonts w:asciiTheme="majorHAnsi" w:hAnsiTheme="majorHAnsi" w:cstheme="majorHAnsi"/>
                <w:b w:val="0"/>
                <w:bCs w:val="0"/>
                <w:sz w:val="20"/>
                <w:szCs w:val="20"/>
              </w:rPr>
            </w:pPr>
            <w:r w:rsidRPr="00BD1CCE">
              <w:rPr>
                <w:rFonts w:asciiTheme="majorHAnsi" w:hAnsiTheme="majorHAnsi" w:cstheme="majorHAnsi"/>
                <w:sz w:val="20"/>
                <w:szCs w:val="20"/>
              </w:rPr>
              <w:t>Nordeste</w:t>
            </w:r>
          </w:p>
        </w:tc>
        <w:tc>
          <w:tcPr>
            <w:tcW w:w="1389" w:type="dxa"/>
            <w:tcBorders>
              <w:top w:val="none" w:sz="0" w:space="0" w:color="auto"/>
              <w:left w:val="none" w:sz="0" w:space="0" w:color="auto"/>
              <w:bottom w:val="none" w:sz="0" w:space="0" w:color="auto"/>
              <w:right w:val="none" w:sz="0" w:space="0" w:color="auto"/>
            </w:tcBorders>
          </w:tcPr>
          <w:p w14:paraId="3BC82464" w14:textId="77777777" w:rsidR="00DA7023" w:rsidRPr="00BD1CCE" w:rsidRDefault="00DA7023" w:rsidP="001426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BD1CCE">
              <w:rPr>
                <w:rFonts w:asciiTheme="majorHAnsi" w:hAnsiTheme="majorHAnsi" w:cstheme="majorHAnsi"/>
                <w:sz w:val="20"/>
                <w:szCs w:val="20"/>
              </w:rPr>
              <w:t>Centro-Oeste</w:t>
            </w:r>
          </w:p>
        </w:tc>
        <w:tc>
          <w:tcPr>
            <w:tcW w:w="3994" w:type="dxa"/>
            <w:tcBorders>
              <w:top w:val="none" w:sz="0" w:space="0" w:color="auto"/>
              <w:left w:val="none" w:sz="0" w:space="0" w:color="auto"/>
              <w:bottom w:val="none" w:sz="0" w:space="0" w:color="auto"/>
              <w:right w:val="none" w:sz="0" w:space="0" w:color="auto"/>
            </w:tcBorders>
          </w:tcPr>
          <w:p w14:paraId="0828D185" w14:textId="77777777" w:rsidR="00DA7023" w:rsidRPr="00BD1CCE" w:rsidRDefault="00DA7023" w:rsidP="001426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BD1CCE">
              <w:rPr>
                <w:rFonts w:asciiTheme="majorHAnsi" w:hAnsiTheme="majorHAnsi" w:cstheme="majorHAnsi"/>
                <w:sz w:val="20"/>
                <w:szCs w:val="20"/>
              </w:rPr>
              <w:t>Sudeste</w:t>
            </w:r>
          </w:p>
        </w:tc>
        <w:tc>
          <w:tcPr>
            <w:tcW w:w="2005" w:type="dxa"/>
            <w:gridSpan w:val="2"/>
            <w:tcBorders>
              <w:top w:val="none" w:sz="0" w:space="0" w:color="auto"/>
              <w:left w:val="none" w:sz="0" w:space="0" w:color="auto"/>
              <w:bottom w:val="none" w:sz="0" w:space="0" w:color="auto"/>
              <w:right w:val="none" w:sz="0" w:space="0" w:color="auto"/>
            </w:tcBorders>
          </w:tcPr>
          <w:p w14:paraId="20FA8FD8" w14:textId="77777777" w:rsidR="00DA7023" w:rsidRPr="00BD1CCE" w:rsidRDefault="00DA7023" w:rsidP="0014261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BD1CCE">
              <w:rPr>
                <w:rFonts w:asciiTheme="majorHAnsi" w:hAnsiTheme="majorHAnsi" w:cstheme="majorHAnsi"/>
                <w:sz w:val="20"/>
                <w:szCs w:val="20"/>
              </w:rPr>
              <w:t>Sul</w:t>
            </w:r>
          </w:p>
        </w:tc>
      </w:tr>
      <w:tr w:rsidR="00700045" w:rsidRPr="00BD1CCE" w14:paraId="26E96C3C" w14:textId="77777777" w:rsidTr="00700045">
        <w:trPr>
          <w:gridAfter w:val="1"/>
          <w:cnfStyle w:val="000000100000" w:firstRow="0" w:lastRow="0" w:firstColumn="0" w:lastColumn="0" w:oddVBand="0" w:evenVBand="0" w:oddHBand="1" w:evenHBand="0" w:firstRowFirstColumn="0" w:firstRowLastColumn="0" w:lastRowFirstColumn="0" w:lastRowLastColumn="0"/>
          <w:wAfter w:w="46" w:type="dxa"/>
          <w:trHeight w:val="444"/>
        </w:trPr>
        <w:tc>
          <w:tcPr>
            <w:cnfStyle w:val="001000000000" w:firstRow="0" w:lastRow="0" w:firstColumn="1" w:lastColumn="0" w:oddVBand="0" w:evenVBand="0" w:oddHBand="0" w:evenHBand="0" w:firstRowFirstColumn="0" w:firstRowLastColumn="0" w:lastRowFirstColumn="0" w:lastRowLastColumn="0"/>
            <w:tcW w:w="1838" w:type="dxa"/>
          </w:tcPr>
          <w:p w14:paraId="3E4953BB" w14:textId="77777777" w:rsidR="00700045" w:rsidRPr="00BD1CCE" w:rsidRDefault="00700045" w:rsidP="00700045">
            <w:pPr>
              <w:jc w:val="both"/>
              <w:rPr>
                <w:rFonts w:asciiTheme="majorHAnsi" w:hAnsiTheme="majorHAnsi" w:cstheme="majorHAnsi"/>
                <w:sz w:val="20"/>
                <w:szCs w:val="20"/>
                <w:shd w:val="clear" w:color="auto" w:fill="FFFFFF"/>
              </w:rPr>
            </w:pPr>
            <w:r w:rsidRPr="00BD1CCE">
              <w:rPr>
                <w:rFonts w:asciiTheme="majorHAnsi" w:eastAsia="Calibri" w:hAnsiTheme="majorHAnsi" w:cstheme="majorHAnsi"/>
                <w:color w:val="4875BD" w:themeColor="text1"/>
                <w:sz w:val="20"/>
                <w:szCs w:val="20"/>
              </w:rPr>
              <w:t>UFBA; UFC; UFPB; UFPE; UFRN; e UFRPE.</w:t>
            </w:r>
          </w:p>
        </w:tc>
        <w:tc>
          <w:tcPr>
            <w:tcW w:w="1389" w:type="dxa"/>
          </w:tcPr>
          <w:p w14:paraId="1E1E0068" w14:textId="2E5CC428" w:rsidR="00700045" w:rsidRPr="00BD1CCE" w:rsidRDefault="00700045" w:rsidP="007000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shd w:val="clear" w:color="auto" w:fill="FFFFFF"/>
              </w:rPr>
            </w:pPr>
            <w:r w:rsidRPr="00593577">
              <w:t>UnB; e UFMS.</w:t>
            </w:r>
          </w:p>
        </w:tc>
        <w:tc>
          <w:tcPr>
            <w:tcW w:w="3994" w:type="dxa"/>
          </w:tcPr>
          <w:p w14:paraId="00025699" w14:textId="580CBE0B" w:rsidR="00700045" w:rsidRPr="00BD1CCE" w:rsidRDefault="00700045" w:rsidP="007000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shd w:val="clear" w:color="auto" w:fill="FFFFFF"/>
              </w:rPr>
            </w:pPr>
            <w:r w:rsidRPr="00593577">
              <w:t>FGV; FIOCRUZ; INPE; ITA; PUC-RIO; UERJ; UFABC; UFES; UFF; UFLA; UFMG; UFRJ; UFSCAR; UFU; UFV; UNESP; UNICAMP; UNIFESP; USP; e UPM.</w:t>
            </w:r>
          </w:p>
        </w:tc>
        <w:tc>
          <w:tcPr>
            <w:tcW w:w="1959" w:type="dxa"/>
          </w:tcPr>
          <w:p w14:paraId="74C0E3A0" w14:textId="62F11025" w:rsidR="00700045" w:rsidRPr="00BD1CCE" w:rsidRDefault="00700045" w:rsidP="0070004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shd w:val="clear" w:color="auto" w:fill="FFFFFF"/>
              </w:rPr>
            </w:pPr>
            <w:r w:rsidRPr="00593577">
              <w:t>FURG; PUCRS; UFPEL; UFPR; UFRGS; UFSM; UFSC; e UNISINOS.</w:t>
            </w:r>
          </w:p>
        </w:tc>
      </w:tr>
    </w:tbl>
    <w:p w14:paraId="63EA0BD7" w14:textId="77777777" w:rsidR="00DA7023" w:rsidRPr="00700045" w:rsidRDefault="00DA7023" w:rsidP="00DA7023">
      <w:pPr>
        <w:spacing w:before="120" w:line="360" w:lineRule="auto"/>
        <w:rPr>
          <w:rFonts w:asciiTheme="majorHAnsi" w:hAnsiTheme="majorHAnsi" w:cstheme="majorHAnsi"/>
          <w:sz w:val="20"/>
          <w:szCs w:val="20"/>
          <w:shd w:val="clear" w:color="auto" w:fill="FFFFFF"/>
        </w:rPr>
      </w:pPr>
      <w:r w:rsidRPr="00700045">
        <w:rPr>
          <w:rFonts w:asciiTheme="majorHAnsi" w:hAnsiTheme="majorHAnsi" w:cstheme="majorHAnsi"/>
          <w:sz w:val="20"/>
          <w:szCs w:val="20"/>
          <w:shd w:val="clear" w:color="auto" w:fill="FFFFFF"/>
        </w:rPr>
        <w:t xml:space="preserve">Fonte: Woicolesco </w:t>
      </w:r>
      <w:r w:rsidRPr="00700045">
        <w:rPr>
          <w:rFonts w:asciiTheme="majorHAnsi" w:hAnsiTheme="majorHAnsi" w:cstheme="majorHAnsi"/>
          <w:i/>
          <w:iCs/>
          <w:sz w:val="20"/>
          <w:szCs w:val="20"/>
          <w:shd w:val="clear" w:color="auto" w:fill="FFFFFF"/>
        </w:rPr>
        <w:t>et al.</w:t>
      </w:r>
      <w:r w:rsidRPr="00700045">
        <w:rPr>
          <w:rFonts w:asciiTheme="majorHAnsi" w:hAnsiTheme="majorHAnsi" w:cstheme="majorHAnsi"/>
          <w:sz w:val="20"/>
          <w:szCs w:val="20"/>
          <w:shd w:val="clear" w:color="auto" w:fill="FFFFFF"/>
        </w:rPr>
        <w:t xml:space="preserve"> (2022).</w:t>
      </w:r>
    </w:p>
    <w:p w14:paraId="221F4A3A" w14:textId="77777777" w:rsidR="00DA7023" w:rsidRPr="00700045" w:rsidRDefault="00DA7023" w:rsidP="00DA7023">
      <w:pPr>
        <w:spacing w:line="360" w:lineRule="auto"/>
        <w:ind w:firstLine="708"/>
        <w:jc w:val="both"/>
        <w:rPr>
          <w:rFonts w:asciiTheme="majorHAnsi" w:hAnsiTheme="majorHAnsi" w:cstheme="majorHAnsi"/>
          <w:sz w:val="24"/>
          <w:szCs w:val="24"/>
          <w:shd w:val="clear" w:color="auto" w:fill="FFFFFF"/>
        </w:rPr>
      </w:pPr>
      <w:r w:rsidRPr="00700045">
        <w:rPr>
          <w:rFonts w:asciiTheme="majorHAnsi" w:hAnsiTheme="majorHAnsi" w:cstheme="majorHAnsi"/>
          <w:sz w:val="24"/>
          <w:szCs w:val="24"/>
          <w:shd w:val="clear" w:color="auto" w:fill="FFFFFF"/>
        </w:rPr>
        <w:lastRenderedPageBreak/>
        <w:t xml:space="preserve">Em relação à natureza jurídica, 27 são IES públicas federais, quatro são IES públicas estaduais e cinco são IES privadas sem fins lucrativos. </w:t>
      </w:r>
    </w:p>
    <w:p w14:paraId="256F60B3"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 xml:space="preserve">No estudo realizado, foi observado que os processos de implementação e de consolidação da política de internacionalização nas IES participantes do programa são heterogêneos. Isso porque, no conjunto das 36 instituições, todas têm um projeto ou plano institucional de internacionalização, contudo, apenas 19 apresentam uma política institucional de internacionalização. Nessa análise, buscou-se, ainda, identificar se a política de internacionalização estava prevista no PDI. Em nove instituições, ela estava explicitamente apresentada. Nas demais, o processo de internacionalização foi contemplado a partir de indicadores específicos e, em alguns casos, foi considerada uma área transversal estratégica (WOICOLESCO </w:t>
      </w:r>
      <w:r w:rsidRPr="00700045">
        <w:rPr>
          <w:rFonts w:asciiTheme="majorHAnsi" w:hAnsiTheme="majorHAnsi" w:cstheme="majorHAnsi"/>
          <w:i/>
          <w:iCs/>
          <w:sz w:val="24"/>
          <w:szCs w:val="24"/>
        </w:rPr>
        <w:t>et al.</w:t>
      </w:r>
      <w:r w:rsidRPr="00700045">
        <w:rPr>
          <w:rFonts w:asciiTheme="majorHAnsi" w:hAnsiTheme="majorHAnsi" w:cstheme="majorHAnsi"/>
          <w:sz w:val="24"/>
          <w:szCs w:val="24"/>
        </w:rPr>
        <w:t>, 2022).</w:t>
      </w:r>
    </w:p>
    <w:p w14:paraId="15BAA8A4" w14:textId="77777777" w:rsidR="00DA7023" w:rsidRPr="00BD1CCE" w:rsidRDefault="00DA7023" w:rsidP="00DA7023">
      <w:pPr>
        <w:spacing w:line="360" w:lineRule="auto"/>
        <w:ind w:firstLine="708"/>
        <w:jc w:val="both"/>
        <w:rPr>
          <w:rFonts w:asciiTheme="majorHAnsi" w:hAnsiTheme="majorHAnsi" w:cstheme="majorHAnsi"/>
        </w:rPr>
      </w:pPr>
    </w:p>
    <w:p w14:paraId="34E4531A" w14:textId="4E525D02" w:rsidR="00DA7023" w:rsidRPr="00215724" w:rsidRDefault="00215724" w:rsidP="00215724">
      <w:pPr>
        <w:pStyle w:val="Ttulo2"/>
        <w:ind w:left="993" w:hanging="576"/>
        <w:rPr>
          <w:rFonts w:asciiTheme="majorHAnsi" w:hAnsiTheme="majorHAnsi" w:cstheme="majorHAnsi"/>
        </w:rPr>
      </w:pPr>
      <w:r w:rsidRPr="00215724">
        <w:rPr>
          <w:rFonts w:asciiTheme="majorHAnsi" w:hAnsiTheme="majorHAnsi" w:cstheme="majorHAnsi"/>
        </w:rPr>
        <w:t>5.2. POLÍTICA DE INTERNACIONALIZAÇÃO DA UNDF</w:t>
      </w:r>
    </w:p>
    <w:p w14:paraId="6FC04AF6" w14:textId="5505465D" w:rsidR="00DA7023" w:rsidRPr="00700045" w:rsidRDefault="00DA7023" w:rsidP="00700045">
      <w:pPr>
        <w:spacing w:line="360" w:lineRule="auto"/>
        <w:ind w:firstLine="709"/>
        <w:jc w:val="both"/>
        <w:rPr>
          <w:rFonts w:asciiTheme="majorHAnsi" w:hAnsiTheme="majorHAnsi" w:cstheme="majorHAnsi"/>
          <w:sz w:val="24"/>
          <w:szCs w:val="24"/>
        </w:rPr>
      </w:pPr>
      <w:r w:rsidRPr="00700045">
        <w:rPr>
          <w:rFonts w:asciiTheme="majorHAnsi" w:hAnsiTheme="majorHAnsi" w:cstheme="majorHAnsi"/>
          <w:sz w:val="24"/>
          <w:szCs w:val="24"/>
        </w:rPr>
        <w:t xml:space="preserve">A internacionalização da UnDF deve atender, em sua operacionalidade, às áreas de Ensino, Pesquisa, Extensão, Cultura e Arte, e Gestão, constantes no PDI da instituição (CEBRASPE, 2022). Enquanto opção metodológica, as políticas de internacionalização propostas para a UnDF são resultado de um </w:t>
      </w:r>
      <w:r w:rsidRPr="00700045">
        <w:rPr>
          <w:rFonts w:asciiTheme="majorHAnsi" w:hAnsiTheme="majorHAnsi" w:cstheme="majorHAnsi"/>
          <w:i/>
          <w:iCs/>
          <w:sz w:val="24"/>
          <w:szCs w:val="24"/>
        </w:rPr>
        <w:t>benchmark</w:t>
      </w:r>
      <w:r w:rsidRPr="00700045">
        <w:rPr>
          <w:rFonts w:asciiTheme="majorHAnsi" w:hAnsiTheme="majorHAnsi" w:cstheme="majorHAnsi"/>
          <w:sz w:val="24"/>
          <w:szCs w:val="24"/>
        </w:rPr>
        <w:t xml:space="preserve"> da política de internacionalização das instituições brasileiras de educação superior. Esse processo foi constituído a partir de estudos e de análises que vêm sendo realizados a respeito das políticas e dos planos de internacionalização das 36 IES participantes do atual programa público de fomento à internacionalização das universidades brasileiras, o Programa CAPES PrInt. </w:t>
      </w:r>
    </w:p>
    <w:p w14:paraId="3F08A1D3" w14:textId="77777777" w:rsidR="00DA7023" w:rsidRPr="00700045" w:rsidRDefault="00DA7023" w:rsidP="00DA7023">
      <w:pPr>
        <w:spacing w:line="360" w:lineRule="auto"/>
        <w:ind w:firstLine="708"/>
        <w:jc w:val="both"/>
        <w:rPr>
          <w:rFonts w:asciiTheme="majorHAnsi" w:hAnsiTheme="majorHAnsi" w:cstheme="majorHAnsi"/>
          <w:sz w:val="24"/>
          <w:szCs w:val="24"/>
        </w:rPr>
      </w:pPr>
      <w:r w:rsidRPr="00700045">
        <w:rPr>
          <w:rFonts w:asciiTheme="majorHAnsi" w:hAnsiTheme="majorHAnsi" w:cstheme="majorHAnsi"/>
          <w:sz w:val="24"/>
          <w:szCs w:val="24"/>
        </w:rPr>
        <w:t>Caberá a UnDF, de forma coparticipativa, sistemática e paulatina, optar pelas políticas que mais se adequem a identidade institucional, ao momento conjuntural e aos objetivos da IES, em consonância com seu PDI. A seguir, estão apresentadas as políticas constitutivas da Política de Internacionalização da UnDF.</w:t>
      </w:r>
    </w:p>
    <w:p w14:paraId="0DE349A8" w14:textId="77777777" w:rsidR="00DA7023" w:rsidRPr="00BD1CCE" w:rsidRDefault="00DA7023" w:rsidP="00700045">
      <w:pPr>
        <w:pStyle w:val="Ttulo3"/>
        <w:ind w:left="1276" w:hanging="720"/>
        <w:rPr>
          <w:rFonts w:asciiTheme="majorHAnsi" w:hAnsiTheme="majorHAnsi" w:cstheme="majorHAnsi"/>
        </w:rPr>
      </w:pPr>
      <w:r w:rsidRPr="00BD1CCE">
        <w:rPr>
          <w:rFonts w:asciiTheme="majorHAnsi" w:hAnsiTheme="majorHAnsi" w:cstheme="majorHAnsi"/>
        </w:rPr>
        <w:t xml:space="preserve">5.2.1. Política de Internacionalização do </w:t>
      </w:r>
      <w:r w:rsidRPr="00700045">
        <w:rPr>
          <w:rFonts w:asciiTheme="majorHAnsi" w:hAnsiTheme="majorHAnsi" w:cstheme="majorHAnsi"/>
        </w:rPr>
        <w:t>Ensino</w:t>
      </w:r>
      <w:r w:rsidRPr="00BD1CCE">
        <w:rPr>
          <w:rFonts w:asciiTheme="majorHAnsi" w:hAnsiTheme="majorHAnsi" w:cstheme="majorHAnsi"/>
        </w:rPr>
        <w:t xml:space="preserve"> na UnDF</w:t>
      </w:r>
    </w:p>
    <w:p w14:paraId="45F715CF" w14:textId="77777777" w:rsidR="00DA7023" w:rsidRPr="00700045" w:rsidRDefault="00DA7023" w:rsidP="00DA7023">
      <w:pPr>
        <w:spacing w:line="360" w:lineRule="auto"/>
        <w:ind w:firstLine="709"/>
        <w:jc w:val="both"/>
        <w:rPr>
          <w:rFonts w:asciiTheme="majorHAnsi" w:eastAsia="Arial" w:hAnsiTheme="majorHAnsi" w:cstheme="majorHAnsi"/>
          <w:sz w:val="24"/>
          <w:szCs w:val="24"/>
        </w:rPr>
      </w:pPr>
      <w:r w:rsidRPr="00700045">
        <w:rPr>
          <w:rFonts w:asciiTheme="majorHAnsi" w:eastAsia="Arial" w:hAnsiTheme="majorHAnsi" w:cstheme="majorHAnsi"/>
          <w:sz w:val="24"/>
          <w:szCs w:val="24"/>
        </w:rPr>
        <w:t xml:space="preserve">A Política de Internacionalização do Ensino para a UnDF, caracterizada pela indissociabilidade entre ensino, pesquisa e extensão, busca a formação integral dos estudantes, a partir do desenvolvimento de competências interculturais e internacionais, como meio para </w:t>
      </w:r>
      <w:r w:rsidRPr="00700045">
        <w:rPr>
          <w:rFonts w:asciiTheme="majorHAnsi" w:eastAsia="Arial" w:hAnsiTheme="majorHAnsi" w:cstheme="majorHAnsi"/>
          <w:sz w:val="24"/>
          <w:szCs w:val="24"/>
        </w:rPr>
        <w:lastRenderedPageBreak/>
        <w:t>atuação em questões locais, regionais e globais. Atendendo aos princípios do desenvolvimento sustentável, a UnDF desenvolve sua política de internacionalização do ensino em duas dimensões: política linguística e de internacionalização do currículo (IoC). Na última, estão congregadas a mobilidade de estudantes, de docentes e de técnico-administrativos, e a internacionalização em casa (IaH).</w:t>
      </w:r>
    </w:p>
    <w:p w14:paraId="7FCCE5FE" w14:textId="77777777" w:rsidR="00DA7023" w:rsidRPr="00700045" w:rsidRDefault="00DA7023" w:rsidP="00700045">
      <w:pPr>
        <w:pStyle w:val="Ttulo4"/>
        <w:ind w:left="1843" w:hanging="864"/>
        <w:rPr>
          <w:rFonts w:asciiTheme="majorHAnsi" w:hAnsiTheme="majorHAnsi" w:cstheme="majorHAnsi"/>
        </w:rPr>
      </w:pPr>
      <w:r w:rsidRPr="00700045">
        <w:rPr>
          <w:rFonts w:asciiTheme="majorHAnsi" w:hAnsiTheme="majorHAnsi" w:cstheme="majorHAnsi"/>
        </w:rPr>
        <w:t>5.2.1.1 Política Linguística na UnDF</w:t>
      </w:r>
    </w:p>
    <w:p w14:paraId="09FF6B6E" w14:textId="77777777" w:rsidR="00DA7023" w:rsidRPr="002D51F3" w:rsidRDefault="00DA7023" w:rsidP="00DA7023">
      <w:pPr>
        <w:spacing w:line="360" w:lineRule="auto"/>
        <w:ind w:firstLine="709"/>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A Política Linguística na UnDF é pautada na aprendizagem e no uso de línguas estrangeiras nos diferentes espaços acadêmicos e deve fomentar a criação de estruturas e de mecanismos que promovam a diversidade linguístico-cultural, respeitando a especificidade das diferentes áreas do conhecimento. Além disso, facilitará a inter-relação da UnDF na perspectiva global e regional, a disseminação do conhecimento produzido na IES, a circulação do conhecimento, e a consolidação de parcerias internacionais, as quais permitirão um fluxo contínuo de mobilidade da comunidade acadêmica e de atração de estudantes e de pesquisadores de diferentes países. Acresce-se, a essa perspectiva, a relevância do domínio de outros idiomas para a implantação e para a consolidação do processo de IoC. </w:t>
      </w:r>
    </w:p>
    <w:p w14:paraId="26C921C5" w14:textId="77777777" w:rsidR="00DA7023" w:rsidRPr="002D51F3" w:rsidRDefault="00DA7023" w:rsidP="00DA7023">
      <w:pPr>
        <w:pStyle w:val="PargrafodaLista"/>
        <w:spacing w:line="360" w:lineRule="auto"/>
        <w:ind w:left="0" w:firstLine="709"/>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Para a promoção da Política Linguística na UnDF, podem ser utilizadas as seguintes </w:t>
      </w:r>
      <w:r w:rsidRPr="002D51F3">
        <w:rPr>
          <w:rFonts w:asciiTheme="majorHAnsi" w:eastAsia="Arial" w:hAnsiTheme="majorHAnsi" w:cstheme="majorHAnsi"/>
          <w:spacing w:val="-2"/>
          <w:sz w:val="24"/>
          <w:szCs w:val="24"/>
        </w:rPr>
        <w:t>ações: ofertar cursos de línguas estrangeiras; ofertar cursos de português como língua adicional;</w:t>
      </w:r>
      <w:r w:rsidRPr="002D51F3">
        <w:rPr>
          <w:rFonts w:asciiTheme="majorHAnsi" w:eastAsia="Arial" w:hAnsiTheme="majorHAnsi" w:cstheme="majorHAnsi"/>
          <w:sz w:val="24"/>
          <w:szCs w:val="24"/>
        </w:rPr>
        <w:t xml:space="preserve"> promover exames de proficiência (línguas estrangeiras e português); ofertar disciplinas em outros idiomas; estimular a escrita de teses e de dissertações em língua estrangeira; fomentar a composição de bancas com membros internacionais; organização de eventos e de revistas multilíngues; promover a contratação de docentes bilíngues; entre outros.</w:t>
      </w:r>
    </w:p>
    <w:p w14:paraId="51E04A9A" w14:textId="77777777" w:rsidR="00DA7023" w:rsidRPr="00700045" w:rsidRDefault="00DA7023" w:rsidP="00700045">
      <w:pPr>
        <w:pStyle w:val="Ttulo4"/>
        <w:ind w:left="1843" w:hanging="864"/>
        <w:rPr>
          <w:rFonts w:asciiTheme="majorHAnsi" w:hAnsiTheme="majorHAnsi" w:cstheme="majorHAnsi"/>
        </w:rPr>
      </w:pPr>
      <w:r w:rsidRPr="00700045">
        <w:rPr>
          <w:rFonts w:asciiTheme="majorHAnsi" w:hAnsiTheme="majorHAnsi" w:cstheme="majorHAnsi"/>
        </w:rPr>
        <w:t>5.2.1.2 Internacionalização do Currículo na UnDF</w:t>
      </w:r>
    </w:p>
    <w:p w14:paraId="7B5FD05C" w14:textId="77777777" w:rsidR="002D51F3" w:rsidRPr="002D51F3" w:rsidRDefault="00DA7023" w:rsidP="002D51F3">
      <w:pPr>
        <w:spacing w:line="360" w:lineRule="auto"/>
        <w:ind w:firstLine="709"/>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A Internacionalização do Currículo na UnDF irá promover o desenvolvimento de competências interculturais e internacionais em todos os estudantes, nos cursos de graduação </w:t>
      </w:r>
      <w:r w:rsidRPr="002D51F3">
        <w:rPr>
          <w:rFonts w:asciiTheme="majorHAnsi" w:eastAsia="Arial" w:hAnsiTheme="majorHAnsi" w:cstheme="majorHAnsi"/>
          <w:spacing w:val="-4"/>
          <w:sz w:val="24"/>
          <w:szCs w:val="24"/>
        </w:rPr>
        <w:t>e nos programas de pós-graduação, nas modalidades presencial e de educação a distância, através</w:t>
      </w:r>
      <w:r w:rsidRPr="002D51F3">
        <w:rPr>
          <w:rFonts w:asciiTheme="majorHAnsi" w:eastAsia="Arial" w:hAnsiTheme="majorHAnsi" w:cstheme="majorHAnsi"/>
          <w:sz w:val="24"/>
          <w:szCs w:val="24"/>
        </w:rPr>
        <w:t xml:space="preserve"> da complementaridade dos diferentes tipos de internacionalização da educação superior. Para que o percurso formativo atenda ao desenvolvimento sustentável e promova uma formação integral, a internacionalização do ensino deverá atender às premissas da internacionalização em casa, podendo ser combinada a mobilidade acadêmica presencial ou virtual. </w:t>
      </w:r>
    </w:p>
    <w:p w14:paraId="2348008E" w14:textId="5C426D16" w:rsidR="00DA7023" w:rsidRPr="002D51F3" w:rsidRDefault="00DA7023" w:rsidP="002D51F3">
      <w:pPr>
        <w:spacing w:line="360" w:lineRule="auto"/>
        <w:ind w:firstLine="709"/>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lastRenderedPageBreak/>
        <w:t xml:space="preserve">Para a promoção da Internacionalização do Currículo na UnDF, podem ser utilizadas ações como: flexibilizar o currículo; fornecer as ementas das disciplinas em línguas estrangeiras; propiciar atividades pedagógicas que articulem o conhecimento local e global; ofertar módulos ou disciplinas em consórcio com instituições internacionais; estimular a formação em cotutela; fomentar a dupla diplomação; oferecer </w:t>
      </w:r>
      <w:r w:rsidRPr="002D51F3">
        <w:rPr>
          <w:rFonts w:asciiTheme="majorHAnsi" w:eastAsia="Arial" w:hAnsiTheme="majorHAnsi" w:cstheme="majorHAnsi"/>
          <w:i/>
          <w:iCs/>
          <w:sz w:val="24"/>
          <w:szCs w:val="24"/>
        </w:rPr>
        <w:t>Summer/Winter Schools</w:t>
      </w:r>
      <w:r w:rsidRPr="002D51F3">
        <w:rPr>
          <w:rFonts w:asciiTheme="majorHAnsi" w:eastAsia="Arial" w:hAnsiTheme="majorHAnsi" w:cstheme="majorHAnsi"/>
          <w:sz w:val="24"/>
          <w:szCs w:val="24"/>
        </w:rPr>
        <w:t>; criar cursos de curta duração em outros idiomas; incentivar a realização/participação de COILs</w:t>
      </w:r>
      <w:r w:rsidRPr="002D51F3">
        <w:rPr>
          <w:rStyle w:val="Refdenotaderodap"/>
          <w:rFonts w:asciiTheme="majorHAnsi" w:eastAsia="Arial" w:hAnsiTheme="majorHAnsi" w:cstheme="majorHAnsi"/>
          <w:sz w:val="24"/>
          <w:szCs w:val="24"/>
        </w:rPr>
        <w:footnoteReference w:id="2"/>
      </w:r>
      <w:r w:rsidRPr="002D51F3">
        <w:rPr>
          <w:rFonts w:asciiTheme="majorHAnsi" w:eastAsia="Arial" w:hAnsiTheme="majorHAnsi" w:cstheme="majorHAnsi"/>
          <w:sz w:val="24"/>
          <w:szCs w:val="24"/>
        </w:rPr>
        <w:t xml:space="preserve"> e/ou MOOC´s</w:t>
      </w:r>
      <w:r w:rsidRPr="002D51F3">
        <w:rPr>
          <w:rStyle w:val="Refdenotaderodap"/>
          <w:rFonts w:asciiTheme="majorHAnsi" w:eastAsia="Arial" w:hAnsiTheme="majorHAnsi" w:cstheme="majorHAnsi"/>
          <w:sz w:val="24"/>
          <w:szCs w:val="24"/>
        </w:rPr>
        <w:footnoteReference w:id="3"/>
      </w:r>
      <w:r w:rsidRPr="002D51F3">
        <w:rPr>
          <w:rFonts w:asciiTheme="majorHAnsi" w:eastAsia="Arial" w:hAnsiTheme="majorHAnsi" w:cstheme="majorHAnsi"/>
          <w:sz w:val="24"/>
          <w:szCs w:val="24"/>
        </w:rPr>
        <w:t>; promover a formação sanduíche; estimular a participação em estágios no exterior; entre outros.</w:t>
      </w:r>
    </w:p>
    <w:p w14:paraId="3A2004C1" w14:textId="77777777" w:rsidR="00700045" w:rsidRPr="002D51F3" w:rsidRDefault="00DA7023" w:rsidP="00700045">
      <w:pPr>
        <w:spacing w:line="360" w:lineRule="auto"/>
        <w:ind w:firstLine="708"/>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A mobilidade de estudantes, docentes e técnico-administrativos tem como objetivo promover o intercâmbio e a reciprocidade com instituições parceiras, com vistas à formação de cooperações estratégicas e duradouras, bem como desenvolver, em toda a comunidade acadêmica, competências interculturais e internacionais. A mobilidade na UnDF poderá ser realizada de forma presencial ou virtual, tanto para um período de intercâmbio no exterior, como para fomentar a vinda de colabores internacionais de forma a qualificar o processo formativo. </w:t>
      </w:r>
    </w:p>
    <w:p w14:paraId="61AF32C1" w14:textId="3632136D" w:rsidR="00DA7023" w:rsidRPr="002D51F3" w:rsidRDefault="00DA7023" w:rsidP="00700045">
      <w:pPr>
        <w:spacing w:line="360" w:lineRule="auto"/>
        <w:ind w:firstLine="708"/>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Para a promoção de mobilidade na UnDF, podem ser estruturadas ações como: i</w:t>
      </w:r>
      <w:r w:rsidRPr="002D51F3">
        <w:rPr>
          <w:rFonts w:asciiTheme="majorHAnsi" w:hAnsiTheme="majorHAnsi" w:cstheme="majorHAnsi"/>
          <w:sz w:val="24"/>
          <w:szCs w:val="24"/>
        </w:rPr>
        <w:t xml:space="preserve">mplementar uma política de atração e de acolhimento de estudantes, docentes e pesquisadores internacionais; </w:t>
      </w:r>
      <w:r w:rsidRPr="002D51F3">
        <w:rPr>
          <w:rFonts w:asciiTheme="majorHAnsi" w:eastAsia="Arial" w:hAnsiTheme="majorHAnsi" w:cstheme="majorHAnsi"/>
          <w:sz w:val="24"/>
          <w:szCs w:val="24"/>
        </w:rPr>
        <w:t>incentivar o reconhecimento de créditos cursados no exterior; promover o acolhimento e assistência a docentes, técnico-administrativos e estudantes internacionais; prever, nos acordos de cooperação internacional, a possibilidade de intercâmbio para toda a comunidade acadêmica; entre outros.</w:t>
      </w:r>
    </w:p>
    <w:p w14:paraId="674A04FF" w14:textId="77777777" w:rsidR="00700045" w:rsidRPr="002D51F3" w:rsidRDefault="00DA7023" w:rsidP="00700045">
      <w:pPr>
        <w:pStyle w:val="PargrafodaLista"/>
        <w:spacing w:line="360" w:lineRule="auto"/>
        <w:ind w:left="0" w:firstLine="708"/>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A Internacionalização em Casa na UnDF possibilitará um ensino de qualidade, indissociável da pesquisa e da extensão, a todos os estudantes da instituição, garantindo o princípio da inclusão e da equidade, a partir da integração das dimensões internacional e intercultural no currículo formal, informal e oculto, em atividades presenciais ou virtuais. </w:t>
      </w:r>
    </w:p>
    <w:p w14:paraId="0530F406" w14:textId="3E4B3C03" w:rsidR="00DA7023" w:rsidRPr="002D51F3" w:rsidRDefault="00DA7023" w:rsidP="00700045">
      <w:pPr>
        <w:pStyle w:val="PargrafodaLista"/>
        <w:spacing w:line="360" w:lineRule="auto"/>
        <w:ind w:left="0" w:firstLine="708"/>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Contribuem para Internacionalização em Casa da UnDF: estudos de caso e projetos em culturas diferentes; instâncias reais ou simuladas de negociação e comunicação intercultural; questões interculturais na prática profissional; práticas profissionais locais e internacionais; </w:t>
      </w:r>
      <w:r w:rsidRPr="002D51F3">
        <w:rPr>
          <w:rFonts w:asciiTheme="majorHAnsi" w:eastAsia="Arial" w:hAnsiTheme="majorHAnsi" w:cstheme="majorHAnsi"/>
          <w:sz w:val="24"/>
          <w:szCs w:val="24"/>
        </w:rPr>
        <w:lastRenderedPageBreak/>
        <w:t>conteúdo atual internacional e local; questões como justiça social, equidade, direitos humanos e questões sociais e econômicas relacionadas; ambientais globais e críticas; ética na globalização e na sociedade; construção do conhecimento na disciplina em diferentes culturas; livros ou artigos/anais internacionais recentemente publicados; entre outros.</w:t>
      </w:r>
    </w:p>
    <w:p w14:paraId="36E1AD65" w14:textId="77777777" w:rsidR="00DA7023" w:rsidRPr="00BD1CCE" w:rsidRDefault="00DA7023" w:rsidP="002D51F3">
      <w:pPr>
        <w:pStyle w:val="Ttulo3"/>
        <w:ind w:left="1276" w:hanging="720"/>
        <w:rPr>
          <w:rFonts w:asciiTheme="majorHAnsi" w:hAnsiTheme="majorHAnsi" w:cstheme="majorHAnsi"/>
        </w:rPr>
      </w:pPr>
      <w:r w:rsidRPr="00BD1CCE">
        <w:rPr>
          <w:rFonts w:asciiTheme="majorHAnsi" w:hAnsiTheme="majorHAnsi" w:cstheme="majorHAnsi"/>
        </w:rPr>
        <w:t xml:space="preserve"> 5.2.2. Política de Internacionalização da </w:t>
      </w:r>
      <w:r w:rsidRPr="002D51F3">
        <w:rPr>
          <w:rFonts w:asciiTheme="majorHAnsi" w:hAnsiTheme="majorHAnsi" w:cstheme="majorHAnsi"/>
        </w:rPr>
        <w:t>Pesquisa</w:t>
      </w:r>
      <w:r w:rsidRPr="00BD1CCE">
        <w:rPr>
          <w:rFonts w:asciiTheme="majorHAnsi" w:hAnsiTheme="majorHAnsi" w:cstheme="majorHAnsi"/>
        </w:rPr>
        <w:t xml:space="preserve"> na UnDF</w:t>
      </w:r>
    </w:p>
    <w:p w14:paraId="60F9E6F5" w14:textId="489E11F6" w:rsidR="00DA7023" w:rsidRPr="002D51F3" w:rsidRDefault="00DA7023" w:rsidP="002D51F3">
      <w:pPr>
        <w:spacing w:line="360" w:lineRule="auto"/>
        <w:ind w:firstLine="851"/>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A Política de Internacionalização da Pesquisa da UnDF, caracterizada pela indissociabilidade entre pesquisa, ensino e extensão, visa a promover a excelência nas investigações e o destaque internacional da instituição, com destaque à produção técnico-cientifica, no panorama local, nacional e internacional. Atendendo aos princípios do desenvolvimento sustentável, a UnDF desenvolverá sua Política de Internacionalização da Pesquisa voltada à promoção da inter-relação com outras instituições de ensino e pesquisa em perspectiva global, com destaque à participação em redes internacionais colaborativas, constituindo a UnDF como um centro irradiador de conhecimento nas diversas áreas do conhecimento, com destaque às engenharias.</w:t>
      </w:r>
    </w:p>
    <w:p w14:paraId="186EE9A8" w14:textId="77777777" w:rsidR="00DA7023" w:rsidRPr="002D51F3" w:rsidRDefault="00DA7023" w:rsidP="002D51F3">
      <w:pPr>
        <w:pStyle w:val="Ttulo4"/>
        <w:ind w:left="1843" w:hanging="864"/>
        <w:rPr>
          <w:rFonts w:asciiTheme="majorHAnsi" w:hAnsiTheme="majorHAnsi" w:cstheme="majorHAnsi"/>
        </w:rPr>
      </w:pPr>
      <w:r w:rsidRPr="002D51F3">
        <w:rPr>
          <w:rFonts w:asciiTheme="majorHAnsi" w:hAnsiTheme="majorHAnsi" w:cstheme="majorHAnsi"/>
        </w:rPr>
        <w:t>5.2.2.1 Internacionalização da Produção Técnico-Científica</w:t>
      </w:r>
    </w:p>
    <w:p w14:paraId="7F761B4F" w14:textId="77777777" w:rsidR="00DA7023" w:rsidRPr="002D51F3" w:rsidRDefault="00DA7023" w:rsidP="00DA7023">
      <w:pPr>
        <w:pStyle w:val="PargrafodaLista"/>
        <w:spacing w:line="360" w:lineRule="auto"/>
        <w:ind w:left="0" w:firstLine="708"/>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A internacionalização da produção técnico-cientifica irá destacar a instituição como um centro qualificado de conhecimento, divulgando suas áreas inovadoras com destaque as engenharias e tornando a UnDF com forte poder de atração de pesquisadores e estudantes estrangeiros. Paralelamente, a internacionalização da produção técnico-cientifica subsidiará a construção de paradigmas científicos produzidos em uma universidade tecnologicamente desenvolvida respeitando os princípios do desenvolvimento sustentável.    </w:t>
      </w:r>
    </w:p>
    <w:p w14:paraId="71029FE8" w14:textId="77777777" w:rsidR="00DA7023" w:rsidRPr="002D51F3" w:rsidRDefault="00DA7023" w:rsidP="00DA7023">
      <w:pPr>
        <w:pStyle w:val="PargrafodaLista"/>
        <w:spacing w:line="360" w:lineRule="auto"/>
        <w:ind w:left="0" w:firstLine="708"/>
        <w:jc w:val="both"/>
        <w:rPr>
          <w:rStyle w:val="normaltextrun"/>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Para a promoção da Internacionalização da Produção Técnico-Científica, podem ser </w:t>
      </w:r>
      <w:r w:rsidRPr="002D51F3">
        <w:rPr>
          <w:rFonts w:asciiTheme="majorHAnsi" w:eastAsia="Arial" w:hAnsiTheme="majorHAnsi" w:cstheme="majorHAnsi"/>
          <w:spacing w:val="-4"/>
          <w:sz w:val="24"/>
          <w:szCs w:val="24"/>
        </w:rPr>
        <w:t>realizadas ações como: estimular a publicação de artigos em periódicos internacionais; estimular</w:t>
      </w:r>
      <w:r w:rsidRPr="002D51F3">
        <w:rPr>
          <w:rFonts w:asciiTheme="majorHAnsi" w:eastAsia="Arial" w:hAnsiTheme="majorHAnsi" w:cstheme="majorHAnsi"/>
          <w:sz w:val="24"/>
          <w:szCs w:val="24"/>
        </w:rPr>
        <w:t xml:space="preserve"> a produção intelectual colaborativa internacional; fomentar a tradução/versão da produção técnico-científica em língua estrangeira; ofertar cursos de escrita acadêmica em idiomas </w:t>
      </w:r>
      <w:r w:rsidRPr="002D51F3">
        <w:rPr>
          <w:rFonts w:asciiTheme="majorHAnsi" w:eastAsia="Arial" w:hAnsiTheme="majorHAnsi" w:cstheme="majorHAnsi"/>
          <w:spacing w:val="-4"/>
          <w:sz w:val="24"/>
          <w:szCs w:val="24"/>
        </w:rPr>
        <w:t>estrangeiros; promover o apoio à participação em eventos internacionais; incrementar a captação</w:t>
      </w:r>
      <w:r w:rsidRPr="002D51F3">
        <w:rPr>
          <w:rFonts w:asciiTheme="majorHAnsi" w:eastAsia="Arial" w:hAnsiTheme="majorHAnsi" w:cstheme="majorHAnsi"/>
          <w:sz w:val="24"/>
          <w:szCs w:val="24"/>
        </w:rPr>
        <w:t xml:space="preserve"> de recursos nacionais e internacionais para a produção cientifica; fomentar a participação em grupos de pesquisa com projeção internacional; promover a divulgação da pesquisa: produtos, grupos, projetos, infraestrutura e do ecossistema de inovação; a</w:t>
      </w:r>
      <w:r w:rsidRPr="002D51F3">
        <w:rPr>
          <w:rStyle w:val="normaltextrun"/>
          <w:rFonts w:asciiTheme="majorHAnsi" w:eastAsia="Arial" w:hAnsiTheme="majorHAnsi" w:cstheme="majorHAnsi"/>
          <w:sz w:val="24"/>
          <w:szCs w:val="24"/>
        </w:rPr>
        <w:t>companhar a produção científica publicada em periódicos indexados em base de dados internacionais; entre outros.</w:t>
      </w:r>
    </w:p>
    <w:p w14:paraId="59BF22F0" w14:textId="77777777" w:rsidR="00DA7023" w:rsidRPr="002D51F3" w:rsidRDefault="00DA7023" w:rsidP="002D51F3">
      <w:pPr>
        <w:pStyle w:val="Ttulo4"/>
        <w:ind w:left="1843" w:hanging="864"/>
        <w:rPr>
          <w:rFonts w:asciiTheme="majorHAnsi" w:hAnsiTheme="majorHAnsi" w:cstheme="majorHAnsi"/>
        </w:rPr>
      </w:pPr>
      <w:r w:rsidRPr="002D51F3">
        <w:rPr>
          <w:rFonts w:asciiTheme="majorHAnsi" w:hAnsiTheme="majorHAnsi" w:cstheme="majorHAnsi"/>
        </w:rPr>
        <w:lastRenderedPageBreak/>
        <w:t>5.2.2.2 Participação em redes colaborativas internacionais</w:t>
      </w:r>
    </w:p>
    <w:p w14:paraId="2BED1DDD" w14:textId="78555791" w:rsidR="00DA7023" w:rsidRPr="002D51F3" w:rsidRDefault="00DA7023" w:rsidP="002D51F3">
      <w:pPr>
        <w:spacing w:line="360" w:lineRule="auto"/>
        <w:ind w:firstLine="709"/>
        <w:jc w:val="both"/>
        <w:rPr>
          <w:rFonts w:asciiTheme="majorHAnsi" w:hAnsiTheme="majorHAnsi" w:cstheme="majorHAnsi"/>
          <w:sz w:val="24"/>
          <w:szCs w:val="24"/>
        </w:rPr>
      </w:pPr>
      <w:r w:rsidRPr="002D51F3">
        <w:rPr>
          <w:rFonts w:asciiTheme="majorHAnsi" w:hAnsiTheme="majorHAnsi" w:cstheme="majorHAnsi"/>
          <w:sz w:val="24"/>
          <w:szCs w:val="24"/>
        </w:rPr>
        <w:t>A participação em redes colaborativas internacionais propiciará a internacionalização da pesquisa da UnDF com acesso ao ciclo do desenvolvimento científico mundial, apoiada em metodologias coparticipativas, alicerçadas na troca dialógica inter e multidisciplinar, com impacto no desenvolvimento da ciência.</w:t>
      </w:r>
    </w:p>
    <w:p w14:paraId="429F6EEB" w14:textId="77777777" w:rsidR="00DA7023" w:rsidRPr="002D51F3" w:rsidRDefault="00DA7023" w:rsidP="00DA7023">
      <w:pPr>
        <w:pStyle w:val="PargrafodaLista"/>
        <w:spacing w:line="360" w:lineRule="auto"/>
        <w:ind w:left="0" w:firstLine="709"/>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A promoção da Internacionalização da Pesquisa, com destaque à construção de redes colaborativas internacionais, poderá ser fomentada a partir de ações como: prover infraestrutura adequada para o desenvolvimento das atividades de pesquisa; incentivar a atração de pesquisadores internacionais; promover a criação de projetos com participação de docentes e de pesquisadores internacionais; promover visitas técnicas em instituições internacionais; instituir o Programa de Cátedras; entre outros.</w:t>
      </w:r>
    </w:p>
    <w:p w14:paraId="316F0B92" w14:textId="77777777" w:rsidR="00DA7023" w:rsidRPr="00BD1CCE" w:rsidRDefault="00DA7023" w:rsidP="002D51F3">
      <w:pPr>
        <w:pStyle w:val="Ttulo3"/>
        <w:ind w:left="1276" w:hanging="720"/>
        <w:rPr>
          <w:rFonts w:asciiTheme="majorHAnsi" w:hAnsiTheme="majorHAnsi" w:cstheme="majorHAnsi"/>
        </w:rPr>
      </w:pPr>
      <w:r w:rsidRPr="00BD1CCE">
        <w:rPr>
          <w:rFonts w:asciiTheme="majorHAnsi" w:hAnsiTheme="majorHAnsi" w:cstheme="majorHAnsi"/>
        </w:rPr>
        <w:t xml:space="preserve">5.2.3. Política de Internacionalização da </w:t>
      </w:r>
      <w:r w:rsidRPr="002D51F3">
        <w:rPr>
          <w:rFonts w:asciiTheme="majorHAnsi" w:hAnsiTheme="majorHAnsi" w:cstheme="majorHAnsi"/>
        </w:rPr>
        <w:t>Extensão</w:t>
      </w:r>
      <w:r w:rsidRPr="00BD1CCE">
        <w:rPr>
          <w:rFonts w:asciiTheme="majorHAnsi" w:hAnsiTheme="majorHAnsi" w:cstheme="majorHAnsi"/>
        </w:rPr>
        <w:t xml:space="preserve"> da UnDF</w:t>
      </w:r>
    </w:p>
    <w:p w14:paraId="498B00E4" w14:textId="5468B51C" w:rsidR="002D51F3" w:rsidRPr="002D51F3" w:rsidRDefault="00DA7023" w:rsidP="002D51F3">
      <w:pPr>
        <w:spacing w:line="360" w:lineRule="auto"/>
        <w:ind w:firstLine="709"/>
        <w:jc w:val="both"/>
        <w:rPr>
          <w:rFonts w:asciiTheme="majorHAnsi" w:eastAsia="Arial" w:hAnsiTheme="majorHAnsi" w:cstheme="majorHAnsi"/>
          <w:sz w:val="24"/>
          <w:szCs w:val="24"/>
        </w:rPr>
      </w:pPr>
      <w:r w:rsidRPr="002D51F3">
        <w:rPr>
          <w:rFonts w:asciiTheme="majorHAnsi" w:hAnsiTheme="majorHAnsi" w:cstheme="majorHAnsi"/>
          <w:sz w:val="24"/>
          <w:szCs w:val="24"/>
        </w:rPr>
        <w:t xml:space="preserve">A Política de Internacionalização da extensão da UnDF visa à inovação e à excelência acadêmica, mediante a articulação permanente e indissociada com o ensino e a pesquisa, para a produção compartilhada do conhecimento, da cooperação e do intercâmbio entre os membros da comunidade acadêmica e da sociedade, </w:t>
      </w:r>
      <w:r w:rsidRPr="002D51F3">
        <w:rPr>
          <w:rFonts w:asciiTheme="majorHAnsi" w:eastAsia="Arial" w:hAnsiTheme="majorHAnsi" w:cstheme="majorHAnsi"/>
          <w:sz w:val="24"/>
          <w:szCs w:val="24"/>
        </w:rPr>
        <w:t xml:space="preserve">contribuindo com desenvolvimento sustentável das comunidades nacionais e internacionais e promovendo uma educação inclusiva, equitativa e de qualidade. </w:t>
      </w:r>
    </w:p>
    <w:p w14:paraId="35155126" w14:textId="20DC969E" w:rsidR="00DA7023" w:rsidRPr="002D51F3" w:rsidRDefault="00DA7023" w:rsidP="002D51F3">
      <w:pPr>
        <w:spacing w:line="360" w:lineRule="auto"/>
        <w:ind w:firstLine="708"/>
        <w:jc w:val="both"/>
        <w:rPr>
          <w:rFonts w:asciiTheme="majorHAnsi" w:eastAsia="Arial" w:hAnsiTheme="majorHAnsi" w:cstheme="majorHAnsi"/>
          <w:sz w:val="24"/>
          <w:szCs w:val="24"/>
        </w:rPr>
      </w:pPr>
      <w:r w:rsidRPr="002D51F3">
        <w:rPr>
          <w:rFonts w:asciiTheme="majorHAnsi" w:eastAsia="Arial" w:hAnsiTheme="majorHAnsi" w:cstheme="majorHAnsi"/>
          <w:sz w:val="24"/>
          <w:szCs w:val="24"/>
        </w:rPr>
        <w:t xml:space="preserve">Para a promoção da Política de Internacionalização da Extensão, podem ser desenvolvidas ações como: promover </w:t>
      </w:r>
      <w:r w:rsidRPr="002D51F3">
        <w:rPr>
          <w:rFonts w:asciiTheme="majorHAnsi" w:hAnsiTheme="majorHAnsi" w:cstheme="majorHAnsi"/>
          <w:sz w:val="24"/>
          <w:szCs w:val="24"/>
        </w:rPr>
        <w:t xml:space="preserve">projetos e programas de extensão orientados para temáticas globais, considerando a realidade local e regional; fomentar a difusão do conhecimento produzido com base na extensão em nível internacional; oportunizar a participação de docentes, pesquisadores e estudantes internacionais nos projetos e programas de extensão; aumentar a visibilidade da temática da internacionalização dentro da comunidade local por meio de eventos, feiras, exposições e atividades de divulgação; fomentar a internacionalização da extensão através da emblemática relação com as embaixadas de países estrangeiros sediadas em Brasília, bem como representações de organismos internacionais e/ou com articulação internacional; organizar debates, fóruns, seminários e palestras focadas na internacionalização da Universidade direcionados à comunidade acadêmica; </w:t>
      </w:r>
      <w:r w:rsidRPr="002D51F3">
        <w:rPr>
          <w:rStyle w:val="normaltextrun"/>
          <w:rFonts w:asciiTheme="majorHAnsi" w:hAnsiTheme="majorHAnsi" w:cstheme="majorHAnsi"/>
          <w:sz w:val="24"/>
          <w:szCs w:val="24"/>
          <w:shd w:val="clear" w:color="auto" w:fill="FFFFFF"/>
        </w:rPr>
        <w:t xml:space="preserve">estimular o desenvolvimento de ações de extensão que promovam a difusão de diferentes línguas e culturas na comunidade acadêmica; </w:t>
      </w:r>
      <w:r w:rsidRPr="002D51F3">
        <w:rPr>
          <w:rFonts w:asciiTheme="majorHAnsi" w:hAnsiTheme="majorHAnsi" w:cstheme="majorHAnsi"/>
          <w:sz w:val="24"/>
          <w:szCs w:val="24"/>
        </w:rPr>
        <w:t xml:space="preserve">estabelecer interações com a sociedade e </w:t>
      </w:r>
      <w:r w:rsidRPr="002D51F3">
        <w:rPr>
          <w:rFonts w:asciiTheme="majorHAnsi" w:hAnsiTheme="majorHAnsi" w:cstheme="majorHAnsi"/>
          <w:sz w:val="24"/>
          <w:szCs w:val="24"/>
        </w:rPr>
        <w:lastRenderedPageBreak/>
        <w:t>com o poder público ou com o setor produtivo com o objetivo de fomento às ações de internacionalização da extensão; p</w:t>
      </w:r>
      <w:r w:rsidRPr="002D51F3">
        <w:rPr>
          <w:rFonts w:asciiTheme="majorHAnsi" w:hAnsiTheme="majorHAnsi" w:cstheme="majorHAnsi"/>
          <w:sz w:val="24"/>
          <w:szCs w:val="24"/>
          <w:shd w:val="clear" w:color="auto" w:fill="FFFFFF"/>
        </w:rPr>
        <w:t xml:space="preserve">romover oportunidades de interação entre a universidade e a sociedade, </w:t>
      </w:r>
      <w:r w:rsidRPr="002D51F3">
        <w:rPr>
          <w:rFonts w:asciiTheme="majorHAnsi" w:hAnsiTheme="majorHAnsi" w:cstheme="majorHAnsi"/>
          <w:sz w:val="24"/>
          <w:szCs w:val="24"/>
        </w:rPr>
        <w:t xml:space="preserve">por meio de parcerias com comunidades locais, regionais, internacionais e interculturais, </w:t>
      </w:r>
      <w:r w:rsidRPr="002D51F3">
        <w:rPr>
          <w:rFonts w:asciiTheme="majorHAnsi" w:hAnsiTheme="majorHAnsi" w:cstheme="majorHAnsi"/>
          <w:sz w:val="24"/>
          <w:szCs w:val="24"/>
          <w:shd w:val="clear" w:color="auto" w:fill="FFFFFF"/>
        </w:rPr>
        <w:t>possibilitando a troca de saberes, a aprendizagem mútua e o desenvolvimento sustentável; entre outros.</w:t>
      </w:r>
    </w:p>
    <w:p w14:paraId="073F2F75" w14:textId="77777777" w:rsidR="00DA7023" w:rsidRPr="00BD1CCE" w:rsidRDefault="00DA7023" w:rsidP="002D51F3">
      <w:pPr>
        <w:pStyle w:val="Ttulo3"/>
        <w:ind w:left="1276" w:hanging="720"/>
        <w:rPr>
          <w:rFonts w:asciiTheme="majorHAnsi" w:hAnsiTheme="majorHAnsi" w:cstheme="majorHAnsi"/>
        </w:rPr>
      </w:pPr>
      <w:r w:rsidRPr="00BD1CCE">
        <w:rPr>
          <w:rFonts w:asciiTheme="majorHAnsi" w:hAnsiTheme="majorHAnsi" w:cstheme="majorHAnsi"/>
        </w:rPr>
        <w:t xml:space="preserve">5.2.4. Política de Internacionalização da </w:t>
      </w:r>
      <w:r w:rsidRPr="002D51F3">
        <w:rPr>
          <w:rFonts w:asciiTheme="majorHAnsi" w:hAnsiTheme="majorHAnsi" w:cstheme="majorHAnsi"/>
        </w:rPr>
        <w:t>Cultura e Arte</w:t>
      </w:r>
      <w:r w:rsidRPr="00BD1CCE">
        <w:rPr>
          <w:rFonts w:asciiTheme="majorHAnsi" w:hAnsiTheme="majorHAnsi" w:cstheme="majorHAnsi"/>
        </w:rPr>
        <w:t xml:space="preserve"> na UnDF</w:t>
      </w:r>
    </w:p>
    <w:p w14:paraId="5B91CA15" w14:textId="010438EB" w:rsidR="00DA7023" w:rsidRPr="002D51F3" w:rsidRDefault="00DA7023" w:rsidP="002D51F3">
      <w:pPr>
        <w:spacing w:line="360" w:lineRule="auto"/>
        <w:ind w:firstLine="709"/>
        <w:jc w:val="both"/>
        <w:rPr>
          <w:rFonts w:asciiTheme="majorHAnsi" w:hAnsiTheme="majorHAnsi" w:cstheme="majorHAnsi"/>
          <w:sz w:val="24"/>
          <w:szCs w:val="24"/>
          <w:shd w:val="clear" w:color="auto" w:fill="FFFFFF"/>
        </w:rPr>
      </w:pPr>
      <w:r w:rsidRPr="002D51F3">
        <w:rPr>
          <w:rFonts w:asciiTheme="majorHAnsi" w:hAnsiTheme="majorHAnsi" w:cstheme="majorHAnsi"/>
          <w:sz w:val="24"/>
          <w:szCs w:val="24"/>
        </w:rPr>
        <w:t xml:space="preserve">A Política de Internacionalização da Cultura e Arte na UnDF tem como objetivo a </w:t>
      </w:r>
      <w:r w:rsidRPr="002D51F3">
        <w:rPr>
          <w:rFonts w:asciiTheme="majorHAnsi" w:hAnsiTheme="majorHAnsi" w:cstheme="majorHAnsi"/>
          <w:spacing w:val="-4"/>
          <w:sz w:val="24"/>
          <w:szCs w:val="24"/>
        </w:rPr>
        <w:t>criação de um ambiente que promova o diálogo e a interconexão de culturas, de sistemas de valores</w:t>
      </w:r>
      <w:r w:rsidRPr="002D51F3">
        <w:rPr>
          <w:rFonts w:asciiTheme="majorHAnsi" w:hAnsiTheme="majorHAnsi" w:cstheme="majorHAnsi"/>
          <w:sz w:val="24"/>
          <w:szCs w:val="24"/>
        </w:rPr>
        <w:t xml:space="preserve">, de tradições, de línguas e de pessoas, o respeito </w:t>
      </w:r>
      <w:r w:rsidRPr="002D51F3">
        <w:rPr>
          <w:rFonts w:asciiTheme="majorHAnsi" w:hAnsiTheme="majorHAnsi" w:cstheme="majorHAnsi"/>
          <w:sz w:val="24"/>
          <w:szCs w:val="24"/>
          <w:shd w:val="clear" w:color="auto" w:fill="FFFFFF"/>
        </w:rPr>
        <w:t xml:space="preserve">à pluralidade de pensamento, a tolerância, os direitos </w:t>
      </w:r>
      <w:r w:rsidRPr="002D51F3">
        <w:rPr>
          <w:rFonts w:asciiTheme="majorHAnsi" w:hAnsiTheme="majorHAnsi" w:cstheme="majorHAnsi"/>
          <w:spacing w:val="-4"/>
          <w:sz w:val="24"/>
          <w:szCs w:val="24"/>
          <w:shd w:val="clear" w:color="auto" w:fill="FFFFFF"/>
        </w:rPr>
        <w:t>humanos e as liberdades fundamentais, contribuindo para a construção da identidade institucional.</w:t>
      </w:r>
      <w:r w:rsidRPr="002D51F3">
        <w:rPr>
          <w:rFonts w:asciiTheme="majorHAnsi" w:hAnsiTheme="majorHAnsi" w:cstheme="majorHAnsi"/>
          <w:sz w:val="24"/>
          <w:szCs w:val="24"/>
          <w:shd w:val="clear" w:color="auto" w:fill="FFFFFF"/>
        </w:rPr>
        <w:t xml:space="preserve"> </w:t>
      </w:r>
    </w:p>
    <w:p w14:paraId="03027E52" w14:textId="1A084CF7" w:rsidR="00DA7023" w:rsidRPr="002D51F3" w:rsidRDefault="00DA7023" w:rsidP="002D51F3">
      <w:pPr>
        <w:spacing w:after="120" w:line="360" w:lineRule="auto"/>
        <w:ind w:firstLine="709"/>
        <w:jc w:val="both"/>
        <w:rPr>
          <w:rFonts w:asciiTheme="majorHAnsi" w:eastAsia="Arial" w:hAnsiTheme="majorHAnsi" w:cstheme="majorHAnsi"/>
          <w:sz w:val="24"/>
          <w:szCs w:val="24"/>
        </w:rPr>
      </w:pPr>
      <w:r w:rsidRPr="002D51F3">
        <w:rPr>
          <w:rFonts w:asciiTheme="majorHAnsi" w:hAnsiTheme="majorHAnsi" w:cstheme="majorHAnsi"/>
          <w:sz w:val="24"/>
          <w:szCs w:val="24"/>
          <w:shd w:val="clear" w:color="auto" w:fill="FFFFFF"/>
        </w:rPr>
        <w:t xml:space="preserve">Para </w:t>
      </w:r>
      <w:r w:rsidRPr="002D51F3">
        <w:rPr>
          <w:rFonts w:asciiTheme="majorHAnsi" w:eastAsia="Arial" w:hAnsiTheme="majorHAnsi" w:cstheme="majorHAnsi"/>
          <w:sz w:val="24"/>
          <w:szCs w:val="24"/>
        </w:rPr>
        <w:t xml:space="preserve">a promoção da Política de Internacionalização da Cultura e Arte, podem ser realizadas as seguintes ações: </w:t>
      </w:r>
      <w:r w:rsidRPr="002D51F3">
        <w:rPr>
          <w:rFonts w:asciiTheme="majorHAnsi" w:hAnsiTheme="majorHAnsi" w:cstheme="majorHAnsi"/>
          <w:sz w:val="24"/>
          <w:szCs w:val="24"/>
        </w:rPr>
        <w:t xml:space="preserve">promover ações culturais de internacionalização por meio da realização de mostras interculturais, com arte, música, dança, literatura, gastronomia, cultura, entre outros, dos países dos estudantes internacionais em eventos institucionais; fomentar a internacionalização da cultura e arte através da emblemática relação com as embaixadas de países estrangeiros sediadas em Brasília; promover a difusão cultural sobre a América Latina e o Caribe em âmbito internacional por meio de parcerias </w:t>
      </w:r>
      <w:r w:rsidRPr="002D51F3">
        <w:rPr>
          <w:rFonts w:asciiTheme="majorHAnsi" w:eastAsia="Arial" w:hAnsiTheme="majorHAnsi" w:cstheme="majorHAnsi"/>
          <w:sz w:val="24"/>
          <w:szCs w:val="24"/>
        </w:rPr>
        <w:t xml:space="preserve">com embaixadas e outras instituições de cooperação internacional; </w:t>
      </w:r>
      <w:r w:rsidRPr="002D51F3">
        <w:rPr>
          <w:rFonts w:asciiTheme="majorHAnsi" w:hAnsiTheme="majorHAnsi" w:cstheme="majorHAnsi"/>
          <w:sz w:val="24"/>
          <w:szCs w:val="24"/>
        </w:rPr>
        <w:t>incentivar o intercâmbio acadêmico com fins culturais; implantar um programa de orientação acadêmica e cultural para os estudantes internacionais; promover ações de integração intercultural entre os estudantes, docentes e pesquisadores nacionais e internacionais, com vistas à preservar as identidades culturais, e desenvolver o respeito mútuo; entre outros.</w:t>
      </w:r>
    </w:p>
    <w:p w14:paraId="5D15EC00" w14:textId="77777777" w:rsidR="00DA7023" w:rsidRPr="00BD1CCE" w:rsidRDefault="00DA7023" w:rsidP="002D51F3">
      <w:pPr>
        <w:pStyle w:val="Ttulo3"/>
        <w:ind w:left="1276" w:hanging="720"/>
        <w:rPr>
          <w:rFonts w:asciiTheme="majorHAnsi" w:hAnsiTheme="majorHAnsi" w:cstheme="majorHAnsi"/>
        </w:rPr>
      </w:pPr>
      <w:r w:rsidRPr="00BD1CCE">
        <w:rPr>
          <w:rFonts w:asciiTheme="majorHAnsi" w:hAnsiTheme="majorHAnsi" w:cstheme="majorHAnsi"/>
        </w:rPr>
        <w:t xml:space="preserve">5.2.5. Política de Internacionalização da </w:t>
      </w:r>
      <w:r w:rsidRPr="002D51F3">
        <w:rPr>
          <w:rFonts w:asciiTheme="majorHAnsi" w:hAnsiTheme="majorHAnsi" w:cstheme="majorHAnsi"/>
        </w:rPr>
        <w:t>Gestão</w:t>
      </w:r>
      <w:r w:rsidRPr="00BD1CCE">
        <w:rPr>
          <w:rFonts w:asciiTheme="majorHAnsi" w:hAnsiTheme="majorHAnsi" w:cstheme="majorHAnsi"/>
        </w:rPr>
        <w:t xml:space="preserve"> na UnDF</w:t>
      </w:r>
    </w:p>
    <w:p w14:paraId="30D38707" w14:textId="77777777" w:rsidR="00DA7023" w:rsidRPr="002D51F3" w:rsidRDefault="00DA7023" w:rsidP="00DA7023">
      <w:pPr>
        <w:spacing w:line="360" w:lineRule="auto"/>
        <w:ind w:firstLine="708"/>
        <w:jc w:val="both"/>
        <w:rPr>
          <w:rFonts w:asciiTheme="majorHAnsi" w:hAnsiTheme="majorHAnsi" w:cstheme="majorHAnsi"/>
          <w:sz w:val="24"/>
          <w:szCs w:val="24"/>
        </w:rPr>
      </w:pPr>
      <w:r w:rsidRPr="002D51F3">
        <w:rPr>
          <w:rFonts w:asciiTheme="majorHAnsi" w:hAnsiTheme="majorHAnsi" w:cstheme="majorHAnsi"/>
          <w:sz w:val="24"/>
          <w:szCs w:val="24"/>
        </w:rPr>
        <w:t xml:space="preserve">A Política de Internacionalização da Gestão da UnDF visa a gerir os processos acadêmicos e administrativos com o propósito de difundir a cultura de internacionalização, voltada à excelência e à missão organizacional, atendendo aos princípios do desenvolvimento sustentável. Essa política congrega três dimensões: gestão geral, formação/capacitação de pessoal acadêmico e administrativo, e avaliação e monitoramento. </w:t>
      </w:r>
    </w:p>
    <w:p w14:paraId="385136AE" w14:textId="77777777" w:rsidR="00DA7023" w:rsidRPr="002D51F3" w:rsidRDefault="00DA7023" w:rsidP="002D51F3">
      <w:pPr>
        <w:pStyle w:val="Ttulo4"/>
        <w:ind w:left="1843" w:hanging="864"/>
        <w:rPr>
          <w:rFonts w:asciiTheme="majorHAnsi" w:hAnsiTheme="majorHAnsi" w:cstheme="majorHAnsi"/>
        </w:rPr>
      </w:pPr>
      <w:r w:rsidRPr="002D51F3">
        <w:rPr>
          <w:rFonts w:asciiTheme="majorHAnsi" w:hAnsiTheme="majorHAnsi" w:cstheme="majorHAnsi"/>
        </w:rPr>
        <w:lastRenderedPageBreak/>
        <w:t xml:space="preserve">5.2.5.1 Gestão Geral </w:t>
      </w:r>
    </w:p>
    <w:p w14:paraId="6321A93D" w14:textId="77777777" w:rsidR="002D51F3" w:rsidRPr="002D51F3" w:rsidRDefault="00DA7023" w:rsidP="002D51F3">
      <w:pPr>
        <w:spacing w:line="360" w:lineRule="auto"/>
        <w:ind w:firstLine="709"/>
        <w:jc w:val="both"/>
        <w:rPr>
          <w:rFonts w:asciiTheme="majorHAnsi" w:hAnsiTheme="majorHAnsi" w:cstheme="majorHAnsi"/>
          <w:sz w:val="24"/>
          <w:szCs w:val="24"/>
        </w:rPr>
      </w:pPr>
      <w:r w:rsidRPr="002D51F3">
        <w:rPr>
          <w:rFonts w:asciiTheme="majorHAnsi" w:hAnsiTheme="majorHAnsi" w:cstheme="majorHAnsi"/>
          <w:sz w:val="24"/>
          <w:szCs w:val="24"/>
        </w:rPr>
        <w:t>A dimensão Gestão Geral da Política de Internacionalização da Gestão da UnDF visa a promover a cultura de internacionalização em toda a instituição, qualificar os processos acadêmicos e administrativos como meio para atingir a excelência acadêmica, alcançar a missão e a visão institucional atendendo aos princípios do desenvolvimento sustentável. É composta por três eixos: comunicação, infraestrutura e cooperação internacional.</w:t>
      </w:r>
    </w:p>
    <w:p w14:paraId="19C01EB9" w14:textId="20973038" w:rsidR="00DA7023" w:rsidRPr="002D51F3" w:rsidRDefault="00DA7023" w:rsidP="002D51F3">
      <w:pPr>
        <w:spacing w:line="360" w:lineRule="auto"/>
        <w:ind w:firstLine="709"/>
        <w:jc w:val="both"/>
        <w:rPr>
          <w:rFonts w:asciiTheme="majorHAnsi" w:hAnsiTheme="majorHAnsi" w:cstheme="majorHAnsi"/>
          <w:sz w:val="24"/>
          <w:szCs w:val="24"/>
        </w:rPr>
      </w:pPr>
      <w:r w:rsidRPr="002D51F3">
        <w:rPr>
          <w:rFonts w:asciiTheme="majorHAnsi" w:eastAsia="Arial" w:hAnsiTheme="majorHAnsi" w:cstheme="majorHAnsi"/>
          <w:sz w:val="24"/>
          <w:szCs w:val="24"/>
        </w:rPr>
        <w:t xml:space="preserve">A promoção da dimensão Gestão Geral pode ser realizada a partir de ações como: </w:t>
      </w:r>
      <w:r w:rsidRPr="002D51F3">
        <w:rPr>
          <w:rFonts w:asciiTheme="majorHAnsi" w:eastAsia="Calibri" w:hAnsiTheme="majorHAnsi" w:cstheme="majorHAnsi"/>
          <w:sz w:val="24"/>
          <w:szCs w:val="24"/>
        </w:rPr>
        <w:t>estabelecer a internacionalização da Universidade como um compromisso no âmbito da administração central e de todas as unidades acadêmicas;</w:t>
      </w:r>
      <w:r w:rsidRPr="002D51F3">
        <w:rPr>
          <w:rFonts w:asciiTheme="majorHAnsi" w:hAnsiTheme="majorHAnsi" w:cstheme="majorHAnsi"/>
          <w:sz w:val="24"/>
          <w:szCs w:val="24"/>
        </w:rPr>
        <w:t xml:space="preserve"> </w:t>
      </w:r>
      <w:r w:rsidRPr="002D51F3">
        <w:rPr>
          <w:rFonts w:asciiTheme="majorHAnsi" w:eastAsia="Calibri" w:hAnsiTheme="majorHAnsi" w:cstheme="majorHAnsi"/>
          <w:sz w:val="24"/>
          <w:szCs w:val="24"/>
        </w:rPr>
        <w:t xml:space="preserve"> implementar um sistema integrado de gestão dos processos de internacionalização, contemplando os dados relativos à mobilidade acadêmica, afastamentos para o exterior, matrícula de estudantes internacionais, registro da participação de docentes e pesquisadores internacionais nos diversos setores da instituição, convênios, recursos humanos e orçamentários, entre outros;</w:t>
      </w:r>
      <w:r w:rsidRPr="002D51F3">
        <w:rPr>
          <w:rFonts w:asciiTheme="majorHAnsi" w:eastAsiaTheme="minorEastAsia" w:hAnsiTheme="majorHAnsi" w:cstheme="majorHAnsi"/>
          <w:sz w:val="24"/>
          <w:szCs w:val="24"/>
        </w:rPr>
        <w:t xml:space="preserve"> </w:t>
      </w:r>
      <w:r w:rsidRPr="002D51F3">
        <w:rPr>
          <w:rFonts w:asciiTheme="majorHAnsi" w:eastAsia="Calibri" w:hAnsiTheme="majorHAnsi" w:cstheme="majorHAnsi"/>
          <w:sz w:val="24"/>
          <w:szCs w:val="24"/>
        </w:rPr>
        <w:t>participar de associações e de comitês internacionais e</w:t>
      </w:r>
      <w:r w:rsidRPr="002D51F3">
        <w:rPr>
          <w:rFonts w:asciiTheme="majorHAnsi" w:eastAsiaTheme="minorEastAsia" w:hAnsiTheme="majorHAnsi" w:cstheme="majorHAnsi"/>
          <w:sz w:val="24"/>
          <w:szCs w:val="24"/>
        </w:rPr>
        <w:t xml:space="preserve"> </w:t>
      </w:r>
      <w:r w:rsidRPr="002D51F3">
        <w:rPr>
          <w:rFonts w:asciiTheme="majorHAnsi" w:eastAsia="Calibri" w:hAnsiTheme="majorHAnsi" w:cstheme="majorHAnsi"/>
          <w:sz w:val="24"/>
          <w:szCs w:val="24"/>
        </w:rPr>
        <w:t>governamentais envolvidos com questões internacionais;</w:t>
      </w:r>
      <w:r w:rsidRPr="002D51F3">
        <w:rPr>
          <w:rFonts w:asciiTheme="majorHAnsi" w:eastAsiaTheme="minorEastAsia" w:hAnsiTheme="majorHAnsi" w:cstheme="majorHAnsi"/>
          <w:sz w:val="24"/>
          <w:szCs w:val="24"/>
        </w:rPr>
        <w:t xml:space="preserve"> </w:t>
      </w:r>
      <w:r w:rsidRPr="002D51F3">
        <w:rPr>
          <w:rFonts w:asciiTheme="majorHAnsi" w:eastAsia="Calibri" w:hAnsiTheme="majorHAnsi" w:cstheme="majorHAnsi"/>
          <w:sz w:val="24"/>
          <w:szCs w:val="24"/>
        </w:rPr>
        <w:t xml:space="preserve">instituir uma política de empreendedorismo e de inovação voltada à internacionalização; fomentar a interrelação com o sistema de educação básica e, em especifico, com a rede pública para a </w:t>
      </w:r>
      <w:r w:rsidRPr="002D51F3">
        <w:rPr>
          <w:rFonts w:asciiTheme="majorHAnsi" w:eastAsiaTheme="minorEastAsia" w:hAnsiTheme="majorHAnsi" w:cstheme="majorHAnsi"/>
          <w:sz w:val="24"/>
          <w:szCs w:val="24"/>
        </w:rPr>
        <w:t>promoção de ações que desenvolvem a cultura da internacionalização no sistema de educação como um todo; fortalecer a imagem e a inserção da UnDF no cenário local, regional e internacional;</w:t>
      </w:r>
      <w:r w:rsidRPr="002D51F3">
        <w:rPr>
          <w:rFonts w:asciiTheme="majorHAnsi" w:eastAsia="Calibri" w:hAnsiTheme="majorHAnsi" w:cstheme="majorHAnsi"/>
          <w:sz w:val="24"/>
          <w:szCs w:val="24"/>
        </w:rPr>
        <w:t xml:space="preserve"> </w:t>
      </w:r>
      <w:r w:rsidRPr="002D51F3">
        <w:rPr>
          <w:rFonts w:asciiTheme="majorHAnsi" w:eastAsiaTheme="minorEastAsia" w:hAnsiTheme="majorHAnsi" w:cstheme="majorHAnsi"/>
          <w:sz w:val="24"/>
          <w:szCs w:val="24"/>
        </w:rPr>
        <w:t>criar uma estrutura organizacional administrativa ligada à reitoria para a gestão do processo de internacionalização</w:t>
      </w:r>
      <w:r w:rsidRPr="002D51F3">
        <w:rPr>
          <w:rFonts w:asciiTheme="majorHAnsi" w:eastAsia="Calibri" w:hAnsiTheme="majorHAnsi" w:cstheme="majorHAnsi"/>
          <w:sz w:val="24"/>
          <w:szCs w:val="24"/>
        </w:rPr>
        <w:t>; criar um Comitê de Internacionalização, responsável por acompanhar, por monitorar e por avaliar o processo de internacionalização da UnDF, por sugerir políticas, estratégias e ações para a internacionalização da universidade e por promover a capilarização do processo de internacionalização nas unidades acadêmicas e administrativas; alocar recursos orçamentários e humanos para apoiar o desenvolvimento e a consolidação dessa política de internacionalização.</w:t>
      </w:r>
    </w:p>
    <w:p w14:paraId="7A6767CF" w14:textId="77777777" w:rsidR="00DA7023" w:rsidRPr="002D51F3" w:rsidRDefault="00DA7023" w:rsidP="00DA7023">
      <w:pPr>
        <w:spacing w:line="360" w:lineRule="auto"/>
        <w:jc w:val="both"/>
        <w:rPr>
          <w:rFonts w:asciiTheme="majorHAnsi" w:eastAsia="Calibri" w:hAnsiTheme="majorHAnsi" w:cstheme="majorHAnsi"/>
        </w:rPr>
      </w:pPr>
    </w:p>
    <w:p w14:paraId="4E215071" w14:textId="5444B3CB" w:rsidR="00DA7023" w:rsidRPr="002D51F3" w:rsidRDefault="00DA7023" w:rsidP="00DA7023">
      <w:pPr>
        <w:spacing w:line="360" w:lineRule="auto"/>
        <w:jc w:val="both"/>
        <w:rPr>
          <w:rFonts w:asciiTheme="majorHAnsi" w:eastAsia="Calibri" w:hAnsiTheme="majorHAnsi" w:cstheme="majorHAnsi"/>
          <w:b/>
          <w:bCs/>
        </w:rPr>
      </w:pPr>
      <w:r w:rsidRPr="002D51F3">
        <w:rPr>
          <w:rFonts w:asciiTheme="majorHAnsi" w:eastAsia="Calibri" w:hAnsiTheme="majorHAnsi" w:cstheme="majorHAnsi"/>
          <w:b/>
          <w:bCs/>
        </w:rPr>
        <w:t>I. Eixo Comunicação</w:t>
      </w:r>
    </w:p>
    <w:p w14:paraId="6F17EA45" w14:textId="1D6669AC" w:rsidR="00DA7023" w:rsidRPr="002D51F3" w:rsidRDefault="00DA7023" w:rsidP="002D51F3">
      <w:pPr>
        <w:spacing w:line="360" w:lineRule="auto"/>
        <w:ind w:firstLine="709"/>
        <w:jc w:val="both"/>
        <w:rPr>
          <w:rFonts w:asciiTheme="majorHAnsi" w:hAnsiTheme="majorHAnsi" w:cstheme="majorHAnsi"/>
        </w:rPr>
      </w:pPr>
      <w:r w:rsidRPr="002D51F3">
        <w:rPr>
          <w:rFonts w:asciiTheme="majorHAnsi" w:eastAsia="Arial" w:hAnsiTheme="majorHAnsi" w:cstheme="majorHAnsi"/>
        </w:rPr>
        <w:t xml:space="preserve">A promoção do eixo Comunicação, no âmbito da Política de Internacionalização da Gestão da UnDF, visa a abrir as portas da instituição para o mundo através de um </w:t>
      </w:r>
      <w:r w:rsidRPr="002D51F3">
        <w:rPr>
          <w:rFonts w:asciiTheme="majorHAnsi" w:hAnsiTheme="majorHAnsi" w:cstheme="majorHAnsi"/>
        </w:rPr>
        <w:t xml:space="preserve">discurso comunicacional, que promova o diálogo entre seus diferentes públicos e que contribua para a construção da imagem institucional. </w:t>
      </w:r>
    </w:p>
    <w:p w14:paraId="03835680" w14:textId="77777777" w:rsidR="00DA7023" w:rsidRPr="002D51F3" w:rsidRDefault="00DA7023" w:rsidP="00DA7023">
      <w:pPr>
        <w:pStyle w:val="PargrafodaLista"/>
        <w:spacing w:line="360" w:lineRule="auto"/>
        <w:ind w:left="0" w:firstLine="708"/>
        <w:jc w:val="both"/>
        <w:rPr>
          <w:rFonts w:asciiTheme="majorHAnsi" w:hAnsiTheme="majorHAnsi" w:cstheme="majorHAnsi"/>
        </w:rPr>
      </w:pPr>
      <w:r w:rsidRPr="002D51F3">
        <w:rPr>
          <w:rFonts w:asciiTheme="majorHAnsi" w:eastAsia="Arial" w:hAnsiTheme="majorHAnsi" w:cstheme="majorHAnsi"/>
        </w:rPr>
        <w:lastRenderedPageBreak/>
        <w:t>A internacionalização da Comunicação na UnDF poderá ser realizada a partir de ações como: e</w:t>
      </w:r>
      <w:r w:rsidRPr="002D51F3">
        <w:rPr>
          <w:rFonts w:asciiTheme="majorHAnsi" w:eastAsia="Calibri" w:hAnsiTheme="majorHAnsi" w:cstheme="majorHAnsi"/>
        </w:rPr>
        <w:t xml:space="preserve">stabelecer estratégias de marketing e de promoção internacional da universidade; utilizar diferentes idiomas nos canais oficiais institucionais; desenvolver a página </w:t>
      </w:r>
      <w:r w:rsidRPr="002D51F3">
        <w:rPr>
          <w:rFonts w:asciiTheme="majorHAnsi" w:eastAsia="Calibri" w:hAnsiTheme="majorHAnsi" w:cstheme="majorHAnsi"/>
          <w:i/>
          <w:iCs/>
        </w:rPr>
        <w:t>web</w:t>
      </w:r>
      <w:r w:rsidRPr="002D51F3">
        <w:rPr>
          <w:rFonts w:asciiTheme="majorHAnsi" w:eastAsia="Calibri" w:hAnsiTheme="majorHAnsi" w:cstheme="majorHAnsi"/>
        </w:rPr>
        <w:t xml:space="preserve"> da universidade nos idiomas português, espanhol e inglês; emitir documentação acadêmica em inglês e espanhol e em outras línguas quando for necessário; promover a sinalização do </w:t>
      </w:r>
      <w:r w:rsidRPr="002D51F3">
        <w:rPr>
          <w:rFonts w:asciiTheme="majorHAnsi" w:eastAsia="Calibri" w:hAnsiTheme="majorHAnsi" w:cstheme="majorHAnsi"/>
          <w:i/>
          <w:iCs/>
        </w:rPr>
        <w:t>campus</w:t>
      </w:r>
      <w:r w:rsidRPr="002D51F3">
        <w:rPr>
          <w:rFonts w:asciiTheme="majorHAnsi" w:eastAsia="Calibri" w:hAnsiTheme="majorHAnsi" w:cstheme="majorHAnsi"/>
        </w:rPr>
        <w:t xml:space="preserve"> em outras línguas, de modo a desenvolver ambientes favoráveis à internacionalização; entre outros.</w:t>
      </w:r>
    </w:p>
    <w:p w14:paraId="609A22AC" w14:textId="77777777" w:rsidR="00DA7023" w:rsidRPr="002D51F3" w:rsidRDefault="00DA7023" w:rsidP="00DA7023">
      <w:pPr>
        <w:spacing w:line="360" w:lineRule="auto"/>
        <w:rPr>
          <w:rFonts w:asciiTheme="majorHAnsi" w:hAnsiTheme="majorHAnsi" w:cstheme="majorHAnsi"/>
        </w:rPr>
      </w:pPr>
    </w:p>
    <w:p w14:paraId="143106D7" w14:textId="77777777" w:rsidR="00DA7023" w:rsidRPr="002D51F3" w:rsidRDefault="00DA7023" w:rsidP="00DA7023">
      <w:pPr>
        <w:spacing w:line="360" w:lineRule="auto"/>
        <w:rPr>
          <w:rFonts w:asciiTheme="majorHAnsi" w:hAnsiTheme="majorHAnsi" w:cstheme="majorHAnsi"/>
          <w:b/>
          <w:bCs/>
        </w:rPr>
      </w:pPr>
      <w:r w:rsidRPr="002D51F3">
        <w:rPr>
          <w:rFonts w:asciiTheme="majorHAnsi" w:hAnsiTheme="majorHAnsi" w:cstheme="majorHAnsi"/>
          <w:b/>
          <w:bCs/>
        </w:rPr>
        <w:t>II. Eixo Infraestrutura</w:t>
      </w:r>
    </w:p>
    <w:p w14:paraId="2BF472C9" w14:textId="72DDD64E" w:rsidR="00DA7023" w:rsidRPr="002D51F3" w:rsidRDefault="00DA7023" w:rsidP="002D51F3">
      <w:pPr>
        <w:pStyle w:val="PargrafodaLista"/>
        <w:spacing w:line="360" w:lineRule="auto"/>
        <w:ind w:left="0" w:firstLine="709"/>
        <w:jc w:val="both"/>
        <w:rPr>
          <w:rFonts w:asciiTheme="majorHAnsi" w:eastAsia="Arial" w:hAnsiTheme="majorHAnsi" w:cstheme="majorHAnsi"/>
        </w:rPr>
      </w:pPr>
      <w:r w:rsidRPr="002D51F3">
        <w:rPr>
          <w:rFonts w:asciiTheme="majorHAnsi" w:eastAsia="Arial" w:hAnsiTheme="majorHAnsi" w:cstheme="majorHAnsi"/>
        </w:rPr>
        <w:t>A infraestrutura da UnDF está contemplada na Política de Internacionalização da Gestão da instituição, pois deve atender às características do processo de internacionalização adotado, bem como garantir os espaços físicos e virtuais para sua consecução.</w:t>
      </w:r>
    </w:p>
    <w:p w14:paraId="5BE44915" w14:textId="77777777" w:rsidR="00DA7023" w:rsidRPr="002D51F3" w:rsidRDefault="00DA7023" w:rsidP="00DA7023">
      <w:pPr>
        <w:pStyle w:val="PargrafodaLista"/>
        <w:spacing w:line="360" w:lineRule="auto"/>
        <w:ind w:left="0" w:firstLine="708"/>
        <w:jc w:val="both"/>
        <w:rPr>
          <w:rFonts w:asciiTheme="majorHAnsi" w:eastAsiaTheme="minorEastAsia" w:hAnsiTheme="majorHAnsi" w:cstheme="majorHAnsi"/>
        </w:rPr>
      </w:pPr>
      <w:r w:rsidRPr="002D51F3">
        <w:rPr>
          <w:rFonts w:asciiTheme="majorHAnsi" w:eastAsia="Arial" w:hAnsiTheme="majorHAnsi" w:cstheme="majorHAnsi"/>
        </w:rPr>
        <w:t xml:space="preserve">Para que a infraestrutura física e virtual da UnDF atendam às premissas desta Política, são destacadas as seguintes ações: </w:t>
      </w:r>
      <w:r w:rsidRPr="002D51F3">
        <w:rPr>
          <w:rFonts w:asciiTheme="majorHAnsi" w:eastAsia="Calibri" w:hAnsiTheme="majorHAnsi" w:cstheme="majorHAnsi"/>
        </w:rPr>
        <w:t>criar espaços de aprendizagem e de compartilhamento decorrentes de ações de internacionalização e de conhecimentos produzidos ou adquiridos no exterior;</w:t>
      </w:r>
      <w:r w:rsidRPr="002D51F3">
        <w:rPr>
          <w:rFonts w:asciiTheme="majorHAnsi" w:eastAsiaTheme="minorEastAsia" w:hAnsiTheme="majorHAnsi" w:cstheme="majorHAnsi"/>
        </w:rPr>
        <w:t xml:space="preserve"> </w:t>
      </w:r>
      <w:r w:rsidRPr="002D51F3">
        <w:rPr>
          <w:rFonts w:asciiTheme="majorHAnsi" w:eastAsia="Calibri" w:hAnsiTheme="majorHAnsi" w:cstheme="majorHAnsi"/>
        </w:rPr>
        <w:t>consolidar infraestrutura para a hospedagem de estudantes, de docentes e de pesquisadores internacionais;</w:t>
      </w:r>
      <w:r w:rsidRPr="002D51F3">
        <w:rPr>
          <w:rFonts w:asciiTheme="majorHAnsi" w:eastAsiaTheme="minorEastAsia" w:hAnsiTheme="majorHAnsi" w:cstheme="majorHAnsi"/>
        </w:rPr>
        <w:t xml:space="preserve"> </w:t>
      </w:r>
      <w:r w:rsidRPr="002D51F3">
        <w:rPr>
          <w:rFonts w:asciiTheme="majorHAnsi" w:eastAsia="Calibri" w:hAnsiTheme="majorHAnsi" w:cstheme="majorHAnsi"/>
        </w:rPr>
        <w:t xml:space="preserve">criação de um centro de idiomas com conceitos modernos, estruturado com tecnologias e com metodologias avançadas para o ensino e para a aprendizagem de língua estrangeira, e para o ensino de português para os estudantes, docentes e pesquisadores internacionais; </w:t>
      </w:r>
      <w:r w:rsidRPr="002D51F3">
        <w:rPr>
          <w:rStyle w:val="normaltextrun"/>
          <w:rFonts w:asciiTheme="majorHAnsi" w:eastAsia="Calibri" w:hAnsiTheme="majorHAnsi" w:cstheme="majorHAnsi"/>
        </w:rPr>
        <w:t>assegurar a estrutura física necessária para o desenvolvimento de ações e projetos com parcerias internacionais; entre outros.</w:t>
      </w:r>
    </w:p>
    <w:p w14:paraId="5FD49015" w14:textId="77777777" w:rsidR="00DA7023" w:rsidRPr="002D51F3" w:rsidRDefault="00DA7023" w:rsidP="00DA7023">
      <w:pPr>
        <w:spacing w:line="360" w:lineRule="auto"/>
        <w:rPr>
          <w:rFonts w:asciiTheme="majorHAnsi" w:hAnsiTheme="majorHAnsi" w:cstheme="majorHAnsi"/>
        </w:rPr>
      </w:pPr>
    </w:p>
    <w:p w14:paraId="78A84D38" w14:textId="77777777" w:rsidR="00DA7023" w:rsidRPr="002D51F3" w:rsidRDefault="00DA7023" w:rsidP="00DA7023">
      <w:pPr>
        <w:spacing w:line="360" w:lineRule="auto"/>
        <w:rPr>
          <w:rFonts w:asciiTheme="majorHAnsi" w:hAnsiTheme="majorHAnsi" w:cstheme="majorHAnsi"/>
          <w:b/>
          <w:bCs/>
        </w:rPr>
      </w:pPr>
      <w:r w:rsidRPr="002D51F3">
        <w:rPr>
          <w:rFonts w:asciiTheme="majorHAnsi" w:hAnsiTheme="majorHAnsi" w:cstheme="majorHAnsi"/>
          <w:b/>
          <w:bCs/>
        </w:rPr>
        <w:t>III. Cooperação Internacional</w:t>
      </w:r>
    </w:p>
    <w:p w14:paraId="0AEE2160" w14:textId="77777777" w:rsidR="00DA7023" w:rsidRPr="002D51F3" w:rsidRDefault="00DA7023" w:rsidP="00DA7023">
      <w:pPr>
        <w:spacing w:line="360" w:lineRule="auto"/>
        <w:ind w:firstLine="709"/>
        <w:jc w:val="both"/>
        <w:rPr>
          <w:rFonts w:asciiTheme="majorHAnsi" w:hAnsiTheme="majorHAnsi" w:cstheme="majorHAnsi"/>
        </w:rPr>
      </w:pPr>
      <w:r w:rsidRPr="002D51F3">
        <w:rPr>
          <w:rFonts w:asciiTheme="majorHAnsi" w:eastAsia="Arial" w:hAnsiTheme="majorHAnsi" w:cstheme="majorHAnsi"/>
        </w:rPr>
        <w:t xml:space="preserve">A promoção do eixo Cooperação Internacional, no âmbito da Política de Internacionalização da Gestão da UnDF, </w:t>
      </w:r>
      <w:r w:rsidRPr="002D51F3">
        <w:rPr>
          <w:rFonts w:asciiTheme="majorHAnsi" w:hAnsiTheme="majorHAnsi" w:cstheme="majorHAnsi"/>
        </w:rPr>
        <w:t>visa a garantir condições para uma cooperação internacional com base na indissociabilidade entre ensino, pesquisa e extensão e prevê que, nos convênios, a participação de todas as categorias acadêmicas e administrativas deve ser contemplada nas atividades universitárias voltadas à internacionalização</w:t>
      </w:r>
    </w:p>
    <w:p w14:paraId="6C8322EF" w14:textId="77777777" w:rsidR="00DA7023" w:rsidRPr="002D51F3" w:rsidRDefault="00DA7023" w:rsidP="00DA7023">
      <w:pPr>
        <w:spacing w:line="360" w:lineRule="auto"/>
        <w:ind w:firstLine="708"/>
        <w:jc w:val="both"/>
        <w:rPr>
          <w:rStyle w:val="normaltextrun"/>
          <w:rFonts w:asciiTheme="majorHAnsi" w:eastAsia="Calibri" w:hAnsiTheme="majorHAnsi" w:cstheme="majorHAnsi"/>
        </w:rPr>
      </w:pPr>
      <w:r w:rsidRPr="002D51F3">
        <w:rPr>
          <w:rFonts w:asciiTheme="majorHAnsi" w:eastAsia="Arial" w:hAnsiTheme="majorHAnsi" w:cstheme="majorHAnsi"/>
        </w:rPr>
        <w:t xml:space="preserve">O eixo Cooperação Internacional poderá ser fortalecido a partir de ações como: </w:t>
      </w:r>
      <w:r w:rsidRPr="002D51F3">
        <w:rPr>
          <w:rFonts w:asciiTheme="majorHAnsi" w:eastAsia="Calibri" w:hAnsiTheme="majorHAnsi" w:cstheme="majorHAnsi"/>
        </w:rPr>
        <w:t xml:space="preserve">instituir metas e prioridades nos acordos de cooperação; estabelecer convênios com </w:t>
      </w:r>
      <w:r w:rsidRPr="002D51F3">
        <w:rPr>
          <w:rFonts w:asciiTheme="majorHAnsi" w:eastAsia="Calibri" w:hAnsiTheme="majorHAnsi" w:cstheme="majorHAnsi"/>
          <w:spacing w:val="-6"/>
        </w:rPr>
        <w:t>instituições de educação superior e demais organizações internacionais; fomentar o estabelecimento</w:t>
      </w:r>
      <w:r w:rsidRPr="002D51F3">
        <w:rPr>
          <w:rFonts w:asciiTheme="majorHAnsi" w:eastAsia="Calibri" w:hAnsiTheme="majorHAnsi" w:cstheme="majorHAnsi"/>
        </w:rPr>
        <w:t xml:space="preserve"> de parcerias para o desenvolvimento de projetos de cooperação; </w:t>
      </w:r>
      <w:r w:rsidRPr="002D51F3">
        <w:rPr>
          <w:rStyle w:val="normaltextrun"/>
          <w:rFonts w:asciiTheme="majorHAnsi" w:eastAsia="Calibri" w:hAnsiTheme="majorHAnsi" w:cstheme="majorHAnsi"/>
        </w:rPr>
        <w:t>desenvolver parcerias de colaboração bilateral no ensino, pesquisa e extensão; fomentar a utilização de ferramentas tecnológicas de informação e de comunicação para o desenvolvimento de cursos e de outras atividades acadêmicas em parceria com instituições nacionais e internacionais; entre outros.</w:t>
      </w:r>
    </w:p>
    <w:p w14:paraId="196439F3" w14:textId="77777777" w:rsidR="00DA7023" w:rsidRPr="002D51F3" w:rsidRDefault="00DA7023" w:rsidP="002D51F3">
      <w:pPr>
        <w:pStyle w:val="Ttulo4"/>
        <w:ind w:left="1843" w:hanging="864"/>
        <w:rPr>
          <w:rFonts w:asciiTheme="majorHAnsi" w:hAnsiTheme="majorHAnsi" w:cstheme="majorHAnsi"/>
        </w:rPr>
      </w:pPr>
      <w:r w:rsidRPr="002D51F3">
        <w:rPr>
          <w:rFonts w:asciiTheme="majorHAnsi" w:hAnsiTheme="majorHAnsi" w:cstheme="majorHAnsi"/>
        </w:rPr>
        <w:lastRenderedPageBreak/>
        <w:t>5.2.5.2 Formação/Capacitação de Pessoal Acadêmico e Administrativo</w:t>
      </w:r>
    </w:p>
    <w:p w14:paraId="3B9F0194" w14:textId="77777777" w:rsidR="00DA7023" w:rsidRPr="002D51F3" w:rsidRDefault="00DA7023" w:rsidP="00DA7023">
      <w:pPr>
        <w:spacing w:line="360" w:lineRule="auto"/>
        <w:ind w:firstLine="709"/>
        <w:jc w:val="both"/>
        <w:rPr>
          <w:rFonts w:asciiTheme="majorHAnsi" w:hAnsiTheme="majorHAnsi" w:cstheme="majorHAnsi"/>
        </w:rPr>
      </w:pPr>
      <w:r w:rsidRPr="002D51F3">
        <w:rPr>
          <w:rFonts w:asciiTheme="majorHAnsi" w:hAnsiTheme="majorHAnsi" w:cstheme="majorHAnsi"/>
        </w:rPr>
        <w:t xml:space="preserve">A dimensão Formação/Capacitação de Pessoal Acadêmico e Administrativo da Política de Internacionalização da Gestão da UnDF visa a prover as condições necessárias para a efetivação desta política, mediante </w:t>
      </w:r>
      <w:r w:rsidRPr="002D51F3">
        <w:rPr>
          <w:rFonts w:asciiTheme="majorHAnsi" w:eastAsia="Calibri" w:hAnsiTheme="majorHAnsi" w:cstheme="majorHAnsi"/>
        </w:rPr>
        <w:t xml:space="preserve">sua capilarização nas unidades acadêmicas e administrativas; </w:t>
      </w:r>
      <w:r w:rsidRPr="002D51F3">
        <w:rPr>
          <w:rFonts w:asciiTheme="majorHAnsi" w:hAnsiTheme="majorHAnsi" w:cstheme="majorHAnsi"/>
        </w:rPr>
        <w:t>o engajamento de toda a comunidade universitária e a instauração de uma cultura de internacionalização nos diferentes ambientes institucionais. Para isso, processos formativos permanentes são imprescindíveis e devem promover o conhecimento sobre a temática da internacionalização e desenvolver habilidades para a atuação em contextos acadêmicos internacionalizados, como uma estratégia para alcançar a excelência institucional.</w:t>
      </w:r>
      <w:r w:rsidRPr="002D51F3">
        <w:rPr>
          <w:rStyle w:val="normaltextrun"/>
          <w:rFonts w:asciiTheme="majorHAnsi" w:eastAsia="Calibri" w:hAnsiTheme="majorHAnsi" w:cstheme="majorHAnsi"/>
        </w:rPr>
        <w:t xml:space="preserve"> </w:t>
      </w:r>
    </w:p>
    <w:p w14:paraId="5E0C5E29" w14:textId="77777777" w:rsidR="00DA7023" w:rsidRPr="002D51F3" w:rsidRDefault="00DA7023" w:rsidP="00DA7023">
      <w:pPr>
        <w:spacing w:line="360" w:lineRule="auto"/>
        <w:ind w:firstLine="708"/>
        <w:jc w:val="both"/>
        <w:rPr>
          <w:rStyle w:val="normaltextrun"/>
          <w:rFonts w:asciiTheme="majorHAnsi" w:hAnsiTheme="majorHAnsi" w:cstheme="majorHAnsi"/>
        </w:rPr>
      </w:pPr>
      <w:r w:rsidRPr="002D51F3">
        <w:rPr>
          <w:rFonts w:asciiTheme="majorHAnsi" w:hAnsiTheme="majorHAnsi" w:cstheme="majorHAnsi"/>
        </w:rPr>
        <w:t xml:space="preserve">A promoção desta dimensão pode contemplar ações como: viabilizar </w:t>
      </w:r>
      <w:r w:rsidRPr="002D51F3">
        <w:rPr>
          <w:rFonts w:asciiTheme="majorHAnsi" w:eastAsia="Calibri" w:hAnsiTheme="majorHAnsi" w:cstheme="majorHAnsi"/>
        </w:rPr>
        <w:t>oportunidades de mobilidade e intercâmbios para docentes e pessoal técnico-administrativo;</w:t>
      </w:r>
      <w:r w:rsidRPr="002D51F3">
        <w:rPr>
          <w:rFonts w:asciiTheme="majorHAnsi" w:eastAsiaTheme="minorEastAsia" w:hAnsiTheme="majorHAnsi" w:cstheme="majorHAnsi"/>
        </w:rPr>
        <w:t xml:space="preserve"> </w:t>
      </w:r>
      <w:r w:rsidRPr="002D51F3">
        <w:rPr>
          <w:rStyle w:val="normaltextrun"/>
          <w:rFonts w:asciiTheme="majorHAnsi" w:eastAsia="Calibri" w:hAnsiTheme="majorHAnsi" w:cstheme="majorHAnsi"/>
        </w:rPr>
        <w:t>estimular e promover a capacitação de servidores docentes e técnico-administrativos, preparando-os para o processo de internacionalização;</w:t>
      </w:r>
      <w:r w:rsidRPr="002D51F3">
        <w:rPr>
          <w:rFonts w:asciiTheme="majorHAnsi" w:hAnsiTheme="majorHAnsi" w:cstheme="majorHAnsi"/>
        </w:rPr>
        <w:t xml:space="preserve"> </w:t>
      </w:r>
      <w:r w:rsidRPr="002D51F3">
        <w:rPr>
          <w:rStyle w:val="normaltextrun"/>
          <w:rFonts w:asciiTheme="majorHAnsi" w:eastAsia="Calibri" w:hAnsiTheme="majorHAnsi" w:cstheme="majorHAnsi"/>
        </w:rPr>
        <w:t xml:space="preserve">adotar política de estímulo a afastamentos para qualificação dos servidores docentes e técnico-administrativos em nível de pós-graduação no Brasil e no exterior; </w:t>
      </w:r>
      <w:r w:rsidRPr="002D51F3">
        <w:rPr>
          <w:rStyle w:val="normaltextrun"/>
          <w:rFonts w:asciiTheme="majorHAnsi" w:eastAsiaTheme="minorEastAsia" w:hAnsiTheme="majorHAnsi" w:cstheme="majorHAnsi"/>
        </w:rPr>
        <w:t>oportunizar a contratação de docentes visitantes internacionais;</w:t>
      </w:r>
      <w:r w:rsidRPr="002D51F3">
        <w:rPr>
          <w:rStyle w:val="normaltextrun"/>
          <w:rFonts w:asciiTheme="majorHAnsi" w:eastAsia="Calibri" w:hAnsiTheme="majorHAnsi" w:cstheme="majorHAnsi"/>
        </w:rPr>
        <w:t xml:space="preserve"> </w:t>
      </w:r>
      <w:r w:rsidRPr="002D51F3">
        <w:rPr>
          <w:rStyle w:val="normaltextrun"/>
          <w:rFonts w:asciiTheme="majorHAnsi" w:eastAsiaTheme="minorEastAsia" w:hAnsiTheme="majorHAnsi" w:cstheme="majorHAnsi"/>
        </w:rPr>
        <w:t>realizar o acompanhamento sistemático e programado do quadro docente e técnico-administrativo participante de mobilidade internacional, criando formas de aproveitar suas experiências no retorno à UnDF;  c</w:t>
      </w:r>
      <w:r w:rsidRPr="002D51F3">
        <w:rPr>
          <w:rStyle w:val="normaltextrun"/>
          <w:rFonts w:asciiTheme="majorHAnsi" w:eastAsia="Calibri" w:hAnsiTheme="majorHAnsi" w:cstheme="majorHAnsi"/>
        </w:rPr>
        <w:t>apacitar o pessoal técnico-administrativo e docente para o gerenciamento de projetos e de programas internacionais; instituir e capacitar um grupo de apoio à elaboração de propostas para submissão a agências de fomento nacionais e internacionais; entre outros.</w:t>
      </w:r>
    </w:p>
    <w:p w14:paraId="5ED366F9" w14:textId="77777777" w:rsidR="00DA7023" w:rsidRPr="002D51F3" w:rsidRDefault="00DA7023" w:rsidP="002D51F3">
      <w:pPr>
        <w:pStyle w:val="Ttulo4"/>
        <w:ind w:left="1843" w:hanging="864"/>
        <w:rPr>
          <w:rFonts w:asciiTheme="majorHAnsi" w:hAnsiTheme="majorHAnsi" w:cstheme="majorHAnsi"/>
        </w:rPr>
      </w:pPr>
      <w:r w:rsidRPr="002D51F3">
        <w:rPr>
          <w:rFonts w:asciiTheme="majorHAnsi" w:hAnsiTheme="majorHAnsi" w:cstheme="majorHAnsi"/>
        </w:rPr>
        <w:t xml:space="preserve">5.2.5.3 Avaliação e Monitoramento </w:t>
      </w:r>
    </w:p>
    <w:p w14:paraId="3A1C8317" w14:textId="77777777" w:rsidR="002D51F3" w:rsidRPr="002D51F3" w:rsidRDefault="00DA7023" w:rsidP="002D51F3">
      <w:pPr>
        <w:pStyle w:val="PargrafodaLista"/>
        <w:spacing w:line="360" w:lineRule="auto"/>
        <w:ind w:left="0" w:firstLine="709"/>
        <w:jc w:val="both"/>
        <w:rPr>
          <w:rStyle w:val="normaltextrun"/>
          <w:rFonts w:asciiTheme="majorHAnsi" w:eastAsia="Calibri" w:hAnsiTheme="majorHAnsi" w:cstheme="majorHAnsi"/>
        </w:rPr>
      </w:pPr>
      <w:r w:rsidRPr="002D51F3">
        <w:rPr>
          <w:rFonts w:asciiTheme="majorHAnsi" w:hAnsiTheme="majorHAnsi" w:cstheme="majorHAnsi"/>
        </w:rPr>
        <w:t xml:space="preserve">A dimensão Avaliação e Monitoramento da Política de Internacionalização da Gestão da UnDF tem como objetivo estabelecer um processo permanente de avaliação institucional, </w:t>
      </w:r>
      <w:r w:rsidRPr="002D51F3">
        <w:rPr>
          <w:rFonts w:asciiTheme="majorHAnsi" w:hAnsiTheme="majorHAnsi" w:cstheme="majorHAnsi"/>
          <w:spacing w:val="-2"/>
        </w:rPr>
        <w:t>tanto na perspectiva de externa como da autoavaliação institucional. A internacionalização deve</w:t>
      </w:r>
      <w:r w:rsidRPr="002D51F3">
        <w:rPr>
          <w:rFonts w:asciiTheme="majorHAnsi" w:hAnsiTheme="majorHAnsi" w:cstheme="majorHAnsi"/>
        </w:rPr>
        <w:t xml:space="preserve"> ser um subsídio para a instituição </w:t>
      </w:r>
      <w:r w:rsidRPr="002D51F3">
        <w:rPr>
          <w:rStyle w:val="normaltextrun"/>
          <w:rFonts w:asciiTheme="majorHAnsi" w:eastAsia="Calibri" w:hAnsiTheme="majorHAnsi" w:cstheme="majorHAnsi"/>
        </w:rPr>
        <w:t>de metas e de indicadores que irão compor o monitoramento e a avaliação do desenvolvimento dos processos acadêmicos e administrativos na UnDF.</w:t>
      </w:r>
    </w:p>
    <w:p w14:paraId="72B6729E" w14:textId="1906EF71" w:rsidR="00DA7023" w:rsidRPr="002D51F3" w:rsidRDefault="00DA7023" w:rsidP="002D51F3">
      <w:pPr>
        <w:pStyle w:val="PargrafodaLista"/>
        <w:spacing w:line="360" w:lineRule="auto"/>
        <w:ind w:left="0" w:firstLine="709"/>
        <w:jc w:val="both"/>
        <w:rPr>
          <w:rFonts w:asciiTheme="majorHAnsi" w:hAnsiTheme="majorHAnsi" w:cstheme="majorHAnsi"/>
          <w:color w:val="4875BD" w:themeColor="text1"/>
        </w:rPr>
      </w:pPr>
      <w:r w:rsidRPr="002D51F3">
        <w:rPr>
          <w:rFonts w:asciiTheme="majorHAnsi" w:eastAsia="Arial" w:hAnsiTheme="majorHAnsi" w:cstheme="majorHAnsi"/>
        </w:rPr>
        <w:t>A promoção da dimensão Avaliação e Monitoramento poderá ser executada a partir de ações como: m</w:t>
      </w:r>
      <w:r w:rsidRPr="002D51F3">
        <w:rPr>
          <w:rStyle w:val="normaltextrun"/>
          <w:rFonts w:asciiTheme="majorHAnsi" w:eastAsia="Calibri" w:hAnsiTheme="majorHAnsi" w:cstheme="majorHAnsi"/>
        </w:rPr>
        <w:t xml:space="preserve">onitorar e acompanhar sistematicamente os indicadores do processo de internacionalização da UnDF; </w:t>
      </w:r>
      <w:r w:rsidRPr="002D51F3">
        <w:rPr>
          <w:rFonts w:asciiTheme="majorHAnsi" w:eastAsia="Calibri" w:hAnsiTheme="majorHAnsi" w:cstheme="majorHAnsi"/>
        </w:rPr>
        <w:t xml:space="preserve">adotar, no processo de avaliação da internacionalização institucional, indicadores de qualidade reconhecidos internacionalmente; </w:t>
      </w:r>
      <w:r w:rsidRPr="002D51F3">
        <w:rPr>
          <w:rFonts w:asciiTheme="majorHAnsi" w:eastAsiaTheme="minorEastAsia" w:hAnsiTheme="majorHAnsi" w:cstheme="majorHAnsi"/>
        </w:rPr>
        <w:t xml:space="preserve">estabelecer mecanismos que garantam a gestão participativa e democrática da Política de Internacionalização da UnDF; </w:t>
      </w:r>
      <w:r w:rsidRPr="002D51F3">
        <w:rPr>
          <w:rStyle w:val="normaltextrun"/>
          <w:rFonts w:asciiTheme="majorHAnsi" w:eastAsia="Calibri" w:hAnsiTheme="majorHAnsi" w:cstheme="majorHAnsi"/>
        </w:rPr>
        <w:t xml:space="preserve">avaliar e reavaliar os indicadores de produção científica internacional dos pesquisadores da instituição, envolvendo a comunidade acadêmica no exame dos resultados e no estabelecimento de metas; estabelecer meios de registro, acompanhamento e divulgação de atividades relacionadas à internacionalização; entre outros. </w:t>
      </w:r>
      <w:r w:rsidRPr="00BD1CCE">
        <w:rPr>
          <w:rFonts w:asciiTheme="majorHAnsi" w:eastAsiaTheme="minorEastAsia" w:hAnsiTheme="majorHAnsi" w:cstheme="majorHAnsi"/>
          <w:color w:val="4875BD" w:themeColor="text1"/>
        </w:rPr>
        <w:br w:type="page"/>
      </w:r>
    </w:p>
    <w:p w14:paraId="5C581DF8" w14:textId="77777777" w:rsidR="00DA7023" w:rsidRPr="00BD1CCE" w:rsidRDefault="00DA7023" w:rsidP="00DA7023">
      <w:pPr>
        <w:rPr>
          <w:rFonts w:asciiTheme="majorHAnsi" w:hAnsiTheme="majorHAnsi" w:cstheme="majorHAnsi"/>
        </w:rPr>
        <w:sectPr w:rsidR="00DA7023" w:rsidRPr="00BD1CCE" w:rsidSect="00DA7023">
          <w:pgSz w:w="11906" w:h="16838"/>
          <w:pgMar w:top="1134" w:right="1134" w:bottom="1701" w:left="1134" w:header="709" w:footer="709" w:gutter="0"/>
          <w:cols w:space="708"/>
          <w:docGrid w:linePitch="360"/>
        </w:sectPr>
      </w:pPr>
    </w:p>
    <w:p w14:paraId="3B8295A0" w14:textId="77777777" w:rsidR="00DA7023" w:rsidRPr="00BD1CCE" w:rsidRDefault="00DA7023" w:rsidP="002D51F3">
      <w:pPr>
        <w:rPr>
          <w:rFonts w:asciiTheme="majorHAnsi" w:hAnsiTheme="majorHAnsi" w:cstheme="majorHAnsi"/>
          <w:b/>
          <w:bCs/>
        </w:rPr>
      </w:pPr>
      <w:r w:rsidRPr="00BD1CCE">
        <w:rPr>
          <w:rFonts w:asciiTheme="majorHAnsi" w:hAnsiTheme="majorHAnsi" w:cstheme="majorHAnsi"/>
          <w:b/>
          <w:bCs/>
        </w:rPr>
        <w:lastRenderedPageBreak/>
        <w:t>Quadro.    Matriz da Política de Internacionalização da UnDF</w:t>
      </w:r>
    </w:p>
    <w:p w14:paraId="1BB2EF7F" w14:textId="77777777" w:rsidR="00DA7023" w:rsidRPr="00BD1CCE" w:rsidRDefault="00DA7023" w:rsidP="00DA7023">
      <w:pPr>
        <w:rPr>
          <w:rFonts w:asciiTheme="majorHAnsi" w:hAnsiTheme="majorHAnsi" w:cstheme="majorHAnsi"/>
        </w:rPr>
      </w:pPr>
    </w:p>
    <w:p w14:paraId="3A9AA2D8" w14:textId="77777777" w:rsidR="00DA7023" w:rsidRPr="00BD1CCE" w:rsidRDefault="00DA7023" w:rsidP="00DA7023">
      <w:pPr>
        <w:jc w:val="center"/>
        <w:rPr>
          <w:rFonts w:asciiTheme="majorHAnsi" w:hAnsiTheme="majorHAnsi" w:cstheme="majorHAnsi"/>
        </w:rPr>
      </w:pPr>
      <w:r w:rsidRPr="00BD1CCE">
        <w:rPr>
          <w:rFonts w:asciiTheme="majorHAnsi" w:hAnsiTheme="majorHAnsi" w:cstheme="majorHAnsi"/>
          <w:noProof/>
        </w:rPr>
        <w:object w:dxaOrig="13455" w:dyaOrig="7605" w14:anchorId="3D8F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2.85pt;height:344.95pt;mso-width-percent:0;mso-height-percent:0;mso-width-percent:0;mso-height-percent:0" o:ole="">
            <v:imagedata r:id="rId18" o:title=""/>
          </v:shape>
          <o:OLEObject Type="Embed" ProgID="PBrush" ShapeID="_x0000_i1025" DrawAspect="Content" ObjectID="_1711873922" r:id="rId19"/>
        </w:object>
      </w:r>
    </w:p>
    <w:p w14:paraId="35849248" w14:textId="39ECAA8D" w:rsidR="00BD1CCE" w:rsidRPr="002D51F3" w:rsidRDefault="00DA7023" w:rsidP="002D51F3">
      <w:pPr>
        <w:rPr>
          <w:rFonts w:asciiTheme="majorHAnsi" w:hAnsiTheme="majorHAnsi" w:cstheme="majorHAnsi"/>
          <w:sz w:val="20"/>
          <w:szCs w:val="20"/>
        </w:rPr>
      </w:pPr>
      <w:r w:rsidRPr="002D51F3">
        <w:rPr>
          <w:rFonts w:asciiTheme="majorHAnsi" w:hAnsiTheme="majorHAnsi" w:cstheme="majorHAnsi"/>
          <w:b/>
          <w:bCs/>
          <w:sz w:val="20"/>
          <w:szCs w:val="20"/>
        </w:rPr>
        <w:t>Fonte:</w:t>
      </w:r>
      <w:r w:rsidRPr="002D51F3">
        <w:rPr>
          <w:rFonts w:asciiTheme="majorHAnsi" w:hAnsiTheme="majorHAnsi" w:cstheme="majorHAnsi"/>
          <w:sz w:val="20"/>
          <w:szCs w:val="20"/>
        </w:rPr>
        <w:t xml:space="preserve"> Elaborado pela autora (2022).</w:t>
      </w:r>
      <w:r w:rsidR="00BD1CCE" w:rsidRPr="002D51F3">
        <w:rPr>
          <w:rFonts w:asciiTheme="majorHAnsi" w:hAnsiTheme="majorHAnsi" w:cstheme="majorHAnsi"/>
          <w:sz w:val="20"/>
          <w:szCs w:val="20"/>
        </w:rPr>
        <w:br w:type="page"/>
      </w:r>
    </w:p>
    <w:p w14:paraId="2DBE1C0A" w14:textId="77777777" w:rsidR="00DA7023" w:rsidRPr="00BD1CCE" w:rsidRDefault="00DA7023" w:rsidP="00BD1CCE">
      <w:pPr>
        <w:jc w:val="center"/>
        <w:rPr>
          <w:rFonts w:asciiTheme="majorHAnsi" w:hAnsiTheme="majorHAnsi" w:cstheme="majorHAnsi"/>
        </w:rPr>
        <w:sectPr w:rsidR="00DA7023" w:rsidRPr="00BD1CCE" w:rsidSect="00BD31E3">
          <w:pgSz w:w="16838" w:h="11906" w:orient="landscape"/>
          <w:pgMar w:top="1701" w:right="1418" w:bottom="1701" w:left="1418" w:header="709" w:footer="709" w:gutter="0"/>
          <w:cols w:space="708"/>
          <w:docGrid w:linePitch="360"/>
        </w:sectPr>
      </w:pPr>
    </w:p>
    <w:p w14:paraId="7FA70D80" w14:textId="77777777" w:rsidR="00DA7023" w:rsidRPr="00A44C62" w:rsidRDefault="00DA7023" w:rsidP="002D51F3">
      <w:pPr>
        <w:pStyle w:val="Ttulo1"/>
        <w:ind w:left="432" w:hanging="432"/>
        <w:rPr>
          <w:rFonts w:asciiTheme="majorHAnsi" w:hAnsiTheme="majorHAnsi" w:cstheme="majorHAnsi"/>
          <w:color w:val="4875BD" w:themeColor="accent1"/>
        </w:rPr>
      </w:pPr>
      <w:r w:rsidRPr="00A44C62">
        <w:rPr>
          <w:rFonts w:asciiTheme="majorHAnsi" w:hAnsiTheme="majorHAnsi" w:cstheme="majorHAnsi"/>
          <w:color w:val="4875BD" w:themeColor="accent1"/>
        </w:rPr>
        <w:lastRenderedPageBreak/>
        <w:t>6. CONSIDERAÇÕES FINAIS</w:t>
      </w:r>
    </w:p>
    <w:p w14:paraId="46BDD917" w14:textId="77777777" w:rsidR="00DA7023" w:rsidRPr="00BD1CCE" w:rsidRDefault="00DA7023" w:rsidP="00DA7023">
      <w:pPr>
        <w:spacing w:line="360" w:lineRule="auto"/>
        <w:rPr>
          <w:rFonts w:asciiTheme="majorHAnsi" w:hAnsiTheme="majorHAnsi" w:cstheme="majorHAnsi"/>
        </w:rPr>
      </w:pPr>
    </w:p>
    <w:p w14:paraId="7C3E2F47" w14:textId="77777777" w:rsidR="00DA7023" w:rsidRPr="002D51F3" w:rsidRDefault="00DA7023" w:rsidP="00DA7023">
      <w:pPr>
        <w:spacing w:line="360" w:lineRule="auto"/>
        <w:ind w:firstLine="708"/>
        <w:jc w:val="both"/>
        <w:rPr>
          <w:rFonts w:asciiTheme="majorHAnsi" w:hAnsiTheme="majorHAnsi" w:cstheme="majorHAnsi"/>
          <w:sz w:val="24"/>
          <w:szCs w:val="24"/>
        </w:rPr>
      </w:pPr>
      <w:r w:rsidRPr="002D51F3">
        <w:rPr>
          <w:rFonts w:asciiTheme="majorHAnsi" w:hAnsiTheme="majorHAnsi" w:cstheme="majorHAnsi"/>
          <w:sz w:val="24"/>
          <w:szCs w:val="24"/>
        </w:rPr>
        <w:t>A proposição de uma política de internacionalização para uma universidade pública, distrital, com caráter inovador, tecnologicamente avançada, com compromisso social, constitui um grande desafio em virtude da complexidade envolvida.</w:t>
      </w:r>
    </w:p>
    <w:p w14:paraId="78A8B485" w14:textId="77777777" w:rsidR="00DA7023" w:rsidRPr="002D51F3" w:rsidRDefault="00DA7023" w:rsidP="00DA7023">
      <w:pPr>
        <w:spacing w:line="360" w:lineRule="auto"/>
        <w:ind w:firstLine="708"/>
        <w:jc w:val="both"/>
        <w:rPr>
          <w:rFonts w:asciiTheme="majorHAnsi" w:hAnsiTheme="majorHAnsi" w:cstheme="majorHAnsi"/>
          <w:sz w:val="24"/>
          <w:szCs w:val="24"/>
        </w:rPr>
      </w:pPr>
      <w:r w:rsidRPr="002D51F3">
        <w:rPr>
          <w:rFonts w:asciiTheme="majorHAnsi" w:hAnsiTheme="majorHAnsi" w:cstheme="majorHAnsi"/>
          <w:spacing w:val="-2"/>
          <w:sz w:val="24"/>
          <w:szCs w:val="24"/>
        </w:rPr>
        <w:t>Em contrapartida, propor uma política de internacionalização para uma universidade</w:t>
      </w:r>
      <w:r w:rsidRPr="002D51F3">
        <w:rPr>
          <w:rFonts w:asciiTheme="majorHAnsi" w:hAnsiTheme="majorHAnsi" w:cstheme="majorHAnsi"/>
          <w:sz w:val="24"/>
          <w:szCs w:val="24"/>
        </w:rPr>
        <w:t xml:space="preserve"> em criação — uma instituição universitária aos moldes do que a UnDF se propõe a ser — (CEBRASPE, 2021), é uma oportunidade única. É poder construir uma política de internacionalização que atenda não só aos princípios de excelência acadêmica, com redes internacionais de instituições altamente qualificadas, mas que abarque IES regionais e/ou locais que reflitam outros saberes de tempo e de espaço e que, juntas, possam contribuir para a transformação da UnDF em polo irradiador de desenvolvimento para a sua região e para o mundo.</w:t>
      </w:r>
    </w:p>
    <w:p w14:paraId="7B224AB9" w14:textId="77777777" w:rsidR="00DA7023" w:rsidRPr="002D51F3" w:rsidRDefault="00DA7023" w:rsidP="00DA7023">
      <w:pPr>
        <w:spacing w:line="360" w:lineRule="auto"/>
        <w:ind w:firstLine="708"/>
        <w:jc w:val="both"/>
        <w:rPr>
          <w:rFonts w:asciiTheme="majorHAnsi" w:hAnsiTheme="majorHAnsi" w:cstheme="majorHAnsi"/>
          <w:sz w:val="24"/>
          <w:szCs w:val="24"/>
        </w:rPr>
      </w:pPr>
      <w:r w:rsidRPr="002D51F3">
        <w:rPr>
          <w:rFonts w:asciiTheme="majorHAnsi" w:hAnsiTheme="majorHAnsi" w:cstheme="majorHAnsi"/>
          <w:sz w:val="24"/>
          <w:szCs w:val="24"/>
        </w:rPr>
        <w:t>A fim de realizar esse desafio, foram discutidos os fundamentos do conceito de internacionalização da educação superior na perspectiva de sua natureza e panorama histórico e apresentadas sínteses contemporâneas que constituem o campo científico em contextos emergentes. Estabelecidos esses parâmetros, buscou-se integrar tais discussões no contexto da UnDF, pois uma política de internacionalização deve ressignificar as políticas maiores em suas interfaces com as perspectivas global, regional e nacional e adentrou-se, então, nas especificidades institucionais com a proposição de objetivos e políticas. A política de internacionalização compõe-se, assim, de um todo inter-relacionado, que abarca fundamentos a diretrizes.</w:t>
      </w:r>
    </w:p>
    <w:p w14:paraId="6D999783" w14:textId="77777777" w:rsidR="00DA7023" w:rsidRPr="002D51F3" w:rsidRDefault="00DA7023" w:rsidP="00DA7023">
      <w:pPr>
        <w:spacing w:line="360" w:lineRule="auto"/>
        <w:ind w:firstLine="708"/>
        <w:jc w:val="both"/>
        <w:rPr>
          <w:rFonts w:asciiTheme="majorHAnsi" w:hAnsiTheme="majorHAnsi" w:cstheme="majorHAnsi"/>
          <w:sz w:val="24"/>
          <w:szCs w:val="24"/>
        </w:rPr>
      </w:pPr>
      <w:r w:rsidRPr="002D51F3">
        <w:rPr>
          <w:rFonts w:asciiTheme="majorHAnsi" w:hAnsiTheme="majorHAnsi" w:cstheme="majorHAnsi"/>
          <w:sz w:val="24"/>
          <w:szCs w:val="24"/>
        </w:rPr>
        <w:t>Nesse entender, a política de internacionalização para a UnDF está sedimentada na complementaridade entre diversos tipos de internacionalização, a fim de congregar a internacionalização via mobilidade com a internacionalização em casa (IaH). Propicia, também, a construção de um currículo (</w:t>
      </w:r>
      <w:r w:rsidRPr="002D51F3">
        <w:rPr>
          <w:rFonts w:asciiTheme="majorHAnsi" w:hAnsiTheme="majorHAnsi" w:cstheme="majorHAnsi"/>
          <w:sz w:val="24"/>
          <w:szCs w:val="24"/>
          <w:lang w:val="pt-PT"/>
        </w:rPr>
        <w:t>IoC)</w:t>
      </w:r>
      <w:r w:rsidRPr="002D51F3">
        <w:rPr>
          <w:rFonts w:asciiTheme="majorHAnsi" w:hAnsiTheme="majorHAnsi" w:cstheme="majorHAnsi"/>
          <w:sz w:val="24"/>
          <w:szCs w:val="24"/>
        </w:rPr>
        <w:t xml:space="preserve"> inovador, defendendo possibilidades de ser a distância ou ocorrer na própria instituição, colocando em prática o princípio da inclusão e da equidade. </w:t>
      </w:r>
    </w:p>
    <w:p w14:paraId="3856639E" w14:textId="77777777" w:rsidR="00DA7023" w:rsidRPr="002D51F3" w:rsidRDefault="00DA7023" w:rsidP="00DA7023">
      <w:pPr>
        <w:spacing w:line="360" w:lineRule="auto"/>
        <w:ind w:firstLine="708"/>
        <w:jc w:val="both"/>
        <w:rPr>
          <w:rFonts w:asciiTheme="majorHAnsi" w:hAnsiTheme="majorHAnsi" w:cstheme="majorHAnsi"/>
          <w:sz w:val="24"/>
          <w:szCs w:val="24"/>
        </w:rPr>
      </w:pPr>
      <w:r w:rsidRPr="002D51F3">
        <w:rPr>
          <w:rFonts w:asciiTheme="majorHAnsi" w:hAnsiTheme="majorHAnsi" w:cstheme="majorHAnsi"/>
          <w:sz w:val="24"/>
          <w:szCs w:val="24"/>
        </w:rPr>
        <w:t xml:space="preserve">A proposição de uma política de internacionalização </w:t>
      </w:r>
      <w:r w:rsidRPr="002D51F3">
        <w:rPr>
          <w:rFonts w:asciiTheme="majorHAnsi" w:hAnsiTheme="majorHAnsi" w:cstheme="majorHAnsi"/>
          <w:i/>
          <w:iCs/>
          <w:sz w:val="24"/>
          <w:szCs w:val="24"/>
        </w:rPr>
        <w:t>integral,</w:t>
      </w:r>
      <w:r w:rsidRPr="002D51F3">
        <w:rPr>
          <w:rFonts w:asciiTheme="majorHAnsi" w:hAnsiTheme="majorHAnsi" w:cstheme="majorHAnsi"/>
          <w:sz w:val="24"/>
          <w:szCs w:val="24"/>
        </w:rPr>
        <w:t xml:space="preserve"> estendida à toda instituição universitária, que atenda aos parâmetros da excelência acadêmica, premiando os princípios do desenvolvimento sustentável de uma educação de qualidade, inclusiva, equitativa e ao longo da vida, é a busca de equilíbrio em um campo de tensões em contextos emergentes. Em decorrência </w:t>
      </w:r>
      <w:r w:rsidRPr="002D51F3">
        <w:rPr>
          <w:rFonts w:asciiTheme="majorHAnsi" w:hAnsiTheme="majorHAnsi" w:cstheme="majorHAnsi"/>
          <w:sz w:val="24"/>
          <w:szCs w:val="24"/>
        </w:rPr>
        <w:lastRenderedPageBreak/>
        <w:t>do entendimento da internacionalização inserida no sistema mundo, é nos apontado que a internacionalização não pode ser vista somente sob a perspectiva institucional e outros motes se fazem necessários para que essa arena de tensões se consolide com a concepção de educação como um bem público e direito de todos. Entre esses, na perspectiva nacional, o Brasil é desafiado a construir, em termos de marco normativo, uma política de internacionalização para o sistema de educação ao mesmo tempo em que contribui para a construção de uma cultura de internacionalização mais ampla e inclusiva.</w:t>
      </w:r>
    </w:p>
    <w:p w14:paraId="653874F2" w14:textId="77777777" w:rsidR="00DA7023" w:rsidRPr="00BD1CCE" w:rsidRDefault="00DA7023" w:rsidP="00DA7023">
      <w:pPr>
        <w:spacing w:line="360" w:lineRule="auto"/>
        <w:rPr>
          <w:rFonts w:asciiTheme="majorHAnsi" w:hAnsiTheme="majorHAnsi" w:cstheme="majorHAnsi"/>
          <w:b/>
          <w:bCs/>
        </w:rPr>
      </w:pPr>
    </w:p>
    <w:p w14:paraId="08B8661F" w14:textId="77777777" w:rsidR="00BD1CCE" w:rsidRPr="00CA7418" w:rsidRDefault="00BD1CCE">
      <w:pPr>
        <w:tabs>
          <w:tab w:val="clear" w:pos="1615"/>
        </w:tabs>
        <w:spacing w:line="259" w:lineRule="auto"/>
        <w:rPr>
          <w:rFonts w:asciiTheme="majorHAnsi" w:hAnsiTheme="majorHAnsi" w:cstheme="majorHAnsi"/>
          <w:b/>
          <w:bCs/>
        </w:rPr>
      </w:pPr>
      <w:r w:rsidRPr="00CA7418">
        <w:rPr>
          <w:rFonts w:asciiTheme="majorHAnsi" w:hAnsiTheme="majorHAnsi" w:cstheme="majorHAnsi"/>
          <w:b/>
          <w:bCs/>
        </w:rPr>
        <w:br w:type="page"/>
      </w:r>
    </w:p>
    <w:p w14:paraId="41EB4BDE" w14:textId="4D324862" w:rsidR="00DA7023" w:rsidRPr="00A44C62" w:rsidRDefault="00BD1CCE" w:rsidP="002D51F3">
      <w:pPr>
        <w:pStyle w:val="Ttulo1"/>
        <w:ind w:left="432" w:hanging="432"/>
        <w:rPr>
          <w:rFonts w:asciiTheme="majorHAnsi" w:hAnsiTheme="majorHAnsi" w:cstheme="majorHAnsi"/>
          <w:color w:val="4875BD" w:themeColor="accent1"/>
        </w:rPr>
      </w:pPr>
      <w:r w:rsidRPr="00A44C62">
        <w:rPr>
          <w:rFonts w:asciiTheme="majorHAnsi" w:hAnsiTheme="majorHAnsi" w:cstheme="majorHAnsi"/>
          <w:color w:val="4875BD" w:themeColor="accent1"/>
        </w:rPr>
        <w:lastRenderedPageBreak/>
        <w:t xml:space="preserve">7. </w:t>
      </w:r>
      <w:r w:rsidR="00DA7023" w:rsidRPr="00A44C62">
        <w:rPr>
          <w:rFonts w:asciiTheme="majorHAnsi" w:hAnsiTheme="majorHAnsi" w:cstheme="majorHAnsi"/>
          <w:color w:val="4875BD" w:themeColor="accent1"/>
        </w:rPr>
        <w:t>REFERÊNCIAS</w:t>
      </w:r>
    </w:p>
    <w:p w14:paraId="7ACA6953" w14:textId="77777777" w:rsidR="00DA7023" w:rsidRPr="00CA7418" w:rsidRDefault="00DA7023" w:rsidP="00DA7023">
      <w:pPr>
        <w:spacing w:line="360" w:lineRule="auto"/>
        <w:rPr>
          <w:rFonts w:asciiTheme="majorHAnsi" w:hAnsiTheme="majorHAnsi" w:cstheme="majorHAnsi"/>
          <w:b/>
          <w:bCs/>
        </w:rPr>
      </w:pPr>
    </w:p>
    <w:p w14:paraId="423781A6" w14:textId="77777777" w:rsidR="00DA7023" w:rsidRPr="00BD1CCE" w:rsidRDefault="00DA7023" w:rsidP="00DA7023">
      <w:pPr>
        <w:spacing w:after="240"/>
        <w:jc w:val="both"/>
        <w:rPr>
          <w:rFonts w:asciiTheme="majorHAnsi" w:hAnsiTheme="majorHAnsi" w:cstheme="majorHAnsi"/>
          <w:lang w:val="en-US"/>
        </w:rPr>
      </w:pPr>
      <w:r w:rsidRPr="00CA7418">
        <w:rPr>
          <w:rFonts w:asciiTheme="majorHAnsi" w:hAnsiTheme="majorHAnsi" w:cstheme="majorHAnsi"/>
        </w:rPr>
        <w:t xml:space="preserve">ALMEIDA, J. </w:t>
      </w:r>
      <w:r w:rsidRPr="00CA7418">
        <w:rPr>
          <w:rFonts w:asciiTheme="majorHAnsi" w:hAnsiTheme="majorHAnsi" w:cstheme="majorHAnsi"/>
          <w:i/>
          <w:iCs/>
        </w:rPr>
        <w:t>et al.</w:t>
      </w:r>
      <w:r w:rsidRPr="00CA7418">
        <w:rPr>
          <w:rFonts w:asciiTheme="majorHAnsi" w:hAnsiTheme="majorHAnsi" w:cstheme="majorHAnsi"/>
        </w:rPr>
        <w:t xml:space="preserve"> </w:t>
      </w:r>
      <w:r w:rsidRPr="00BD1CCE">
        <w:rPr>
          <w:rFonts w:asciiTheme="majorHAnsi" w:hAnsiTheme="majorHAnsi" w:cstheme="majorHAnsi"/>
          <w:lang w:val="en-US"/>
        </w:rPr>
        <w:t xml:space="preserve">Understanding internationalization at home: from perspectives the global north and south. </w:t>
      </w:r>
      <w:r w:rsidRPr="00BD1CCE">
        <w:rPr>
          <w:rFonts w:asciiTheme="majorHAnsi" w:hAnsiTheme="majorHAnsi" w:cstheme="majorHAnsi"/>
          <w:i/>
          <w:iCs/>
          <w:lang w:val="en-US"/>
        </w:rPr>
        <w:t>European Educational Research Journal</w:t>
      </w:r>
      <w:r w:rsidRPr="00BD1CCE">
        <w:rPr>
          <w:rFonts w:asciiTheme="majorHAnsi" w:hAnsiTheme="majorHAnsi" w:cstheme="majorHAnsi"/>
          <w:lang w:val="en-US"/>
        </w:rPr>
        <w:t xml:space="preserve">, New York, v. 18, n. 2, p. 1-18, 2019. </w:t>
      </w:r>
    </w:p>
    <w:p w14:paraId="667597BE"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lang w:val="en-US"/>
        </w:rPr>
        <w:t xml:space="preserve">ALTBACH, P. G. </w:t>
      </w:r>
      <w:r w:rsidRPr="00BD1CCE">
        <w:rPr>
          <w:rFonts w:asciiTheme="majorHAnsi" w:hAnsiTheme="majorHAnsi" w:cstheme="majorHAnsi"/>
          <w:i/>
          <w:iCs/>
          <w:lang w:val="en-US"/>
        </w:rPr>
        <w:t>Global perspectives on higher education</w:t>
      </w:r>
      <w:r w:rsidRPr="00BD1CCE">
        <w:rPr>
          <w:rFonts w:asciiTheme="majorHAnsi" w:hAnsiTheme="majorHAnsi" w:cstheme="majorHAnsi"/>
          <w:lang w:val="en-US"/>
        </w:rPr>
        <w:t>. Baltimore: John Hopkins University Press, 2016.</w:t>
      </w:r>
    </w:p>
    <w:p w14:paraId="484B3714"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BEELEN, J.; JONES, E. (eds.). Redefining internationalization at home. </w:t>
      </w:r>
      <w:r w:rsidRPr="00BD1CCE">
        <w:rPr>
          <w:rFonts w:asciiTheme="majorHAnsi" w:hAnsiTheme="majorHAnsi" w:cstheme="majorHAnsi"/>
          <w:i/>
          <w:iCs/>
          <w:lang w:val="en-US"/>
        </w:rPr>
        <w:t>In</w:t>
      </w:r>
      <w:r w:rsidRPr="00BD1CCE">
        <w:rPr>
          <w:rFonts w:asciiTheme="majorHAnsi" w:hAnsiTheme="majorHAnsi" w:cstheme="majorHAnsi"/>
          <w:lang w:val="en-US"/>
        </w:rPr>
        <w:t xml:space="preserve">: CURAI, L. </w:t>
      </w:r>
      <w:r w:rsidRPr="00BD1CCE">
        <w:rPr>
          <w:rFonts w:asciiTheme="majorHAnsi" w:hAnsiTheme="majorHAnsi" w:cstheme="majorHAnsi"/>
          <w:i/>
          <w:iCs/>
          <w:lang w:val="en-US"/>
        </w:rPr>
        <w:t>et al.</w:t>
      </w:r>
      <w:r w:rsidRPr="00BD1CCE">
        <w:rPr>
          <w:rFonts w:asciiTheme="majorHAnsi" w:hAnsiTheme="majorHAnsi" w:cstheme="majorHAnsi"/>
          <w:lang w:val="en-US"/>
        </w:rPr>
        <w:t xml:space="preserve"> (eds.). </w:t>
      </w:r>
      <w:r w:rsidRPr="00BD1CCE">
        <w:rPr>
          <w:rFonts w:asciiTheme="majorHAnsi" w:hAnsiTheme="majorHAnsi" w:cstheme="majorHAnsi"/>
          <w:i/>
          <w:iCs/>
          <w:lang w:val="en-US"/>
        </w:rPr>
        <w:t xml:space="preserve">The European higher education area: </w:t>
      </w:r>
      <w:r w:rsidRPr="00BD1CCE">
        <w:rPr>
          <w:rFonts w:asciiTheme="majorHAnsi" w:hAnsiTheme="majorHAnsi" w:cstheme="majorHAnsi"/>
          <w:lang w:val="en-US"/>
        </w:rPr>
        <w:t xml:space="preserve">between critical reflections and future policies. </w:t>
      </w:r>
      <w:r w:rsidRPr="00BD1CCE">
        <w:rPr>
          <w:rFonts w:asciiTheme="majorHAnsi" w:hAnsiTheme="majorHAnsi" w:cstheme="majorHAnsi"/>
        </w:rPr>
        <w:t xml:space="preserve">Dordrecht: Springer, 2015. p. 67-80. </w:t>
      </w:r>
    </w:p>
    <w:p w14:paraId="088CD90E"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rPr>
        <w:t xml:space="preserve">BOURDIEU, P. O campo científico. </w:t>
      </w:r>
      <w:r w:rsidRPr="00CA7418">
        <w:rPr>
          <w:rFonts w:asciiTheme="majorHAnsi" w:hAnsiTheme="majorHAnsi" w:cstheme="majorHAnsi"/>
          <w:i/>
          <w:iCs/>
        </w:rPr>
        <w:t>In:</w:t>
      </w:r>
      <w:r w:rsidRPr="00CA7418">
        <w:rPr>
          <w:rFonts w:asciiTheme="majorHAnsi" w:hAnsiTheme="majorHAnsi" w:cstheme="majorHAnsi"/>
        </w:rPr>
        <w:t xml:space="preserve"> ORTIZ, R. (Org.), </w:t>
      </w:r>
      <w:r w:rsidRPr="00CA7418">
        <w:rPr>
          <w:rFonts w:asciiTheme="majorHAnsi" w:hAnsiTheme="majorHAnsi" w:cstheme="majorHAnsi"/>
          <w:i/>
          <w:iCs/>
        </w:rPr>
        <w:t>Pierre Bourdieu.</w:t>
      </w:r>
      <w:r w:rsidRPr="00CA7418">
        <w:rPr>
          <w:rFonts w:asciiTheme="majorHAnsi" w:hAnsiTheme="majorHAnsi" w:cstheme="majorHAnsi"/>
        </w:rPr>
        <w:t xml:space="preserve"> </w:t>
      </w:r>
      <w:r w:rsidRPr="00BD1CCE">
        <w:rPr>
          <w:rFonts w:asciiTheme="majorHAnsi" w:hAnsiTheme="majorHAnsi" w:cstheme="majorHAnsi"/>
          <w:lang w:val="en-US"/>
        </w:rPr>
        <w:t>São Paulo: Ática, 1983. p. 122-154.</w:t>
      </w:r>
    </w:p>
    <w:p w14:paraId="1E6F98F3"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BRANDENBURG, U. </w:t>
      </w:r>
      <w:r w:rsidRPr="00BD1CCE">
        <w:rPr>
          <w:rFonts w:asciiTheme="majorHAnsi" w:hAnsiTheme="majorHAnsi" w:cstheme="majorHAnsi"/>
          <w:i/>
          <w:iCs/>
          <w:lang w:val="en-US"/>
        </w:rPr>
        <w:t>et al.</w:t>
      </w:r>
      <w:r w:rsidRPr="00BD1CCE">
        <w:rPr>
          <w:rFonts w:asciiTheme="majorHAnsi" w:hAnsiTheme="majorHAnsi" w:cstheme="majorHAnsi"/>
          <w:lang w:val="en-US"/>
        </w:rPr>
        <w:t xml:space="preserve"> </w:t>
      </w:r>
      <w:r w:rsidRPr="00BD1CCE">
        <w:rPr>
          <w:rFonts w:asciiTheme="majorHAnsi" w:hAnsiTheme="majorHAnsi" w:cstheme="majorHAnsi"/>
          <w:i/>
          <w:iCs/>
          <w:lang w:val="en-US"/>
        </w:rPr>
        <w:t>Internationalization in higher education for society (IHES)</w:t>
      </w:r>
      <w:r w:rsidRPr="00BD1CCE">
        <w:rPr>
          <w:rFonts w:asciiTheme="majorHAnsi" w:hAnsiTheme="majorHAnsi" w:cstheme="majorHAnsi"/>
          <w:lang w:val="en-US"/>
        </w:rPr>
        <w:t xml:space="preserve">: concept, current research and examples of good practice (DAAD Studies). </w:t>
      </w:r>
      <w:r w:rsidRPr="00BD1CCE">
        <w:rPr>
          <w:rFonts w:asciiTheme="majorHAnsi" w:hAnsiTheme="majorHAnsi" w:cstheme="majorHAnsi"/>
        </w:rPr>
        <w:t>Bonn: DAAD, 2020.</w:t>
      </w:r>
    </w:p>
    <w:p w14:paraId="3A4B51DC" w14:textId="77777777" w:rsidR="00DA7023" w:rsidRPr="00BD1CCE" w:rsidRDefault="00DA7023" w:rsidP="00DA7023">
      <w:pPr>
        <w:spacing w:after="240"/>
        <w:jc w:val="both"/>
        <w:rPr>
          <w:rFonts w:asciiTheme="majorHAnsi" w:hAnsiTheme="majorHAnsi" w:cstheme="majorHAnsi"/>
          <w:shd w:val="clear" w:color="auto" w:fill="FFFFFF"/>
        </w:rPr>
      </w:pPr>
      <w:r w:rsidRPr="00BD1CCE">
        <w:rPr>
          <w:rFonts w:asciiTheme="majorHAnsi" w:hAnsiTheme="majorHAnsi" w:cstheme="majorHAnsi"/>
          <w:shd w:val="clear" w:color="auto" w:fill="FFFFFF"/>
        </w:rPr>
        <w:t>CENTRO BRASILEIRO DE PESQUISA EM AVALIAÇÃO E SELEÇÃO E DE PROMOÇÃO DE EVENTOS (CEBRASPE). Documento de referência para orientar e subsidiar as discussões do colóquio: “UnDF Jorge Amaury: entre o projeto e a criação — diálogos sobre a universidade que queremos”. Autor: SOUSA, José Vieira de.; Coord. GRIBOSKI, Claudia Maffini, Brasília, DF: CEBRASPE, 2021. (Termo de Referência n. 8, Código n. 2021-008, Projeto “Uma Universidade Distrital” — Termo de Colaboração n. 2/2020, Fundação de Apoio à Pesquisa do Distrito Federal (FAPDF), Fundação Universidade Aberta do Distrito Federal (FUNAB), Centro Brasileiro de Pesquisa em Avaliação e Seleção e de Promoção de Eventos  (CEBRASPE).</w:t>
      </w:r>
    </w:p>
    <w:p w14:paraId="76902582" w14:textId="77777777" w:rsidR="00DA7023" w:rsidRPr="00BD1CCE" w:rsidRDefault="00DA7023" w:rsidP="00DA7023">
      <w:pPr>
        <w:pStyle w:val="NormalWeb"/>
        <w:spacing w:before="0" w:beforeAutospacing="0" w:after="240" w:afterAutospacing="0"/>
        <w:jc w:val="both"/>
        <w:rPr>
          <w:rFonts w:asciiTheme="majorHAnsi" w:hAnsiTheme="majorHAnsi" w:cstheme="majorHAnsi"/>
          <w:color w:val="auto"/>
          <w:sz w:val="24"/>
        </w:rPr>
      </w:pPr>
      <w:r w:rsidRPr="00BD1CCE">
        <w:rPr>
          <w:rFonts w:asciiTheme="majorHAnsi" w:hAnsiTheme="majorHAnsi" w:cstheme="majorHAnsi"/>
          <w:color w:val="auto"/>
          <w:sz w:val="24"/>
          <w:shd w:val="clear" w:color="auto" w:fill="FFFFFF"/>
        </w:rPr>
        <w:t xml:space="preserve">CENTRO BRASILEIRO DE PESQUISA EM AVALIAÇÃO E SELEÇÃO E DE PROMOÇÃO DE EVENTOS (CEBRASPE). Documento contendo a </w:t>
      </w:r>
      <w:r w:rsidRPr="00BD1CCE">
        <w:rPr>
          <w:rFonts w:asciiTheme="majorHAnsi" w:hAnsiTheme="majorHAnsi" w:cstheme="majorHAnsi"/>
          <w:color w:val="auto"/>
          <w:sz w:val="24"/>
        </w:rPr>
        <w:t>missão, visão, valores, objetivos e metas institucionais da Universidade do Distrito Federal Jorge Amaury Maia Nunes (UnDF).</w:t>
      </w:r>
      <w:r w:rsidRPr="00BD1CCE">
        <w:rPr>
          <w:rFonts w:asciiTheme="majorHAnsi" w:hAnsiTheme="majorHAnsi" w:cstheme="majorHAnsi"/>
          <w:color w:val="auto"/>
          <w:sz w:val="24"/>
          <w:shd w:val="clear" w:color="auto" w:fill="FFFFFF"/>
        </w:rPr>
        <w:t xml:space="preserve"> Autor: </w:t>
      </w:r>
      <w:r w:rsidRPr="00BD1CCE">
        <w:rPr>
          <w:rFonts w:asciiTheme="majorHAnsi" w:hAnsiTheme="majorHAnsi" w:cstheme="majorHAnsi"/>
          <w:color w:val="auto"/>
          <w:sz w:val="24"/>
        </w:rPr>
        <w:t xml:space="preserve">SOUSA, </w:t>
      </w:r>
      <w:r w:rsidRPr="00BD1CCE">
        <w:rPr>
          <w:rFonts w:asciiTheme="majorHAnsi" w:hAnsiTheme="majorHAnsi" w:cstheme="majorHAnsi"/>
          <w:color w:val="auto"/>
          <w:sz w:val="24"/>
          <w:shd w:val="clear" w:color="auto" w:fill="FFFFFF"/>
        </w:rPr>
        <w:t>José Vieira de.; Coord. GRIBOSKI, Claudia Maffini,</w:t>
      </w:r>
      <w:r w:rsidRPr="00BD1CCE">
        <w:rPr>
          <w:rFonts w:asciiTheme="majorHAnsi" w:hAnsiTheme="majorHAnsi" w:cstheme="majorHAnsi"/>
          <w:color w:val="auto"/>
          <w:sz w:val="24"/>
        </w:rPr>
        <w:t xml:space="preserve"> Brasília, DF: CEBRASPE, 2022.</w:t>
      </w:r>
      <w:r w:rsidRPr="00BD1CCE">
        <w:rPr>
          <w:rFonts w:asciiTheme="majorHAnsi" w:hAnsiTheme="majorHAnsi" w:cstheme="majorHAnsi"/>
          <w:color w:val="auto"/>
          <w:sz w:val="24"/>
          <w:shd w:val="clear" w:color="auto" w:fill="FFFFFF"/>
        </w:rPr>
        <w:t xml:space="preserve"> (Termo de Referência n. 8, Código n. 2021-008, Projeto “Uma Universidade Distrital” — Termo de Colaboração n. 2/2020, Fundação de Apoio à Pesquisa do Distrito Federal (FAPDF), Fundação Universidade Aberta do Distrito Federal (FUNAB), Centro Brasileiro de Pesquisa em Avaliação e Seleção e de Promoção de Eventos (CEBRASPE).</w:t>
      </w:r>
    </w:p>
    <w:p w14:paraId="12FBDC19"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CLARK, B.; NEAVE, G. (eds.). </w:t>
      </w:r>
      <w:r w:rsidRPr="00BD1CCE">
        <w:rPr>
          <w:rFonts w:asciiTheme="majorHAnsi" w:hAnsiTheme="majorHAnsi" w:cstheme="majorHAnsi"/>
          <w:i/>
          <w:iCs/>
          <w:lang w:val="en-US"/>
        </w:rPr>
        <w:t>The encyclopedia of higher education</w:t>
      </w:r>
      <w:r w:rsidRPr="00BD1CCE">
        <w:rPr>
          <w:rFonts w:asciiTheme="majorHAnsi" w:hAnsiTheme="majorHAnsi" w:cstheme="majorHAnsi"/>
          <w:lang w:val="en-US"/>
        </w:rPr>
        <w:t xml:space="preserve">: analytical perspectives. </w:t>
      </w:r>
      <w:r w:rsidRPr="00BD1CCE">
        <w:rPr>
          <w:rFonts w:asciiTheme="majorHAnsi" w:hAnsiTheme="majorHAnsi" w:cstheme="majorHAnsi"/>
        </w:rPr>
        <w:t xml:space="preserve">New York: Pergamon Press, 1992. v. 3. </w:t>
      </w:r>
    </w:p>
    <w:p w14:paraId="633765E6" w14:textId="77777777" w:rsidR="00DA7023" w:rsidRPr="00BD1CCE" w:rsidRDefault="00DA7023" w:rsidP="00DA7023">
      <w:pPr>
        <w:spacing w:after="240"/>
        <w:jc w:val="both"/>
        <w:rPr>
          <w:rFonts w:asciiTheme="majorHAnsi" w:hAnsiTheme="majorHAnsi" w:cstheme="majorHAnsi"/>
          <w:highlight w:val="cyan"/>
        </w:rPr>
      </w:pPr>
      <w:r w:rsidRPr="00BD1CCE">
        <w:rPr>
          <w:rFonts w:asciiTheme="majorHAnsi" w:hAnsiTheme="majorHAnsi" w:cstheme="majorHAnsi"/>
        </w:rPr>
        <w:t xml:space="preserve">COORDENAÇÃO DE APERFEIÇOAMENTO PESSOAL DE NÍVEL SUPERIOR (CAPES). </w:t>
      </w:r>
      <w:r w:rsidRPr="00BD1CCE">
        <w:rPr>
          <w:rFonts w:asciiTheme="majorHAnsi" w:hAnsiTheme="majorHAnsi" w:cstheme="majorHAnsi"/>
          <w:i/>
          <w:iCs/>
        </w:rPr>
        <w:t>Seleção de projetos institucionais de internacionalização – Edital 41/2017 – Resultado final</w:t>
      </w:r>
      <w:r w:rsidRPr="00BD1CCE">
        <w:rPr>
          <w:rFonts w:asciiTheme="majorHAnsi" w:hAnsiTheme="majorHAnsi" w:cstheme="majorHAnsi"/>
        </w:rPr>
        <w:t>. Brasília, DF: CAPES, 2017. Disponível em: https://capes.gov.br/images/stories/download/editais/01102018_EDITAL_41_2017_PrInt_resultado_final.pdf. Acesso em: 9 fev. 2022.</w:t>
      </w:r>
    </w:p>
    <w:p w14:paraId="5F4D18F2" w14:textId="77777777" w:rsidR="00DA7023" w:rsidRPr="00BD1CCE" w:rsidRDefault="00DA7023" w:rsidP="00DA7023">
      <w:pPr>
        <w:widowControl w:val="0"/>
        <w:autoSpaceDE w:val="0"/>
        <w:autoSpaceDN w:val="0"/>
        <w:adjustRightInd w:val="0"/>
        <w:spacing w:after="240"/>
        <w:jc w:val="both"/>
        <w:rPr>
          <w:rFonts w:asciiTheme="majorHAnsi" w:hAnsiTheme="majorHAnsi" w:cstheme="majorHAnsi"/>
          <w:lang w:val="en-US"/>
        </w:rPr>
      </w:pPr>
      <w:r w:rsidRPr="00BD1CCE">
        <w:rPr>
          <w:rFonts w:asciiTheme="majorHAnsi" w:hAnsiTheme="majorHAnsi" w:cstheme="majorHAnsi"/>
          <w:lang w:val="en-US"/>
        </w:rPr>
        <w:t xml:space="preserve">DEARDORFF, D. K. The identification and assessment of intercultural competence as </w:t>
      </w:r>
      <w:r w:rsidRPr="00BD1CCE">
        <w:rPr>
          <w:rFonts w:asciiTheme="majorHAnsi" w:hAnsiTheme="majorHAnsi" w:cstheme="majorHAnsi"/>
          <w:spacing w:val="-2"/>
          <w:lang w:val="en-US"/>
        </w:rPr>
        <w:t>a student outcome of internationalization at institutions of higher education in the United</w:t>
      </w:r>
      <w:r w:rsidRPr="00BD1CCE">
        <w:rPr>
          <w:rFonts w:asciiTheme="majorHAnsi" w:hAnsiTheme="majorHAnsi" w:cstheme="majorHAnsi"/>
          <w:lang w:val="en-US"/>
        </w:rPr>
        <w:t xml:space="preserve"> States. </w:t>
      </w:r>
      <w:r w:rsidRPr="00BD1CCE">
        <w:rPr>
          <w:rFonts w:asciiTheme="majorHAnsi" w:hAnsiTheme="majorHAnsi" w:cstheme="majorHAnsi"/>
          <w:i/>
          <w:lang w:val="en-US"/>
        </w:rPr>
        <w:t>Journal of Studies in International Education</w:t>
      </w:r>
      <w:r w:rsidRPr="00BD1CCE">
        <w:rPr>
          <w:rFonts w:asciiTheme="majorHAnsi" w:hAnsiTheme="majorHAnsi" w:cstheme="majorHAnsi"/>
          <w:lang w:val="en-US"/>
        </w:rPr>
        <w:t>, Brussels, v. 10, p. 241-266, 2006.</w:t>
      </w:r>
    </w:p>
    <w:p w14:paraId="2BC2E770"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DE WIT, H. </w:t>
      </w:r>
      <w:r w:rsidRPr="00BD1CCE">
        <w:rPr>
          <w:rFonts w:asciiTheme="majorHAnsi" w:hAnsiTheme="majorHAnsi" w:cstheme="majorHAnsi"/>
          <w:i/>
          <w:iCs/>
          <w:lang w:val="en-US"/>
        </w:rPr>
        <w:t>COIL – Virtual mobility without commercialization</w:t>
      </w:r>
      <w:r w:rsidRPr="00BD1CCE">
        <w:rPr>
          <w:rFonts w:asciiTheme="majorHAnsi" w:hAnsiTheme="majorHAnsi" w:cstheme="majorHAnsi"/>
          <w:lang w:val="en-US"/>
        </w:rPr>
        <w:t xml:space="preserve">. </w:t>
      </w:r>
      <w:r w:rsidRPr="00BD1CCE">
        <w:rPr>
          <w:rFonts w:asciiTheme="majorHAnsi" w:hAnsiTheme="majorHAnsi" w:cstheme="majorHAnsi"/>
          <w:i/>
          <w:iCs/>
          <w:lang w:val="en-US"/>
        </w:rPr>
        <w:t>In:</w:t>
      </w:r>
      <w:r w:rsidRPr="00BD1CCE">
        <w:rPr>
          <w:rFonts w:asciiTheme="majorHAnsi" w:hAnsiTheme="majorHAnsi" w:cstheme="majorHAnsi"/>
          <w:lang w:val="en-US"/>
        </w:rPr>
        <w:t xml:space="preserve"> UNIVERSITY WORLD NEWS. </w:t>
      </w:r>
      <w:r w:rsidRPr="00BD1CCE">
        <w:rPr>
          <w:rFonts w:asciiTheme="majorHAnsi" w:hAnsiTheme="majorHAnsi" w:cstheme="majorHAnsi"/>
          <w:i/>
          <w:iCs/>
          <w:lang w:val="en-US"/>
        </w:rPr>
        <w:t>[S. l.]</w:t>
      </w:r>
      <w:r w:rsidRPr="00BD1CCE">
        <w:rPr>
          <w:rFonts w:asciiTheme="majorHAnsi" w:hAnsiTheme="majorHAnsi" w:cstheme="majorHAnsi"/>
          <w:lang w:val="en-US"/>
        </w:rPr>
        <w:t xml:space="preserve">, jun. 2013. </w:t>
      </w:r>
      <w:r w:rsidRPr="00BD1CCE">
        <w:rPr>
          <w:rFonts w:asciiTheme="majorHAnsi" w:hAnsiTheme="majorHAnsi" w:cstheme="majorHAnsi"/>
        </w:rPr>
        <w:t>Disponível em: https://www.universityworldnews.com/post.php?story=20130528175741647. Acesso em: 10 fev. 2022.</w:t>
      </w:r>
    </w:p>
    <w:p w14:paraId="6F358043"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eastAsiaTheme="minorEastAsia" w:hAnsiTheme="majorHAnsi" w:cstheme="majorHAnsi"/>
          <w:lang w:val="en-US"/>
        </w:rPr>
        <w:lastRenderedPageBreak/>
        <w:t xml:space="preserve">DE WIT, H. </w:t>
      </w:r>
      <w:r w:rsidRPr="00BD1CCE">
        <w:rPr>
          <w:rFonts w:asciiTheme="majorHAnsi" w:eastAsiaTheme="minorEastAsia" w:hAnsiTheme="majorHAnsi" w:cstheme="majorHAnsi"/>
          <w:i/>
          <w:iCs/>
          <w:lang w:val="en-US"/>
        </w:rPr>
        <w:t>et al.</w:t>
      </w:r>
      <w:r w:rsidRPr="00BD1CCE">
        <w:rPr>
          <w:rFonts w:asciiTheme="majorHAnsi" w:eastAsiaTheme="minorEastAsia" w:hAnsiTheme="majorHAnsi" w:cstheme="majorHAnsi"/>
          <w:lang w:val="en-US"/>
        </w:rPr>
        <w:t xml:space="preserve"> (eds.). </w:t>
      </w:r>
      <w:r w:rsidRPr="00BD1CCE">
        <w:rPr>
          <w:rFonts w:asciiTheme="majorHAnsi" w:eastAsiaTheme="minorEastAsia" w:hAnsiTheme="majorHAnsi" w:cstheme="majorHAnsi"/>
          <w:i/>
          <w:iCs/>
          <w:lang w:val="en-US"/>
        </w:rPr>
        <w:t>Internationalisation of higher education</w:t>
      </w:r>
      <w:r w:rsidRPr="00BD1CCE">
        <w:rPr>
          <w:rFonts w:asciiTheme="majorHAnsi" w:eastAsiaTheme="minorEastAsia" w:hAnsiTheme="majorHAnsi" w:cstheme="majorHAnsi"/>
          <w:i/>
          <w:lang w:val="en-US"/>
        </w:rPr>
        <w:t>.</w:t>
      </w:r>
      <w:r w:rsidRPr="00BD1CCE">
        <w:rPr>
          <w:rFonts w:asciiTheme="majorHAnsi" w:eastAsiaTheme="minorEastAsia" w:hAnsiTheme="majorHAnsi" w:cstheme="majorHAnsi"/>
          <w:lang w:val="en-US"/>
        </w:rPr>
        <w:t xml:space="preserve"> Brussels: European Parliament, Directorate-General for Internal Policies, 2015. </w:t>
      </w:r>
    </w:p>
    <w:p w14:paraId="72867C9A"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DOWNES, S. </w:t>
      </w:r>
      <w:r w:rsidRPr="00BD1CCE">
        <w:rPr>
          <w:rFonts w:asciiTheme="majorHAnsi" w:hAnsiTheme="majorHAnsi" w:cstheme="majorHAnsi"/>
          <w:i/>
          <w:iCs/>
          <w:lang w:val="en-US"/>
        </w:rPr>
        <w:t>Toward personal learning</w:t>
      </w:r>
      <w:r w:rsidRPr="00BD1CCE">
        <w:rPr>
          <w:rFonts w:asciiTheme="majorHAnsi" w:hAnsiTheme="majorHAnsi" w:cstheme="majorHAnsi"/>
          <w:lang w:val="en-US"/>
        </w:rPr>
        <w:t xml:space="preserve">: reclaiming a role for humanity in a world of commercialism and automation. </w:t>
      </w:r>
      <w:r w:rsidRPr="00BD1CCE">
        <w:rPr>
          <w:rFonts w:asciiTheme="majorHAnsi" w:hAnsiTheme="majorHAnsi" w:cstheme="majorHAnsi"/>
          <w:i/>
          <w:iCs/>
        </w:rPr>
        <w:t>[S. l.: s. n.]</w:t>
      </w:r>
      <w:r w:rsidRPr="00BD1CCE">
        <w:rPr>
          <w:rFonts w:asciiTheme="majorHAnsi" w:hAnsiTheme="majorHAnsi" w:cstheme="majorHAnsi"/>
        </w:rPr>
        <w:t xml:space="preserve">, 2017. Disponível em: https://www.downes.ca/files/books/Toward%20Personal%20Learning%20v09.pdf. Acesso em: 10 fev. 2022. </w:t>
      </w:r>
    </w:p>
    <w:p w14:paraId="2C67204D" w14:textId="77777777" w:rsidR="00DA7023" w:rsidRPr="00BD1CCE" w:rsidRDefault="00DA7023" w:rsidP="00DA7023">
      <w:pPr>
        <w:spacing w:after="240"/>
        <w:jc w:val="both"/>
        <w:rPr>
          <w:rFonts w:asciiTheme="majorHAnsi" w:hAnsiTheme="majorHAnsi" w:cstheme="majorHAnsi"/>
          <w:shd w:val="clear" w:color="auto" w:fill="FFFFFF"/>
          <w:lang w:val="es-ES"/>
        </w:rPr>
      </w:pPr>
      <w:r w:rsidRPr="00BD1CCE">
        <w:rPr>
          <w:rFonts w:asciiTheme="majorHAnsi" w:hAnsiTheme="majorHAnsi" w:cstheme="majorHAnsi"/>
          <w:shd w:val="clear" w:color="auto" w:fill="FFFFFF"/>
          <w:lang w:val="es-ES"/>
        </w:rPr>
        <w:t xml:space="preserve">FAURE, E. </w:t>
      </w:r>
      <w:r w:rsidRPr="00BD1CCE">
        <w:rPr>
          <w:rFonts w:asciiTheme="majorHAnsi" w:hAnsiTheme="majorHAnsi" w:cstheme="majorHAnsi"/>
          <w:i/>
          <w:iCs/>
          <w:shd w:val="clear" w:color="auto" w:fill="FFFFFF"/>
          <w:lang w:val="es-ES"/>
        </w:rPr>
        <w:t>et al</w:t>
      </w:r>
      <w:r w:rsidRPr="00BD1CCE">
        <w:rPr>
          <w:rFonts w:asciiTheme="majorHAnsi" w:hAnsiTheme="majorHAnsi" w:cstheme="majorHAnsi"/>
          <w:shd w:val="clear" w:color="auto" w:fill="FFFFFF"/>
          <w:lang w:val="es-ES"/>
        </w:rPr>
        <w:t xml:space="preserve">. (eds.). </w:t>
      </w:r>
      <w:r w:rsidRPr="00BD1CCE">
        <w:rPr>
          <w:rFonts w:asciiTheme="majorHAnsi" w:hAnsiTheme="majorHAnsi" w:cstheme="majorHAnsi"/>
          <w:i/>
          <w:iCs/>
          <w:shd w:val="clear" w:color="auto" w:fill="FFFFFF"/>
          <w:lang w:val="es-ES"/>
        </w:rPr>
        <w:t>Aprender a ser:</w:t>
      </w:r>
      <w:r w:rsidRPr="00BD1CCE">
        <w:rPr>
          <w:rFonts w:asciiTheme="majorHAnsi" w:hAnsiTheme="majorHAnsi" w:cstheme="majorHAnsi"/>
          <w:shd w:val="clear" w:color="auto" w:fill="FFFFFF"/>
          <w:lang w:val="es-ES"/>
        </w:rPr>
        <w:t xml:space="preserve"> la educación del futuro. Madrid/Paris: Alianza Editorial; Organización de las Naciones Unidas para la Educación, la Ciencia y la Cultura, 1973.</w:t>
      </w:r>
    </w:p>
    <w:p w14:paraId="0B4EE34C"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rPr>
        <w:t xml:space="preserve">FRANCO, S. Políticas de educação superior. </w:t>
      </w:r>
      <w:r w:rsidRPr="00BD1CCE">
        <w:rPr>
          <w:rFonts w:asciiTheme="majorHAnsi" w:hAnsiTheme="majorHAnsi" w:cstheme="majorHAnsi"/>
          <w:i/>
          <w:iCs/>
        </w:rPr>
        <w:t>In:</w:t>
      </w:r>
      <w:r w:rsidRPr="00BD1CCE">
        <w:rPr>
          <w:rFonts w:asciiTheme="majorHAnsi" w:hAnsiTheme="majorHAnsi" w:cstheme="majorHAnsi"/>
        </w:rPr>
        <w:t xml:space="preserve"> MOROSINI, M. (org.). </w:t>
      </w:r>
      <w:r w:rsidRPr="00BD1CCE">
        <w:rPr>
          <w:rFonts w:asciiTheme="majorHAnsi" w:hAnsiTheme="majorHAnsi" w:cstheme="majorHAnsi"/>
          <w:i/>
          <w:iCs/>
        </w:rPr>
        <w:t>Enciclopédia brasileira de educação superior</w:t>
      </w:r>
      <w:r w:rsidRPr="00BD1CCE">
        <w:rPr>
          <w:rFonts w:asciiTheme="majorHAnsi" w:hAnsiTheme="majorHAnsi" w:cstheme="majorHAnsi"/>
        </w:rPr>
        <w:t xml:space="preserve">. Porto Alegre: EdiPUCRS, 2021. v. 2. p. 170-232. </w:t>
      </w:r>
      <w:r w:rsidRPr="00BD1CCE">
        <w:rPr>
          <w:rFonts w:asciiTheme="majorHAnsi" w:hAnsiTheme="majorHAnsi" w:cstheme="majorHAnsi"/>
          <w:i/>
          <w:iCs/>
        </w:rPr>
        <w:t>E-book</w:t>
      </w:r>
      <w:r w:rsidRPr="00BD1CCE">
        <w:rPr>
          <w:rFonts w:asciiTheme="majorHAnsi" w:hAnsiTheme="majorHAnsi" w:cstheme="majorHAnsi"/>
        </w:rPr>
        <w:t xml:space="preserve">. Disponível em: https://editora.pucrs.br/livro/1563. </w:t>
      </w:r>
      <w:r w:rsidRPr="00BD1CCE">
        <w:rPr>
          <w:rFonts w:asciiTheme="majorHAnsi" w:hAnsiTheme="majorHAnsi" w:cstheme="majorHAnsi"/>
          <w:lang w:val="en-US"/>
        </w:rPr>
        <w:t>Acesso em: 9 fev. 2022.</w:t>
      </w:r>
    </w:p>
    <w:p w14:paraId="6C728C5C" w14:textId="77777777" w:rsidR="00DA7023" w:rsidRPr="00CA7418"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GACEL-ÁVILA, J. Comprehensive internationalisation in Latin America. </w:t>
      </w:r>
      <w:r w:rsidRPr="00CA7418">
        <w:rPr>
          <w:rFonts w:asciiTheme="majorHAnsi" w:hAnsiTheme="majorHAnsi" w:cstheme="majorHAnsi"/>
          <w:i/>
          <w:iCs/>
        </w:rPr>
        <w:t>High Education Policy</w:t>
      </w:r>
      <w:r w:rsidRPr="00CA7418">
        <w:rPr>
          <w:rFonts w:asciiTheme="majorHAnsi" w:hAnsiTheme="majorHAnsi" w:cstheme="majorHAnsi"/>
        </w:rPr>
        <w:t>, Cham, n. 25, p. 493-510, 2012.</w:t>
      </w:r>
      <w:hyperlink w:history="1"/>
    </w:p>
    <w:p w14:paraId="017F96A5"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rPr>
        <w:t xml:space="preserve">GOVERNO DO DISTRITO FEDERAL. </w:t>
      </w:r>
      <w:r w:rsidRPr="00BD1CCE">
        <w:rPr>
          <w:rFonts w:asciiTheme="majorHAnsi" w:hAnsiTheme="majorHAnsi" w:cstheme="majorHAnsi"/>
          <w:i/>
          <w:iCs/>
        </w:rPr>
        <w:t>Lei complementar n. 987, de 26 de julho de 2021</w:t>
      </w:r>
      <w:r w:rsidRPr="00BD1CCE">
        <w:rPr>
          <w:rFonts w:asciiTheme="majorHAnsi" w:hAnsiTheme="majorHAnsi" w:cstheme="majorHAnsi"/>
        </w:rPr>
        <w:t xml:space="preserve">. Autoriza a criação e define as áreas de atuação da Universidade do Distrito Federal – UnDF e dá outras providências. Brasília, DF: Governo do Distrito Federal, 2021. Disponível em: http://www.tc.df.gov.br/sinj/Norma/d63441567ac346e3bb12c2ac68f43b7b/LC_987_2021.html#:~:text=Autoriza%20a%20cria%C3%A7%C3%A3o%20e%20define,UnDF%20e%20d%C3%A1%20outras%20provid%C3%AAncias.&amp;text=240%2C%20%C2%A7%202%C2%BA%2C%20da%20Lei,na%20oferta%20de%20seus%20cursos. </w:t>
      </w:r>
      <w:r w:rsidRPr="00BD1CCE">
        <w:rPr>
          <w:rFonts w:asciiTheme="majorHAnsi" w:hAnsiTheme="majorHAnsi" w:cstheme="majorHAnsi"/>
          <w:lang w:val="en-US"/>
        </w:rPr>
        <w:t>Acesso em: 9 fev. 2022.</w:t>
      </w:r>
    </w:p>
    <w:p w14:paraId="16C2D6BD"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HUDZIK, J. K. </w:t>
      </w:r>
      <w:r w:rsidRPr="00BD1CCE">
        <w:rPr>
          <w:rFonts w:asciiTheme="majorHAnsi" w:hAnsiTheme="majorHAnsi" w:cstheme="majorHAnsi"/>
          <w:i/>
          <w:iCs/>
          <w:lang w:val="en-US"/>
        </w:rPr>
        <w:t xml:space="preserve">Internationalisation comprehensive. </w:t>
      </w:r>
      <w:r w:rsidRPr="00BD1CCE">
        <w:rPr>
          <w:rFonts w:asciiTheme="majorHAnsi" w:hAnsiTheme="majorHAnsi" w:cstheme="majorHAnsi"/>
          <w:lang w:val="en-US"/>
        </w:rPr>
        <w:t>Washington, DC:</w:t>
      </w:r>
      <w:r w:rsidRPr="00BD1CCE">
        <w:rPr>
          <w:rFonts w:asciiTheme="majorHAnsi" w:hAnsiTheme="majorHAnsi" w:cstheme="majorHAnsi"/>
          <w:i/>
          <w:iCs/>
          <w:lang w:val="en-US"/>
        </w:rPr>
        <w:t xml:space="preserve"> </w:t>
      </w:r>
      <w:r w:rsidRPr="00BD1CCE">
        <w:rPr>
          <w:rFonts w:asciiTheme="majorHAnsi" w:hAnsiTheme="majorHAnsi" w:cstheme="majorHAnsi"/>
          <w:lang w:val="en-US"/>
        </w:rPr>
        <w:t xml:space="preserve">NAFSA, 2011. </w:t>
      </w:r>
      <w:r w:rsidRPr="00BD1CCE">
        <w:rPr>
          <w:rFonts w:asciiTheme="majorHAnsi" w:hAnsiTheme="majorHAnsi" w:cstheme="majorHAnsi"/>
        </w:rPr>
        <w:t xml:space="preserve">Disponível em: http:// www.nafsa.org/simonaward. Acesso em: 10 fev. 2022. </w:t>
      </w:r>
    </w:p>
    <w:p w14:paraId="4BB4DD3D"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lang w:val="en-US"/>
        </w:rPr>
        <w:t xml:space="preserve">KNIGHT, J. Internationalisation remodeled: definition, approaches, and rationales. </w:t>
      </w:r>
      <w:r w:rsidRPr="00BD1CCE">
        <w:rPr>
          <w:rFonts w:asciiTheme="majorHAnsi" w:hAnsiTheme="majorHAnsi" w:cstheme="majorHAnsi"/>
          <w:i/>
          <w:iCs/>
          <w:lang w:val="en-US"/>
        </w:rPr>
        <w:t>Journal of Studies in International Education,</w:t>
      </w:r>
      <w:r w:rsidRPr="00BD1CCE">
        <w:rPr>
          <w:rFonts w:asciiTheme="majorHAnsi" w:hAnsiTheme="majorHAnsi" w:cstheme="majorHAnsi"/>
          <w:lang w:val="en-US"/>
        </w:rPr>
        <w:t xml:space="preserve"> Brussels, v. 8, n.1, p. 5-31, 2004. </w:t>
      </w:r>
    </w:p>
    <w:p w14:paraId="74984490"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INTERNATIONAL INSTITUTE FOR HIGHER EDUCATION IN LATIN AMERICA AND THE CARIBBEAN (IESALC). </w:t>
      </w:r>
      <w:r w:rsidRPr="00BD1CCE">
        <w:rPr>
          <w:rFonts w:asciiTheme="majorHAnsi" w:hAnsiTheme="majorHAnsi" w:cstheme="majorHAnsi"/>
          <w:lang w:val="es-ES"/>
        </w:rPr>
        <w:t xml:space="preserve">Declaración. </w:t>
      </w:r>
      <w:r w:rsidRPr="00BD1CCE">
        <w:rPr>
          <w:rFonts w:asciiTheme="majorHAnsi" w:hAnsiTheme="majorHAnsi" w:cstheme="majorHAnsi"/>
          <w:i/>
          <w:iCs/>
          <w:lang w:val="es-ES"/>
        </w:rPr>
        <w:t>In</w:t>
      </w:r>
      <w:r w:rsidRPr="00BD1CCE">
        <w:rPr>
          <w:rFonts w:asciiTheme="majorHAnsi" w:hAnsiTheme="majorHAnsi" w:cstheme="majorHAnsi"/>
          <w:lang w:val="es-ES"/>
        </w:rPr>
        <w:t xml:space="preserve">: CONFERENCIA REGIONAL DE EDUCACIÓN SUPERIOR PARA AMÉRICA LATINA Y EL CARIBE, 3., 2018, Córdoba, Argentina. </w:t>
      </w:r>
      <w:r w:rsidRPr="00BD1CCE">
        <w:rPr>
          <w:rFonts w:asciiTheme="majorHAnsi" w:hAnsiTheme="majorHAnsi" w:cstheme="majorHAnsi"/>
          <w:i/>
          <w:iCs/>
        </w:rPr>
        <w:t>Anais eletrônicos</w:t>
      </w:r>
      <w:r w:rsidRPr="00BD1CCE">
        <w:rPr>
          <w:rFonts w:asciiTheme="majorHAnsi" w:hAnsiTheme="majorHAnsi" w:cstheme="majorHAnsi"/>
        </w:rPr>
        <w:t xml:space="preserve"> [...]. Córdoba: IESALC, 2018a. Disponível em: https://www.iesalc.unesco.org/wp-content/uploads/2020/08/Declaracion2018PortFinal.pdf. Acesso em: 9 fev. 2022.</w:t>
      </w:r>
    </w:p>
    <w:p w14:paraId="108B30EA" w14:textId="77777777" w:rsidR="00DA7023" w:rsidRPr="00CA7418" w:rsidRDefault="00DA7023" w:rsidP="00DA7023">
      <w:pPr>
        <w:spacing w:after="240"/>
        <w:jc w:val="both"/>
        <w:rPr>
          <w:rFonts w:asciiTheme="majorHAnsi" w:hAnsiTheme="majorHAnsi" w:cstheme="majorHAnsi"/>
          <w:lang w:val="en-US"/>
        </w:rPr>
      </w:pPr>
      <w:r w:rsidRPr="00BD1CCE">
        <w:rPr>
          <w:rFonts w:asciiTheme="majorHAnsi" w:hAnsiTheme="majorHAnsi" w:cstheme="majorHAnsi"/>
          <w:lang w:val="en-US"/>
        </w:rPr>
        <w:t xml:space="preserve">INTERNATIONAL INSTITUTE FOR HIGHER EDUCATION IN LATIN AMERICA AND THE CARIBBEAN (IESALC). </w:t>
      </w:r>
      <w:r w:rsidRPr="00BD1CCE">
        <w:rPr>
          <w:rFonts w:asciiTheme="majorHAnsi" w:hAnsiTheme="majorHAnsi" w:cstheme="majorHAnsi"/>
          <w:i/>
          <w:iCs/>
          <w:lang w:val="es-ES"/>
        </w:rPr>
        <w:t>Plan de acción de la conferencia regional de educación superior 2018-2028</w:t>
      </w:r>
      <w:r w:rsidRPr="00BD1CCE">
        <w:rPr>
          <w:rFonts w:asciiTheme="majorHAnsi" w:hAnsiTheme="majorHAnsi" w:cstheme="majorHAnsi"/>
          <w:lang w:val="es-ES"/>
        </w:rPr>
        <w:t xml:space="preserve">. </w:t>
      </w:r>
      <w:r w:rsidRPr="00BD1CCE">
        <w:rPr>
          <w:rFonts w:asciiTheme="majorHAnsi" w:hAnsiTheme="majorHAnsi" w:cstheme="majorHAnsi"/>
          <w:i/>
          <w:iCs/>
          <w:lang w:val="es-ES"/>
        </w:rPr>
        <w:t>In</w:t>
      </w:r>
      <w:r w:rsidRPr="00BD1CCE">
        <w:rPr>
          <w:rFonts w:asciiTheme="majorHAnsi" w:hAnsiTheme="majorHAnsi" w:cstheme="majorHAnsi"/>
          <w:lang w:val="es-ES"/>
        </w:rPr>
        <w:t xml:space="preserve">: CONFERENCIA REGIONAL DE EDUCACIÓN SUPERIOR PARA AMÉRICA LATINA Y EL CARIBE, 3., 2018, Córdoba, Argentina. </w:t>
      </w:r>
      <w:r w:rsidRPr="00BD1CCE">
        <w:rPr>
          <w:rFonts w:asciiTheme="majorHAnsi" w:hAnsiTheme="majorHAnsi" w:cstheme="majorHAnsi"/>
          <w:i/>
          <w:iCs/>
        </w:rPr>
        <w:t>Anais eletrônicos</w:t>
      </w:r>
      <w:r w:rsidRPr="00BD1CCE">
        <w:rPr>
          <w:rFonts w:asciiTheme="majorHAnsi" w:hAnsiTheme="majorHAnsi" w:cstheme="majorHAnsi"/>
        </w:rPr>
        <w:t xml:space="preserve"> [...]. Córdoba: IESALC, 2018b. Disponível em: https://drive.google.com/file/d/1Mr_obMED-yv2RalSeC6L1YeStb1C9tiU/view. </w:t>
      </w:r>
      <w:r w:rsidRPr="00CA7418">
        <w:rPr>
          <w:rFonts w:asciiTheme="majorHAnsi" w:hAnsiTheme="majorHAnsi" w:cstheme="majorHAnsi"/>
          <w:lang w:val="en-US"/>
        </w:rPr>
        <w:t>Acesso em: 9 fev. 2022.</w:t>
      </w:r>
    </w:p>
    <w:p w14:paraId="46E04A5D"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lang w:val="en-US"/>
        </w:rPr>
        <w:t xml:space="preserve">JONES, E. From mobility to internationalization of the curriculum at home. </w:t>
      </w:r>
      <w:r w:rsidRPr="00BD1CCE">
        <w:rPr>
          <w:rFonts w:asciiTheme="majorHAnsi" w:hAnsiTheme="majorHAnsi" w:cstheme="majorHAnsi"/>
          <w:i/>
          <w:iCs/>
          <w:lang w:val="en-US"/>
        </w:rPr>
        <w:t>In</w:t>
      </w:r>
      <w:r w:rsidRPr="00BD1CCE">
        <w:rPr>
          <w:rFonts w:asciiTheme="majorHAnsi" w:hAnsiTheme="majorHAnsi" w:cstheme="majorHAnsi"/>
          <w:lang w:val="en-US"/>
        </w:rPr>
        <w:t xml:space="preserve">: GODWIN, K. A; DE WIT, H. (eds.). </w:t>
      </w:r>
      <w:r w:rsidRPr="00BD1CCE">
        <w:rPr>
          <w:rFonts w:asciiTheme="majorHAnsi" w:hAnsiTheme="majorHAnsi" w:cstheme="majorHAnsi"/>
          <w:i/>
          <w:iCs/>
          <w:lang w:val="en-US"/>
        </w:rPr>
        <w:t xml:space="preserve">Intelligent internationalization. </w:t>
      </w:r>
      <w:r w:rsidRPr="00BD1CCE">
        <w:rPr>
          <w:rFonts w:asciiTheme="majorHAnsi" w:hAnsiTheme="majorHAnsi" w:cstheme="majorHAnsi"/>
          <w:lang w:val="en-US"/>
        </w:rPr>
        <w:t>Leiden, The Netherlands: Brill Sense, 2019. p. 179-183.</w:t>
      </w:r>
    </w:p>
    <w:p w14:paraId="2591A4F5"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lang w:val="en-US"/>
        </w:rPr>
        <w:t xml:space="preserve">LEASK, B. </w:t>
      </w:r>
      <w:r w:rsidRPr="00BD1CCE">
        <w:rPr>
          <w:rFonts w:asciiTheme="majorHAnsi" w:hAnsiTheme="majorHAnsi" w:cstheme="majorHAnsi"/>
          <w:i/>
          <w:iCs/>
          <w:lang w:val="en-US"/>
        </w:rPr>
        <w:t xml:space="preserve">Internationalizing the curriculum. </w:t>
      </w:r>
      <w:r w:rsidRPr="00BD1CCE">
        <w:rPr>
          <w:rFonts w:asciiTheme="majorHAnsi" w:hAnsiTheme="majorHAnsi" w:cstheme="majorHAnsi"/>
          <w:lang w:val="en-US"/>
        </w:rPr>
        <w:t>New York: Routledge, 2015. (Internationalisation in Higher Education Series.)</w:t>
      </w:r>
    </w:p>
    <w:p w14:paraId="5F72164E"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MOROSINI, M. C. (org.). </w:t>
      </w:r>
      <w:r w:rsidRPr="00BD1CCE">
        <w:rPr>
          <w:rFonts w:asciiTheme="majorHAnsi" w:hAnsiTheme="majorHAnsi" w:cstheme="majorHAnsi"/>
          <w:i/>
          <w:iCs/>
        </w:rPr>
        <w:t>Enciclopédia brasileira de educação superior</w:t>
      </w:r>
      <w:r w:rsidRPr="00BD1CCE">
        <w:rPr>
          <w:rFonts w:asciiTheme="majorHAnsi" w:hAnsiTheme="majorHAnsi" w:cstheme="majorHAnsi"/>
        </w:rPr>
        <w:t>. Porto Alegre: EdiPUCRS, 2021. v. 2.</w:t>
      </w:r>
    </w:p>
    <w:p w14:paraId="36CE9D3B"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MOROSINI, M. C. (org.). </w:t>
      </w:r>
      <w:r w:rsidRPr="00BD1CCE">
        <w:rPr>
          <w:rFonts w:asciiTheme="majorHAnsi" w:hAnsiTheme="majorHAnsi" w:cstheme="majorHAnsi"/>
          <w:i/>
          <w:iCs/>
        </w:rPr>
        <w:t>Guia para a internacionalização universitária</w:t>
      </w:r>
      <w:r w:rsidRPr="00BD1CCE">
        <w:rPr>
          <w:rFonts w:asciiTheme="majorHAnsi" w:hAnsiTheme="majorHAnsi" w:cstheme="majorHAnsi"/>
        </w:rPr>
        <w:t xml:space="preserve">. Porto Alegre: EdiPUCRS, 2019. </w:t>
      </w:r>
    </w:p>
    <w:p w14:paraId="2F72B3AE"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lastRenderedPageBreak/>
        <w:t xml:space="preserve">MOROSINI, M. C. Internacionalização da educação superior e integração acadêmica. </w:t>
      </w:r>
      <w:r w:rsidRPr="00BD1CCE">
        <w:rPr>
          <w:rFonts w:asciiTheme="majorHAnsi" w:hAnsiTheme="majorHAnsi" w:cstheme="majorHAnsi"/>
          <w:i/>
          <w:iCs/>
        </w:rPr>
        <w:t>In:</w:t>
      </w:r>
      <w:r w:rsidRPr="00BD1CCE">
        <w:rPr>
          <w:rFonts w:asciiTheme="majorHAnsi" w:hAnsiTheme="majorHAnsi" w:cstheme="majorHAnsi"/>
        </w:rPr>
        <w:t xml:space="preserve"> CONFERÊNCIAS UFRGS.</w:t>
      </w:r>
      <w:r w:rsidRPr="00BD1CCE">
        <w:rPr>
          <w:rFonts w:asciiTheme="majorHAnsi" w:hAnsiTheme="majorHAnsi" w:cstheme="majorHAnsi"/>
          <w:i/>
          <w:iCs/>
        </w:rPr>
        <w:t xml:space="preserve"> </w:t>
      </w:r>
      <w:r w:rsidRPr="00BD1CCE">
        <w:rPr>
          <w:rFonts w:asciiTheme="majorHAnsi" w:hAnsiTheme="majorHAnsi" w:cstheme="majorHAnsi"/>
        </w:rPr>
        <w:t xml:space="preserve">Porto Alegre: UFRGS, dez. 2017. </w:t>
      </w:r>
    </w:p>
    <w:p w14:paraId="5E63EC7B"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MOROSINI, M. C. Internacionalização do currículo: a produção em organismos internacionais. </w:t>
      </w:r>
      <w:r w:rsidRPr="00BD1CCE">
        <w:rPr>
          <w:rFonts w:asciiTheme="majorHAnsi" w:hAnsiTheme="majorHAnsi" w:cstheme="majorHAnsi"/>
          <w:i/>
          <w:iCs/>
        </w:rPr>
        <w:t>Roteiro</w:t>
      </w:r>
      <w:r w:rsidRPr="00BD1CCE">
        <w:rPr>
          <w:rFonts w:asciiTheme="majorHAnsi" w:hAnsiTheme="majorHAnsi" w:cstheme="majorHAnsi"/>
        </w:rPr>
        <w:t xml:space="preserve">, Joaçaba, v. 43, n. 1, p. 115-132, jan./abr. 2018. </w:t>
      </w:r>
    </w:p>
    <w:p w14:paraId="3A741575"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MOROSINI, M. C. O desenvolvimento sustentável como cerne das proposições da UNESCO. </w:t>
      </w:r>
      <w:r w:rsidRPr="00BD1CCE">
        <w:rPr>
          <w:rFonts w:asciiTheme="majorHAnsi" w:hAnsiTheme="majorHAnsi" w:cstheme="majorHAnsi"/>
          <w:i/>
          <w:iCs/>
        </w:rPr>
        <w:t>Revista Educação</w:t>
      </w:r>
      <w:r w:rsidRPr="00BD1CCE">
        <w:rPr>
          <w:rFonts w:asciiTheme="majorHAnsi" w:hAnsiTheme="majorHAnsi" w:cstheme="majorHAnsi"/>
        </w:rPr>
        <w:t xml:space="preserve">, Santa Maria, 2022. No prelo. </w:t>
      </w:r>
    </w:p>
    <w:p w14:paraId="1267FD21"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MOROSINI, M. C. Qualidade da educação superior e contextos emergentes. </w:t>
      </w:r>
      <w:r w:rsidRPr="00BD1CCE">
        <w:rPr>
          <w:rFonts w:asciiTheme="majorHAnsi" w:hAnsiTheme="majorHAnsi" w:cstheme="majorHAnsi"/>
          <w:i/>
          <w:iCs/>
        </w:rPr>
        <w:t>Avaliação,</w:t>
      </w:r>
      <w:r w:rsidRPr="00BD1CCE">
        <w:rPr>
          <w:rFonts w:asciiTheme="majorHAnsi" w:hAnsiTheme="majorHAnsi" w:cstheme="majorHAnsi"/>
        </w:rPr>
        <w:t xml:space="preserve"> Campinas, v. 19, n. 2, p. 385-405, jul. 2014.</w:t>
      </w:r>
    </w:p>
    <w:p w14:paraId="3A668360"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MOROSINI, M. C.; BARANZELI, C. Internacionalização em casa – IaC e redes investigativas: possibilidades segundo docentes brasileiros. </w:t>
      </w:r>
      <w:r w:rsidRPr="00BD1CCE">
        <w:rPr>
          <w:rFonts w:asciiTheme="majorHAnsi" w:hAnsiTheme="majorHAnsi" w:cstheme="majorHAnsi"/>
          <w:i/>
          <w:iCs/>
        </w:rPr>
        <w:t>In</w:t>
      </w:r>
      <w:r w:rsidRPr="00BD1CCE">
        <w:rPr>
          <w:rFonts w:asciiTheme="majorHAnsi" w:hAnsiTheme="majorHAnsi" w:cstheme="majorHAnsi"/>
        </w:rPr>
        <w:t xml:space="preserve">: FRANCO, S. R. K; FRANCO, M. E. D. P; LEITE, D. B. C. (orgs.). </w:t>
      </w:r>
      <w:r w:rsidRPr="00BD1CCE">
        <w:rPr>
          <w:rFonts w:asciiTheme="majorHAnsi" w:hAnsiTheme="majorHAnsi" w:cstheme="majorHAnsi"/>
          <w:i/>
          <w:iCs/>
        </w:rPr>
        <w:t>Educação superior e conhecimento no centenário da reforma de Córdoba</w:t>
      </w:r>
      <w:r w:rsidRPr="00BD1CCE">
        <w:rPr>
          <w:rFonts w:asciiTheme="majorHAnsi" w:hAnsiTheme="majorHAnsi" w:cstheme="majorHAnsi"/>
        </w:rPr>
        <w:t>: novos olhares em contextos emergentes. Porto Alegre: EdiPUCRS, 2018. p. 269-288.</w:t>
      </w:r>
    </w:p>
    <w:p w14:paraId="09CAD00C" w14:textId="77777777" w:rsidR="00DA7023" w:rsidRPr="00E60A89"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MOROSINI, M. C.; CLEMENTE, F. A. S. Inter (nacionalização e culturalidade): constructos gêmeos em contextos emergentes da educação superior. </w:t>
      </w:r>
      <w:r w:rsidRPr="00BD1CCE">
        <w:rPr>
          <w:rFonts w:asciiTheme="majorHAnsi" w:hAnsiTheme="majorHAnsi" w:cstheme="majorHAnsi"/>
          <w:i/>
          <w:iCs/>
        </w:rPr>
        <w:t>In</w:t>
      </w:r>
      <w:r w:rsidRPr="00BD1CCE">
        <w:rPr>
          <w:rFonts w:asciiTheme="majorHAnsi" w:hAnsiTheme="majorHAnsi" w:cstheme="majorHAnsi"/>
        </w:rPr>
        <w:t xml:space="preserve">: CUNHA, M. I. (org.). </w:t>
      </w:r>
      <w:r w:rsidRPr="00BD1CCE">
        <w:rPr>
          <w:rFonts w:asciiTheme="majorHAnsi" w:hAnsiTheme="majorHAnsi" w:cstheme="majorHAnsi"/>
          <w:i/>
          <w:iCs/>
        </w:rPr>
        <w:t>Educação superior e prática em contextos emergentes</w:t>
      </w:r>
      <w:r w:rsidRPr="00BD1CCE">
        <w:rPr>
          <w:rFonts w:asciiTheme="majorHAnsi" w:hAnsiTheme="majorHAnsi" w:cstheme="majorHAnsi"/>
        </w:rPr>
        <w:t>. Porto Alegre: EdiPUCRS, 2019. v. 8. (Série Educação Superior RIES/CNPq/FAPERGS). p. 233-250</w:t>
      </w:r>
      <w:r w:rsidRPr="00E60A89">
        <w:rPr>
          <w:rFonts w:asciiTheme="majorHAnsi" w:hAnsiTheme="majorHAnsi" w:cstheme="majorHAnsi"/>
        </w:rPr>
        <w:t>.</w:t>
      </w:r>
    </w:p>
    <w:p w14:paraId="449C0B7D" w14:textId="77777777" w:rsidR="00DA7023" w:rsidRPr="00E60A89" w:rsidRDefault="00DA7023" w:rsidP="00DA7023">
      <w:pPr>
        <w:spacing w:after="240"/>
        <w:jc w:val="both"/>
        <w:rPr>
          <w:rFonts w:asciiTheme="majorHAnsi" w:hAnsiTheme="majorHAnsi" w:cstheme="majorHAnsi"/>
        </w:rPr>
      </w:pPr>
      <w:r w:rsidRPr="00E60A89">
        <w:rPr>
          <w:rFonts w:asciiTheme="majorHAnsi" w:hAnsiTheme="majorHAnsi" w:cstheme="majorHAnsi"/>
        </w:rPr>
        <w:t xml:space="preserve">MOROSINI, M.; DALLA CORTE, M. Internacionalização da educação superior. </w:t>
      </w:r>
      <w:r w:rsidRPr="00E60A89">
        <w:rPr>
          <w:rFonts w:asciiTheme="majorHAnsi" w:hAnsiTheme="majorHAnsi" w:cstheme="majorHAnsi"/>
          <w:i/>
          <w:iCs/>
        </w:rPr>
        <w:t>In:</w:t>
      </w:r>
      <w:r w:rsidRPr="00E60A89">
        <w:rPr>
          <w:rFonts w:asciiTheme="majorHAnsi" w:hAnsiTheme="majorHAnsi" w:cstheme="majorHAnsi"/>
        </w:rPr>
        <w:t xml:space="preserve"> MOROSINI, M. (org.). </w:t>
      </w:r>
      <w:r w:rsidRPr="00E60A89">
        <w:rPr>
          <w:rFonts w:asciiTheme="majorHAnsi" w:hAnsiTheme="majorHAnsi" w:cstheme="majorHAnsi"/>
          <w:i/>
          <w:iCs/>
        </w:rPr>
        <w:t>Enciclopédia brasileira de educação superior</w:t>
      </w:r>
      <w:r w:rsidRPr="00E60A89">
        <w:rPr>
          <w:rFonts w:asciiTheme="majorHAnsi" w:hAnsiTheme="majorHAnsi" w:cstheme="majorHAnsi"/>
        </w:rPr>
        <w:t xml:space="preserve">. Porto Alegre: EdiPUCRS, 2021. v. 2. p. 35-170. </w:t>
      </w:r>
      <w:r w:rsidRPr="00E60A89">
        <w:rPr>
          <w:rFonts w:asciiTheme="majorHAnsi" w:hAnsiTheme="majorHAnsi" w:cstheme="majorHAnsi"/>
          <w:i/>
          <w:iCs/>
        </w:rPr>
        <w:t>E-book</w:t>
      </w:r>
      <w:r w:rsidRPr="00E60A89">
        <w:rPr>
          <w:rFonts w:asciiTheme="majorHAnsi" w:hAnsiTheme="majorHAnsi" w:cstheme="majorHAnsi"/>
        </w:rPr>
        <w:t>. Disponível em: https://editora.pucrs.br/livro/1563. Acesso em: 9 fev. 2022.</w:t>
      </w:r>
    </w:p>
    <w:p w14:paraId="31719DEB" w14:textId="77777777" w:rsidR="00DA7023" w:rsidRPr="00E60A89" w:rsidRDefault="00DA7023" w:rsidP="00DA7023">
      <w:pPr>
        <w:pStyle w:val="NormalWeb"/>
        <w:spacing w:before="0" w:beforeAutospacing="0" w:after="240" w:afterAutospacing="0"/>
        <w:jc w:val="both"/>
        <w:rPr>
          <w:rFonts w:asciiTheme="majorHAnsi" w:hAnsiTheme="majorHAnsi" w:cstheme="majorHAnsi"/>
          <w:color w:val="auto"/>
          <w:sz w:val="24"/>
          <w:lang w:val="en-US"/>
        </w:rPr>
      </w:pPr>
      <w:r w:rsidRPr="00E60A89">
        <w:rPr>
          <w:rFonts w:asciiTheme="majorHAnsi" w:hAnsiTheme="majorHAnsi" w:cstheme="majorHAnsi"/>
          <w:color w:val="auto"/>
          <w:sz w:val="24"/>
        </w:rPr>
        <w:t xml:space="preserve">NÓVOA, A. O sentido da internacionalização: a viagem. Na criação. No conhecimento. No encontro. Na paz com os outros e na paz com a Terra. </w:t>
      </w:r>
      <w:r w:rsidRPr="00E60A89">
        <w:rPr>
          <w:rFonts w:asciiTheme="majorHAnsi" w:hAnsiTheme="majorHAnsi" w:cstheme="majorHAnsi"/>
          <w:i/>
          <w:iCs/>
          <w:color w:val="auto"/>
          <w:sz w:val="24"/>
        </w:rPr>
        <w:t>In:</w:t>
      </w:r>
      <w:r w:rsidRPr="00E60A89">
        <w:rPr>
          <w:rFonts w:asciiTheme="majorHAnsi" w:hAnsiTheme="majorHAnsi" w:cstheme="majorHAnsi"/>
          <w:color w:val="auto"/>
          <w:sz w:val="24"/>
        </w:rPr>
        <w:t xml:space="preserve"> MOROSINI, M. C. (org.). </w:t>
      </w:r>
      <w:r w:rsidRPr="00E60A89">
        <w:rPr>
          <w:rFonts w:asciiTheme="majorHAnsi" w:hAnsiTheme="majorHAnsi" w:cstheme="majorHAnsi"/>
          <w:i/>
          <w:iCs/>
          <w:color w:val="auto"/>
          <w:sz w:val="24"/>
        </w:rPr>
        <w:t xml:space="preserve">Fórum latino-americano de educação superior. </w:t>
      </w:r>
      <w:r w:rsidRPr="00E60A89">
        <w:rPr>
          <w:rFonts w:asciiTheme="majorHAnsi" w:hAnsiTheme="majorHAnsi" w:cstheme="majorHAnsi"/>
          <w:color w:val="auto"/>
          <w:sz w:val="24"/>
          <w:lang w:val="en-US"/>
        </w:rPr>
        <w:t>São Carlos: Pixel, 2015. p. 69-76.</w:t>
      </w:r>
    </w:p>
    <w:p w14:paraId="6EC3FC3C" w14:textId="77777777" w:rsidR="00DA7023" w:rsidRPr="00E60A89" w:rsidRDefault="00DA7023" w:rsidP="00DA7023">
      <w:pPr>
        <w:pStyle w:val="NormalWeb"/>
        <w:spacing w:before="0" w:beforeAutospacing="0" w:after="240" w:afterAutospacing="0"/>
        <w:jc w:val="both"/>
        <w:rPr>
          <w:rFonts w:asciiTheme="majorHAnsi" w:hAnsiTheme="majorHAnsi" w:cstheme="majorHAnsi"/>
          <w:color w:val="auto"/>
          <w:sz w:val="24"/>
        </w:rPr>
      </w:pPr>
      <w:r w:rsidRPr="00E60A89">
        <w:rPr>
          <w:rFonts w:asciiTheme="majorHAnsi" w:hAnsiTheme="majorHAnsi" w:cstheme="majorHAnsi"/>
          <w:color w:val="auto"/>
          <w:sz w:val="24"/>
          <w:lang w:val="en-US"/>
        </w:rPr>
        <w:t xml:space="preserve">O’DOWD, R.; BEAVEN, A. Examining the impact of virtual exchange. </w:t>
      </w:r>
      <w:r w:rsidRPr="00E60A89">
        <w:rPr>
          <w:rFonts w:asciiTheme="majorHAnsi" w:hAnsiTheme="majorHAnsi" w:cstheme="majorHAnsi"/>
          <w:i/>
          <w:iCs/>
          <w:color w:val="auto"/>
          <w:sz w:val="24"/>
        </w:rPr>
        <w:t>Forum Magazine</w:t>
      </w:r>
      <w:r w:rsidRPr="00E60A89">
        <w:rPr>
          <w:rFonts w:asciiTheme="majorHAnsi" w:hAnsiTheme="majorHAnsi" w:cstheme="majorHAnsi"/>
          <w:color w:val="auto"/>
          <w:sz w:val="24"/>
        </w:rPr>
        <w:t>, Amsterdam, 2019. Disponível em: https://www.academia.edu/41333601/Examining_the_impact_of_Virtual_E%20xchange. Acesso em: 10 fev. 2022.</w:t>
      </w:r>
    </w:p>
    <w:p w14:paraId="6FB08F04" w14:textId="77777777" w:rsidR="00DA7023" w:rsidRPr="00E60A89" w:rsidRDefault="00DA7023" w:rsidP="00DA7023">
      <w:pPr>
        <w:spacing w:after="240"/>
        <w:jc w:val="both"/>
        <w:rPr>
          <w:rFonts w:asciiTheme="majorHAnsi" w:hAnsiTheme="majorHAnsi" w:cstheme="majorHAnsi"/>
          <w:highlight w:val="yellow"/>
        </w:rPr>
      </w:pPr>
      <w:r w:rsidRPr="00E60A89">
        <w:rPr>
          <w:rFonts w:asciiTheme="majorHAnsi" w:hAnsiTheme="majorHAnsi" w:cstheme="majorHAnsi"/>
        </w:rPr>
        <w:t xml:space="preserve">ORGANIZAÇÃO DAS NAÇÕES UNIDAS PARA A EDUCAÇÃO, A CIÊNCIA E A CULTURA (UNESCO). </w:t>
      </w:r>
      <w:r w:rsidRPr="00E60A89">
        <w:rPr>
          <w:rFonts w:asciiTheme="majorHAnsi" w:hAnsiTheme="majorHAnsi" w:cstheme="majorHAnsi"/>
          <w:i/>
          <w:iCs/>
        </w:rPr>
        <w:t>Educação para a cidadania global</w:t>
      </w:r>
      <w:r w:rsidRPr="00E60A89">
        <w:rPr>
          <w:rFonts w:asciiTheme="majorHAnsi" w:hAnsiTheme="majorHAnsi" w:cstheme="majorHAnsi"/>
        </w:rPr>
        <w:t xml:space="preserve">: preparando alunos para os desafios do século XXI. Brasília, DF: Unesco, 2015. Disponível em: https://unesdoc.unesco.org/ark:/48223/pf0000234311. Acesso em: 9 fev. 2019. </w:t>
      </w:r>
    </w:p>
    <w:p w14:paraId="636B8B28" w14:textId="77777777" w:rsidR="00DA7023" w:rsidRPr="00E60A89" w:rsidRDefault="00DA7023" w:rsidP="00DA7023">
      <w:pPr>
        <w:spacing w:after="240"/>
        <w:rPr>
          <w:rFonts w:asciiTheme="majorHAnsi" w:hAnsiTheme="majorHAnsi" w:cstheme="majorHAnsi"/>
        </w:rPr>
      </w:pPr>
      <w:r w:rsidRPr="00E60A89">
        <w:rPr>
          <w:rFonts w:asciiTheme="majorHAnsi" w:hAnsiTheme="majorHAnsi" w:cstheme="majorHAnsi"/>
          <w:shd w:val="clear" w:color="auto" w:fill="FFFFFF"/>
        </w:rPr>
        <w:t xml:space="preserve">ORGANIZAÇÃO DAS NAÇÕES UNIDAS PARA A EDUCAÇÃO, A CIÊNCIA E A CULTURA (UNESCO). </w:t>
      </w:r>
      <w:r w:rsidRPr="00E60A89">
        <w:rPr>
          <w:rFonts w:asciiTheme="majorHAnsi" w:hAnsiTheme="majorHAnsi" w:cstheme="majorHAnsi"/>
          <w:bCs/>
          <w:i/>
          <w:iCs/>
        </w:rPr>
        <w:t>Educação um tesouro a descobrir</w:t>
      </w:r>
      <w:r w:rsidRPr="00E60A89">
        <w:rPr>
          <w:rFonts w:asciiTheme="majorHAnsi" w:hAnsiTheme="majorHAnsi" w:cstheme="majorHAnsi"/>
        </w:rPr>
        <w:t>. Relatório para a UNESCO da Comissão Internacional sobre Educação para o século XXI. São Paulo: Cortez, 1996. Disponível em: http://dhnet.org.br/dados/relatorios/a_pdf/r_unesco_educ_tesouro_descobrir.pdf. Acesso em: 10 fev. 2021.</w:t>
      </w:r>
    </w:p>
    <w:p w14:paraId="2FC65D5E" w14:textId="77777777" w:rsidR="00DA7023" w:rsidRPr="00BD1CCE" w:rsidRDefault="00DA7023" w:rsidP="00DA7023">
      <w:pPr>
        <w:spacing w:after="240"/>
        <w:jc w:val="both"/>
        <w:rPr>
          <w:rFonts w:asciiTheme="majorHAnsi" w:hAnsiTheme="majorHAnsi" w:cstheme="majorHAnsi"/>
        </w:rPr>
      </w:pPr>
      <w:r w:rsidRPr="00E60A89">
        <w:rPr>
          <w:rFonts w:asciiTheme="majorHAnsi" w:hAnsiTheme="majorHAnsi" w:cstheme="majorHAnsi"/>
        </w:rPr>
        <w:t>ORGANIZAÇÃO DAS NAÇÕES UNIDAS PARA A EDUCAÇÃO</w:t>
      </w:r>
      <w:r w:rsidRPr="00BD1CCE">
        <w:rPr>
          <w:rFonts w:asciiTheme="majorHAnsi" w:hAnsiTheme="majorHAnsi" w:cstheme="majorHAnsi"/>
        </w:rPr>
        <w:t xml:space="preserve">, A CIÊNCIA E A CULTURA (UNESCO). </w:t>
      </w:r>
      <w:r w:rsidRPr="00BD1CCE">
        <w:rPr>
          <w:rFonts w:asciiTheme="majorHAnsi" w:hAnsiTheme="majorHAnsi" w:cstheme="majorHAnsi"/>
          <w:i/>
          <w:iCs/>
          <w:lang w:val="es-ES"/>
        </w:rPr>
        <w:t>Informe de la UNESCO sobre la ciencia</w:t>
      </w:r>
      <w:r w:rsidRPr="00BD1CCE">
        <w:rPr>
          <w:rFonts w:asciiTheme="majorHAnsi" w:hAnsiTheme="majorHAnsi" w:cstheme="majorHAnsi"/>
          <w:lang w:val="es-ES"/>
        </w:rPr>
        <w:t xml:space="preserve">. La carrera contra el reloj para un desarrollo más inteligente. </w:t>
      </w:r>
      <w:r w:rsidRPr="00BD1CCE">
        <w:rPr>
          <w:rFonts w:asciiTheme="majorHAnsi" w:hAnsiTheme="majorHAnsi" w:cstheme="majorHAnsi"/>
        </w:rPr>
        <w:t>Rejumen educativo. Paris: UNESCO, 2021. Diponível em: https://www.unesco.org/reports/science/2021/es. Acesso em: 9 fev. 2022.</w:t>
      </w:r>
    </w:p>
    <w:p w14:paraId="67F89ED6"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rPr>
        <w:t xml:space="preserve">ORGANIZAÇÃO PARA A COOPERAÇÃO E DESENVOLVIMENTO ECONÔMICO (OCDE). </w:t>
      </w:r>
      <w:r w:rsidRPr="00BD1CCE">
        <w:rPr>
          <w:rFonts w:asciiTheme="majorHAnsi" w:hAnsiTheme="majorHAnsi" w:cstheme="majorHAnsi"/>
          <w:i/>
          <w:iCs/>
        </w:rPr>
        <w:t>Transformative competencies for 2030</w:t>
      </w:r>
      <w:r w:rsidRPr="00BD1CCE">
        <w:rPr>
          <w:rFonts w:asciiTheme="majorHAnsi" w:hAnsiTheme="majorHAnsi" w:cstheme="majorHAnsi"/>
        </w:rPr>
        <w:t>. Paris: OCDE Publishing, 2019. Disponível em: http://www.oecd.org/education/2030-</w:t>
      </w:r>
      <w:r w:rsidRPr="00BD1CCE">
        <w:rPr>
          <w:rFonts w:asciiTheme="majorHAnsi" w:hAnsiTheme="majorHAnsi" w:cstheme="majorHAnsi"/>
        </w:rPr>
        <w:lastRenderedPageBreak/>
        <w:t>project/teaching-and-learning/learning/transformative-competencies/ in_brief_Transformative_Competencies.pdf. Acesso em: 10 out. 2021.</w:t>
      </w:r>
    </w:p>
    <w:p w14:paraId="47F260B7" w14:textId="77777777" w:rsidR="00DA7023" w:rsidRPr="00BD1CCE" w:rsidRDefault="00DA7023" w:rsidP="00DA7023">
      <w:pPr>
        <w:spacing w:after="240"/>
        <w:jc w:val="both"/>
        <w:rPr>
          <w:rFonts w:asciiTheme="majorHAnsi" w:hAnsiTheme="majorHAnsi" w:cstheme="majorHAnsi"/>
          <w:lang w:val="en-US"/>
        </w:rPr>
      </w:pPr>
      <w:r w:rsidRPr="00BD1CCE">
        <w:rPr>
          <w:rFonts w:asciiTheme="majorHAnsi" w:hAnsiTheme="majorHAnsi" w:cstheme="majorHAnsi"/>
          <w:lang w:val="en-US"/>
        </w:rPr>
        <w:t xml:space="preserve">ROBSON, S. Internationalisation at home: internationalizing the university experience of staff and students. </w:t>
      </w:r>
      <w:r w:rsidRPr="00BD1CCE">
        <w:rPr>
          <w:rFonts w:asciiTheme="majorHAnsi" w:hAnsiTheme="majorHAnsi" w:cstheme="majorHAnsi"/>
          <w:i/>
          <w:iCs/>
          <w:lang w:val="en-US"/>
        </w:rPr>
        <w:t xml:space="preserve">Educação, </w:t>
      </w:r>
      <w:r w:rsidRPr="00BD1CCE">
        <w:rPr>
          <w:rFonts w:asciiTheme="majorHAnsi" w:hAnsiTheme="majorHAnsi" w:cstheme="majorHAnsi"/>
          <w:lang w:val="en-US"/>
        </w:rPr>
        <w:t xml:space="preserve">Porto Alegre, v. 40, n. 3, p. 368-374, set./dez. 2017. </w:t>
      </w:r>
    </w:p>
    <w:p w14:paraId="387538AD"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n-US"/>
        </w:rPr>
        <w:t xml:space="preserve">SALMI, J. </w:t>
      </w:r>
      <w:r w:rsidRPr="00BD1CCE">
        <w:rPr>
          <w:rFonts w:asciiTheme="majorHAnsi" w:hAnsiTheme="majorHAnsi" w:cstheme="majorHAnsi"/>
          <w:i/>
          <w:iCs/>
          <w:lang w:val="en-US"/>
        </w:rPr>
        <w:t>The challenge of establishing world class universities</w:t>
      </w:r>
      <w:r w:rsidRPr="00BD1CCE">
        <w:rPr>
          <w:rFonts w:asciiTheme="majorHAnsi" w:hAnsiTheme="majorHAnsi" w:cstheme="majorHAnsi"/>
          <w:lang w:val="en-US"/>
        </w:rPr>
        <w:t xml:space="preserve">. </w:t>
      </w:r>
      <w:r w:rsidRPr="00BD1CCE">
        <w:rPr>
          <w:rFonts w:asciiTheme="majorHAnsi" w:hAnsiTheme="majorHAnsi" w:cstheme="majorHAnsi"/>
        </w:rPr>
        <w:t xml:space="preserve">Washington: World Bank, 2009. </w:t>
      </w:r>
    </w:p>
    <w:p w14:paraId="040C29C8" w14:textId="77777777" w:rsidR="00DA7023" w:rsidRPr="00BD1CCE" w:rsidRDefault="00DA7023" w:rsidP="00DA7023">
      <w:pPr>
        <w:spacing w:after="240"/>
        <w:jc w:val="both"/>
        <w:rPr>
          <w:rFonts w:asciiTheme="majorHAnsi" w:hAnsiTheme="majorHAnsi" w:cstheme="majorHAnsi"/>
          <w:lang w:val="es-ES"/>
        </w:rPr>
      </w:pPr>
      <w:r w:rsidRPr="00BD1CCE">
        <w:rPr>
          <w:rFonts w:asciiTheme="majorHAnsi" w:hAnsiTheme="majorHAnsi" w:cstheme="majorHAnsi"/>
        </w:rPr>
        <w:t xml:space="preserve">UNIVERSITAS/RIES. </w:t>
      </w:r>
      <w:r w:rsidRPr="00BD1CCE">
        <w:rPr>
          <w:rFonts w:asciiTheme="majorHAnsi" w:hAnsiTheme="majorHAnsi" w:cstheme="majorHAnsi"/>
          <w:i/>
          <w:iCs/>
        </w:rPr>
        <w:t>Políticas institucionais de internacionalização da educação superior</w:t>
      </w:r>
      <w:r w:rsidRPr="00BD1CCE">
        <w:rPr>
          <w:rFonts w:asciiTheme="majorHAnsi" w:hAnsiTheme="majorHAnsi" w:cstheme="majorHAnsi"/>
        </w:rPr>
        <w:t xml:space="preserve">. </w:t>
      </w:r>
      <w:r w:rsidRPr="00BD1CCE">
        <w:rPr>
          <w:rFonts w:asciiTheme="majorHAnsi" w:hAnsiTheme="majorHAnsi" w:cstheme="majorHAnsi"/>
          <w:lang w:val="es-ES"/>
        </w:rPr>
        <w:t>Banco de dados, 2021.</w:t>
      </w:r>
    </w:p>
    <w:p w14:paraId="61AB8478" w14:textId="77777777" w:rsidR="00DA7023" w:rsidRPr="00BD1CCE" w:rsidRDefault="00DA7023" w:rsidP="00DA7023">
      <w:pPr>
        <w:spacing w:after="240"/>
        <w:jc w:val="both"/>
        <w:rPr>
          <w:rFonts w:asciiTheme="majorHAnsi" w:hAnsiTheme="majorHAnsi" w:cstheme="majorHAnsi"/>
        </w:rPr>
      </w:pPr>
      <w:r w:rsidRPr="00BD1CCE">
        <w:rPr>
          <w:rFonts w:asciiTheme="majorHAnsi" w:hAnsiTheme="majorHAnsi" w:cstheme="majorHAnsi"/>
          <w:lang w:val="es-ES"/>
        </w:rPr>
        <w:t>WALSH, C. Interculturalidad crítica y educación intercultural.</w:t>
      </w:r>
      <w:r w:rsidRPr="00BD1CCE">
        <w:rPr>
          <w:rFonts w:asciiTheme="majorHAnsi" w:hAnsiTheme="majorHAnsi" w:cstheme="majorHAnsi"/>
          <w:b/>
          <w:bCs/>
          <w:lang w:val="es-ES"/>
        </w:rPr>
        <w:t xml:space="preserve"> </w:t>
      </w:r>
      <w:r w:rsidRPr="00BD1CCE">
        <w:rPr>
          <w:rFonts w:asciiTheme="majorHAnsi" w:hAnsiTheme="majorHAnsi" w:cstheme="majorHAnsi"/>
          <w:i/>
          <w:iCs/>
          <w:lang w:val="es-ES"/>
        </w:rPr>
        <w:t>In:</w:t>
      </w:r>
      <w:r w:rsidRPr="00BD1CCE">
        <w:rPr>
          <w:rFonts w:asciiTheme="majorHAnsi" w:hAnsiTheme="majorHAnsi" w:cstheme="majorHAnsi"/>
          <w:lang w:val="es-ES"/>
        </w:rPr>
        <w:t xml:space="preserve"> SEMINÁRIO INTERCULTURALIDAD Y EDUCACIÓN INTERCULTURAL, 2009, La Paz. </w:t>
      </w:r>
      <w:r w:rsidRPr="00BD1CCE">
        <w:rPr>
          <w:rFonts w:asciiTheme="majorHAnsi" w:hAnsiTheme="majorHAnsi" w:cstheme="majorHAnsi"/>
          <w:i/>
          <w:iCs/>
        </w:rPr>
        <w:t>Anais eletrônicos</w:t>
      </w:r>
      <w:r w:rsidRPr="00BD1CCE">
        <w:rPr>
          <w:rFonts w:asciiTheme="majorHAnsi" w:hAnsiTheme="majorHAnsi" w:cstheme="majorHAnsi"/>
        </w:rPr>
        <w:t xml:space="preserve"> [...]. La Paz: Instituto Internacional de Integración del Convenio Andrés Bello, 2009. Disponível em: http://docplayer.es/13551165-Interculturalidad-critica-y-educacion-intercultural.html. Acesso em: 10 fev. 2022.</w:t>
      </w:r>
    </w:p>
    <w:p w14:paraId="0C05CCE2" w14:textId="77777777" w:rsidR="00DA7023" w:rsidRPr="00BD1CCE" w:rsidRDefault="00DA7023" w:rsidP="00DA7023">
      <w:pPr>
        <w:spacing w:after="240"/>
        <w:jc w:val="both"/>
        <w:rPr>
          <w:rFonts w:asciiTheme="majorHAnsi" w:eastAsia="Arial" w:hAnsiTheme="majorHAnsi" w:cstheme="majorHAnsi"/>
          <w:lang w:val="en-US"/>
        </w:rPr>
      </w:pPr>
      <w:r w:rsidRPr="00BD1CCE">
        <w:rPr>
          <w:rFonts w:asciiTheme="majorHAnsi" w:eastAsia="Arial" w:hAnsiTheme="majorHAnsi" w:cstheme="majorHAnsi"/>
          <w:lang w:val="en-US"/>
        </w:rPr>
        <w:t xml:space="preserve">WOICOLESCO, V. G.; CASSOL-SILVA, C.; MOROSINI, M. Internationalization at home and virtual: a sustainable model for Brazilian Higher Education. </w:t>
      </w:r>
      <w:r w:rsidRPr="00BD1CCE">
        <w:rPr>
          <w:rFonts w:asciiTheme="majorHAnsi" w:eastAsia="Arial" w:hAnsiTheme="majorHAnsi" w:cstheme="majorHAnsi"/>
          <w:i/>
          <w:iCs/>
          <w:lang w:val="en-US"/>
        </w:rPr>
        <w:t>Journal of Studies in International Education</w:t>
      </w:r>
      <w:r w:rsidRPr="00BD1CCE">
        <w:rPr>
          <w:rFonts w:asciiTheme="majorHAnsi" w:eastAsia="Arial" w:hAnsiTheme="majorHAnsi" w:cstheme="majorHAnsi"/>
          <w:lang w:val="en-US"/>
        </w:rPr>
        <w:t>, Brussels, February 2022. No prelo.</w:t>
      </w:r>
    </w:p>
    <w:p w14:paraId="5591B30C" w14:textId="77777777" w:rsidR="00DA7023" w:rsidRPr="00BD1CCE" w:rsidRDefault="00DA7023" w:rsidP="00DA7023">
      <w:pPr>
        <w:spacing w:after="240"/>
        <w:jc w:val="both"/>
        <w:rPr>
          <w:rFonts w:asciiTheme="majorHAnsi" w:hAnsiTheme="majorHAnsi" w:cstheme="majorHAnsi"/>
          <w:b/>
          <w:bCs/>
          <w:lang w:val="en-US"/>
        </w:rPr>
      </w:pPr>
      <w:r w:rsidRPr="00BD1CCE">
        <w:rPr>
          <w:rFonts w:asciiTheme="majorHAnsi" w:hAnsiTheme="majorHAnsi" w:cstheme="majorHAnsi"/>
          <w:lang w:val="es-ES"/>
        </w:rPr>
        <w:t>WOICOLESCO, V. G. MOROSINI, M.; MARCELINO, J.; HADSET, D</w:t>
      </w:r>
      <w:r w:rsidRPr="00BD1CCE">
        <w:rPr>
          <w:rFonts w:asciiTheme="majorHAnsi" w:hAnsiTheme="majorHAnsi" w:cstheme="majorHAnsi"/>
          <w:i/>
          <w:iCs/>
          <w:lang w:val="es-ES"/>
        </w:rPr>
        <w:t>.</w:t>
      </w:r>
      <w:r w:rsidRPr="00BD1CCE">
        <w:rPr>
          <w:rFonts w:asciiTheme="majorHAnsi" w:hAnsiTheme="majorHAnsi" w:cstheme="majorHAnsi"/>
          <w:lang w:val="es-ES"/>
        </w:rPr>
        <w:t xml:space="preserve"> </w:t>
      </w:r>
      <w:r w:rsidRPr="00BD1CCE">
        <w:rPr>
          <w:rFonts w:asciiTheme="majorHAnsi" w:hAnsiTheme="majorHAnsi" w:cstheme="majorHAnsi"/>
          <w:i/>
          <w:iCs/>
        </w:rPr>
        <w:t>Políticas e planos de internacionalização de universidades brasileiras</w:t>
      </w:r>
      <w:r w:rsidRPr="00BD1CCE">
        <w:rPr>
          <w:rFonts w:asciiTheme="majorHAnsi" w:hAnsiTheme="majorHAnsi" w:cstheme="majorHAnsi"/>
        </w:rPr>
        <w:t xml:space="preserve">: uma análise do Programa </w:t>
      </w:r>
      <w:r w:rsidRPr="00BD1CCE">
        <w:rPr>
          <w:rFonts w:asciiTheme="majorHAnsi" w:hAnsiTheme="majorHAnsi" w:cstheme="majorHAnsi"/>
          <w:bCs/>
        </w:rPr>
        <w:t>CAPES-PrInt</w:t>
      </w:r>
      <w:r w:rsidRPr="00BD1CCE">
        <w:rPr>
          <w:rFonts w:asciiTheme="majorHAnsi" w:hAnsiTheme="majorHAnsi" w:cstheme="majorHAnsi"/>
        </w:rPr>
        <w:t xml:space="preserve">. </w:t>
      </w:r>
      <w:r w:rsidRPr="00BD1CCE">
        <w:rPr>
          <w:rFonts w:asciiTheme="majorHAnsi" w:hAnsiTheme="majorHAnsi" w:cstheme="majorHAnsi"/>
          <w:lang w:val="en-US"/>
        </w:rPr>
        <w:t>2022. No prelo.</w:t>
      </w:r>
      <w:r w:rsidRPr="00BD1CCE">
        <w:rPr>
          <w:rFonts w:asciiTheme="majorHAnsi" w:hAnsiTheme="majorHAnsi" w:cstheme="majorHAnsi"/>
          <w:b/>
          <w:bCs/>
          <w:lang w:val="en-US"/>
        </w:rPr>
        <w:t xml:space="preserve"> </w:t>
      </w:r>
    </w:p>
    <w:p w14:paraId="746B2DB7" w14:textId="4E7F75F2" w:rsidR="002D51F3" w:rsidRDefault="00DA7023" w:rsidP="002D51F3">
      <w:pPr>
        <w:spacing w:after="240"/>
        <w:jc w:val="both"/>
        <w:rPr>
          <w:rFonts w:asciiTheme="majorHAnsi" w:hAnsiTheme="majorHAnsi" w:cstheme="majorHAnsi"/>
        </w:rPr>
      </w:pPr>
      <w:r w:rsidRPr="00BD1CCE">
        <w:rPr>
          <w:rFonts w:asciiTheme="majorHAnsi" w:hAnsiTheme="majorHAnsi" w:cstheme="majorHAnsi"/>
          <w:lang w:val="en-US"/>
        </w:rPr>
        <w:t xml:space="preserve">WOICOLESCO, V. G.; MOROSINI, M.; MARCELINO, J. COVID-19 and the crisis in the internationalization of higher education in emerging contexts. </w:t>
      </w:r>
      <w:r w:rsidRPr="00BD1CCE">
        <w:rPr>
          <w:rFonts w:asciiTheme="majorHAnsi" w:hAnsiTheme="majorHAnsi" w:cstheme="majorHAnsi"/>
          <w:i/>
          <w:iCs/>
          <w:lang w:val="en-US"/>
        </w:rPr>
        <w:t>Policy Futures in Education</w:t>
      </w:r>
      <w:r w:rsidRPr="00BD1CCE">
        <w:rPr>
          <w:rFonts w:asciiTheme="majorHAnsi" w:hAnsiTheme="majorHAnsi" w:cstheme="majorHAnsi"/>
          <w:lang w:val="en-US"/>
        </w:rPr>
        <w:t xml:space="preserve">, </w:t>
      </w:r>
      <w:r w:rsidRPr="00BD1CCE">
        <w:rPr>
          <w:rFonts w:asciiTheme="majorHAnsi" w:hAnsiTheme="majorHAnsi" w:cstheme="majorHAnsi"/>
          <w:i/>
          <w:iCs/>
          <w:lang w:val="en-US"/>
        </w:rPr>
        <w:t>[s. l.]</w:t>
      </w:r>
      <w:r w:rsidRPr="00BD1CCE">
        <w:rPr>
          <w:rFonts w:asciiTheme="majorHAnsi" w:hAnsiTheme="majorHAnsi" w:cstheme="majorHAnsi"/>
          <w:lang w:val="en-US"/>
        </w:rPr>
        <w:t xml:space="preserve">, 2021. Disponível em: </w:t>
      </w:r>
      <w:r w:rsidRPr="00BD1CCE">
        <w:rPr>
          <w:rFonts w:asciiTheme="majorHAnsi" w:hAnsiTheme="majorHAnsi" w:cstheme="majorHAnsi"/>
          <w:spacing w:val="-6"/>
          <w:lang w:val="en-US"/>
        </w:rPr>
        <w:t xml:space="preserve">https://journals.sagepub.com/doi/full/10.1177/14782103211040913. </w:t>
      </w:r>
      <w:r w:rsidRPr="00BD1CCE">
        <w:rPr>
          <w:rFonts w:asciiTheme="majorHAnsi" w:hAnsiTheme="majorHAnsi" w:cstheme="majorHAnsi"/>
          <w:spacing w:val="-6"/>
        </w:rPr>
        <w:t>Acesso em: 9 fev. 2022.</w:t>
      </w:r>
    </w:p>
    <w:p w14:paraId="0ADC9E28" w14:textId="77777777" w:rsidR="002D51F3" w:rsidRDefault="002D51F3">
      <w:pPr>
        <w:tabs>
          <w:tab w:val="clear" w:pos="1615"/>
        </w:tabs>
        <w:spacing w:line="259" w:lineRule="auto"/>
        <w:rPr>
          <w:rFonts w:asciiTheme="majorHAnsi" w:hAnsiTheme="majorHAnsi" w:cstheme="majorHAnsi"/>
        </w:rPr>
      </w:pPr>
      <w:r>
        <w:rPr>
          <w:rFonts w:asciiTheme="majorHAnsi" w:hAnsiTheme="majorHAnsi" w:cstheme="majorHAnsi"/>
        </w:rPr>
        <w:br w:type="page"/>
      </w:r>
    </w:p>
    <w:p w14:paraId="566DD489" w14:textId="77777777" w:rsidR="00A54802" w:rsidRPr="00BD1CCE" w:rsidRDefault="00A54802" w:rsidP="002D51F3">
      <w:pPr>
        <w:spacing w:after="240"/>
        <w:jc w:val="both"/>
        <w:rPr>
          <w:rFonts w:asciiTheme="majorHAnsi" w:hAnsiTheme="majorHAnsi" w:cstheme="majorHAnsi"/>
        </w:rPr>
      </w:pPr>
    </w:p>
    <w:sectPr w:rsidR="00A54802" w:rsidRPr="00BD1CCE" w:rsidSect="00027374">
      <w:pgSz w:w="11906" w:h="16838"/>
      <w:pgMar w:top="1134" w:right="1134" w:bottom="1701"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0DC5B" w14:textId="77777777" w:rsidR="00B0682E" w:rsidRDefault="00B0682E" w:rsidP="00D703CD">
      <w:pPr>
        <w:spacing w:after="0"/>
      </w:pPr>
      <w:r>
        <w:separator/>
      </w:r>
    </w:p>
    <w:p w14:paraId="70827003" w14:textId="77777777" w:rsidR="00B0682E" w:rsidRDefault="00B0682E"/>
  </w:endnote>
  <w:endnote w:type="continuationSeparator" w:id="0">
    <w:p w14:paraId="21660326" w14:textId="77777777" w:rsidR="00B0682E" w:rsidRDefault="00B0682E" w:rsidP="00D703CD">
      <w:pPr>
        <w:spacing w:after="0"/>
      </w:pPr>
      <w:r>
        <w:continuationSeparator/>
      </w:r>
    </w:p>
    <w:p w14:paraId="61939B39" w14:textId="77777777" w:rsidR="00B0682E" w:rsidRDefault="00B06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cala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6192" behindDoc="1" locked="0" layoutInCell="1" allowOverlap="1" wp14:anchorId="2D9458C2" wp14:editId="345B4386">
          <wp:simplePos x="0" y="0"/>
          <wp:positionH relativeFrom="margin">
            <wp:align>center</wp:align>
          </wp:positionH>
          <wp:positionV relativeFrom="margin">
            <wp:posOffset>9396210</wp:posOffset>
          </wp:positionV>
          <wp:extent cx="7560000" cy="563951"/>
          <wp:effectExtent l="0" t="0" r="3175" b="7620"/>
          <wp:wrapNone/>
          <wp:docPr id="2" name="Imagem 2"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60288" behindDoc="1" locked="0" layoutInCell="1" allowOverlap="1" wp14:anchorId="706D4F8F" wp14:editId="775581B6">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4EBA2D44" id="Grupo 23" o:spid="_x0000_s1026" style="position:absolute;margin-left:549.95pt;margin-top:-35.15pt;width:682.25pt;height:83.25pt;z-index:-251656192"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3E1ED" w14:textId="77777777" w:rsidR="00B0682E" w:rsidRDefault="00B0682E" w:rsidP="00D703CD">
      <w:pPr>
        <w:spacing w:after="0"/>
      </w:pPr>
      <w:r>
        <w:separator/>
      </w:r>
    </w:p>
    <w:p w14:paraId="14DF1E03" w14:textId="77777777" w:rsidR="00B0682E" w:rsidRDefault="00B0682E"/>
  </w:footnote>
  <w:footnote w:type="continuationSeparator" w:id="0">
    <w:p w14:paraId="623AD8D4" w14:textId="77777777" w:rsidR="00B0682E" w:rsidRDefault="00B0682E" w:rsidP="00D703CD">
      <w:pPr>
        <w:spacing w:after="0"/>
      </w:pPr>
      <w:r>
        <w:continuationSeparator/>
      </w:r>
    </w:p>
    <w:p w14:paraId="069D1A9B" w14:textId="77777777" w:rsidR="00B0682E" w:rsidRDefault="00B0682E"/>
  </w:footnote>
  <w:footnote w:id="1">
    <w:p w14:paraId="2D04ED21" w14:textId="77777777" w:rsidR="00DA7023" w:rsidRPr="00F6235B" w:rsidRDefault="00DA7023" w:rsidP="00DA7023">
      <w:pPr>
        <w:pStyle w:val="NormalWeb"/>
        <w:spacing w:before="0" w:beforeAutospacing="0" w:after="0" w:afterAutospacing="0"/>
        <w:ind w:left="142" w:hanging="142"/>
        <w:jc w:val="both"/>
        <w:rPr>
          <w:rFonts w:ascii="Times New Roman" w:hAnsi="Times New Roman"/>
          <w:color w:val="auto"/>
          <w:sz w:val="20"/>
          <w:szCs w:val="20"/>
        </w:rPr>
      </w:pPr>
      <w:r w:rsidRPr="00CD74BA">
        <w:rPr>
          <w:rStyle w:val="Refdenotaderodap"/>
          <w:rFonts w:ascii="Times New Roman" w:hAnsi="Times New Roman"/>
          <w:color w:val="auto"/>
          <w:sz w:val="20"/>
          <w:szCs w:val="20"/>
        </w:rPr>
        <w:footnoteRef/>
      </w:r>
      <w:r w:rsidRPr="00CD74BA">
        <w:rPr>
          <w:rFonts w:ascii="Times New Roman" w:hAnsi="Times New Roman"/>
          <w:color w:val="auto"/>
          <w:sz w:val="20"/>
          <w:szCs w:val="20"/>
        </w:rPr>
        <w:t xml:space="preserve"> O presente texto atende ao contrato realizado com o Centro Brasileiro de Pesquisa em Avaliação e Seleção e de Promoção de Eventos </w:t>
      </w:r>
      <w:r>
        <w:rPr>
          <w:rFonts w:ascii="Times New Roman" w:hAnsi="Times New Roman"/>
          <w:color w:val="auto"/>
          <w:sz w:val="20"/>
          <w:szCs w:val="20"/>
        </w:rPr>
        <w:t>(</w:t>
      </w:r>
      <w:r w:rsidRPr="00CD74BA">
        <w:rPr>
          <w:rFonts w:ascii="Times New Roman" w:hAnsi="Times New Roman"/>
          <w:color w:val="auto"/>
          <w:sz w:val="20"/>
          <w:szCs w:val="20"/>
        </w:rPr>
        <w:t>CEBRASPE</w:t>
      </w:r>
      <w:r>
        <w:rPr>
          <w:rFonts w:ascii="Times New Roman" w:hAnsi="Times New Roman"/>
          <w:color w:val="auto"/>
          <w:sz w:val="20"/>
          <w:szCs w:val="20"/>
        </w:rPr>
        <w:t>)</w:t>
      </w:r>
      <w:r w:rsidRPr="00CD74BA">
        <w:rPr>
          <w:rFonts w:ascii="Times New Roman" w:hAnsi="Times New Roman"/>
          <w:color w:val="auto"/>
          <w:sz w:val="20"/>
          <w:szCs w:val="20"/>
        </w:rPr>
        <w:t>, via termo de referência n</w:t>
      </w:r>
      <w:r>
        <w:rPr>
          <w:rFonts w:ascii="Times New Roman" w:hAnsi="Times New Roman"/>
          <w:color w:val="auto"/>
          <w:sz w:val="20"/>
          <w:szCs w:val="20"/>
        </w:rPr>
        <w:t>.</w:t>
      </w:r>
      <w:r w:rsidRPr="00CD74BA">
        <w:rPr>
          <w:rFonts w:ascii="Times New Roman" w:hAnsi="Times New Roman"/>
          <w:color w:val="auto"/>
          <w:sz w:val="20"/>
          <w:szCs w:val="20"/>
        </w:rPr>
        <w:t xml:space="preserve"> 023 para contratação de pessoa física consultor por produto com data de início das atividades</w:t>
      </w:r>
      <w:r>
        <w:rPr>
          <w:rFonts w:ascii="Times New Roman" w:hAnsi="Times New Roman"/>
          <w:color w:val="auto"/>
          <w:sz w:val="20"/>
          <w:szCs w:val="20"/>
        </w:rPr>
        <w:t xml:space="preserve"> em</w:t>
      </w:r>
      <w:r w:rsidRPr="00CD74BA">
        <w:rPr>
          <w:rFonts w:ascii="Times New Roman" w:hAnsi="Times New Roman"/>
          <w:color w:val="auto"/>
          <w:sz w:val="20"/>
          <w:szCs w:val="20"/>
        </w:rPr>
        <w:t xml:space="preserve"> 03/01/2022 e t</w:t>
      </w:r>
      <w:r>
        <w:rPr>
          <w:rFonts w:ascii="Times New Roman" w:hAnsi="Times New Roman"/>
          <w:color w:val="auto"/>
          <w:sz w:val="20"/>
          <w:szCs w:val="20"/>
        </w:rPr>
        <w:t>é</w:t>
      </w:r>
      <w:r w:rsidRPr="00CD74BA">
        <w:rPr>
          <w:rFonts w:ascii="Times New Roman" w:hAnsi="Times New Roman"/>
          <w:color w:val="auto"/>
          <w:sz w:val="20"/>
          <w:szCs w:val="20"/>
        </w:rPr>
        <w:t>rmino das atividades</w:t>
      </w:r>
      <w:r>
        <w:rPr>
          <w:rFonts w:ascii="Times New Roman" w:hAnsi="Times New Roman"/>
          <w:color w:val="auto"/>
          <w:sz w:val="20"/>
          <w:szCs w:val="20"/>
        </w:rPr>
        <w:t xml:space="preserve"> em</w:t>
      </w:r>
      <w:r w:rsidRPr="00CD74BA">
        <w:rPr>
          <w:rFonts w:ascii="Times New Roman" w:hAnsi="Times New Roman"/>
          <w:color w:val="auto"/>
          <w:sz w:val="20"/>
          <w:szCs w:val="20"/>
        </w:rPr>
        <w:t xml:space="preserve"> 03/03/2022. O referido produto se enquadra na Ação 3 </w:t>
      </w:r>
      <w:r>
        <w:rPr>
          <w:rFonts w:ascii="Times New Roman" w:hAnsi="Times New Roman"/>
          <w:color w:val="auto"/>
          <w:sz w:val="20"/>
          <w:szCs w:val="20"/>
        </w:rPr>
        <w:t>–</w:t>
      </w:r>
      <w:r w:rsidRPr="00CD74BA">
        <w:rPr>
          <w:rFonts w:ascii="Times New Roman" w:hAnsi="Times New Roman"/>
          <w:color w:val="auto"/>
          <w:sz w:val="20"/>
          <w:szCs w:val="20"/>
        </w:rPr>
        <w:t xml:space="preserve"> Pesquisa de modelos inovadores de gestão universitária: proposta de modelagem para a estruturação da universidade distrital e respectiva atividade 3.1. Elaboração das políticas de desenvolvimento institucional com ênfase nas áreas relativas à inovação, às tecnologias e às engenharias.</w:t>
      </w:r>
    </w:p>
  </w:footnote>
  <w:footnote w:id="2">
    <w:p w14:paraId="3109CA14" w14:textId="77777777" w:rsidR="00DA7023" w:rsidRPr="00054D95" w:rsidRDefault="00DA7023" w:rsidP="00DA7023">
      <w:pPr>
        <w:pStyle w:val="Textodenotaderodap"/>
        <w:jc w:val="both"/>
      </w:pPr>
      <w:r w:rsidRPr="00054D95">
        <w:rPr>
          <w:rStyle w:val="Refdenotaderodap"/>
        </w:rPr>
        <w:footnoteRef/>
      </w:r>
      <w:r w:rsidRPr="00D3212C">
        <w:rPr>
          <w:spacing w:val="-4"/>
        </w:rPr>
        <w:t xml:space="preserve"> O termo </w:t>
      </w:r>
      <w:r>
        <w:rPr>
          <w:spacing w:val="-4"/>
        </w:rPr>
        <w:t>“</w:t>
      </w:r>
      <w:r w:rsidRPr="00D3212C">
        <w:rPr>
          <w:spacing w:val="-4"/>
        </w:rPr>
        <w:t>aprendizagem colaborativa online internacional</w:t>
      </w:r>
      <w:r>
        <w:rPr>
          <w:spacing w:val="-4"/>
        </w:rPr>
        <w:t>”</w:t>
      </w:r>
      <w:r w:rsidRPr="00D3212C">
        <w:rPr>
          <w:spacing w:val="-4"/>
        </w:rPr>
        <w:t xml:space="preserve"> combina as quatro dimensões essenciais da mobilidade</w:t>
      </w:r>
      <w:r w:rsidRPr="00054D95">
        <w:t xml:space="preserve"> virtual real: é um exercício colaborativo de professores e estudantes; faz uso da tecnologia e da interação on</w:t>
      </w:r>
      <w:r>
        <w:t>-</w:t>
      </w:r>
      <w:r w:rsidRPr="00054D95">
        <w:t xml:space="preserve">line; tem potenciais dimensões internacionais; e está integrado no processo de aprendizagem” (DE WIT, 2013).  </w:t>
      </w:r>
    </w:p>
  </w:footnote>
  <w:footnote w:id="3">
    <w:p w14:paraId="5F9A38DB" w14:textId="77777777" w:rsidR="00DA7023" w:rsidRPr="00054D95" w:rsidRDefault="00DA7023" w:rsidP="00DA7023">
      <w:pPr>
        <w:pStyle w:val="Textodenotaderodap"/>
        <w:jc w:val="both"/>
      </w:pPr>
      <w:r w:rsidRPr="00054D95">
        <w:rPr>
          <w:rStyle w:val="Refdenotaderodap"/>
        </w:rPr>
        <w:footnoteRef/>
      </w:r>
      <w:r w:rsidRPr="00054D95">
        <w:t xml:space="preserve"> MOOC é a sigla em inglês para </w:t>
      </w:r>
      <w:r w:rsidRPr="00054D95">
        <w:rPr>
          <w:i/>
          <w:iCs/>
        </w:rPr>
        <w:t>Massive Open Online Course</w:t>
      </w:r>
      <w:r w:rsidRPr="00054D95">
        <w:t xml:space="preserve"> que significa Curso on</w:t>
      </w:r>
      <w:r>
        <w:t>-</w:t>
      </w:r>
      <w:r w:rsidRPr="00054D95">
        <w:t>line aberto e massivo (DOWNES, 2017). Nessa modalidade, os cursos são oferecidos em plataformas virtuais, geralmente por instituições acadêmicas, e estão disponíveis para qualquer indivíduo que tenha acesso à internet.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158"/>
    <w:multiLevelType w:val="hybridMultilevel"/>
    <w:tmpl w:val="51DCD2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B143A2"/>
    <w:multiLevelType w:val="hybridMultilevel"/>
    <w:tmpl w:val="E1D6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53C0A"/>
    <w:multiLevelType w:val="hybridMultilevel"/>
    <w:tmpl w:val="0DA0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82C70"/>
    <w:multiLevelType w:val="hybridMultilevel"/>
    <w:tmpl w:val="E6E2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080F"/>
    <w:multiLevelType w:val="hybridMultilevel"/>
    <w:tmpl w:val="CF5C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04B64"/>
    <w:multiLevelType w:val="hybridMultilevel"/>
    <w:tmpl w:val="ED46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36483E"/>
    <w:multiLevelType w:val="hybridMultilevel"/>
    <w:tmpl w:val="925AEBF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4DA91939"/>
    <w:multiLevelType w:val="hybridMultilevel"/>
    <w:tmpl w:val="C4BE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95E00"/>
    <w:multiLevelType w:val="hybridMultilevel"/>
    <w:tmpl w:val="FACA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9E43B4"/>
    <w:multiLevelType w:val="hybridMultilevel"/>
    <w:tmpl w:val="0A42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DC05F3"/>
    <w:multiLevelType w:val="hybridMultilevel"/>
    <w:tmpl w:val="B66E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3F0A9F"/>
    <w:multiLevelType w:val="hybridMultilevel"/>
    <w:tmpl w:val="6CFC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876EE2"/>
    <w:multiLevelType w:val="hybridMultilevel"/>
    <w:tmpl w:val="3DEA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07382"/>
    <w:multiLevelType w:val="hybridMultilevel"/>
    <w:tmpl w:val="2C42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A37086"/>
    <w:multiLevelType w:val="hybridMultilevel"/>
    <w:tmpl w:val="47D4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31C9A"/>
    <w:multiLevelType w:val="hybridMultilevel"/>
    <w:tmpl w:val="012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A272CB"/>
    <w:multiLevelType w:val="hybridMultilevel"/>
    <w:tmpl w:val="59B038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D7308B3"/>
    <w:multiLevelType w:val="hybridMultilevel"/>
    <w:tmpl w:val="F81CD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587036326">
    <w:abstractNumId w:val="13"/>
  </w:num>
  <w:num w:numId="2" w16cid:durableId="355544314">
    <w:abstractNumId w:val="14"/>
  </w:num>
  <w:num w:numId="3" w16cid:durableId="1036543771">
    <w:abstractNumId w:val="7"/>
  </w:num>
  <w:num w:numId="4" w16cid:durableId="483788287">
    <w:abstractNumId w:val="4"/>
  </w:num>
  <w:num w:numId="5" w16cid:durableId="770970517">
    <w:abstractNumId w:val="16"/>
  </w:num>
  <w:num w:numId="6" w16cid:durableId="1637249883">
    <w:abstractNumId w:val="5"/>
  </w:num>
  <w:num w:numId="7" w16cid:durableId="796921892">
    <w:abstractNumId w:val="11"/>
  </w:num>
  <w:num w:numId="8" w16cid:durableId="1612126838">
    <w:abstractNumId w:val="15"/>
  </w:num>
  <w:num w:numId="9" w16cid:durableId="1194416559">
    <w:abstractNumId w:val="2"/>
  </w:num>
  <w:num w:numId="10" w16cid:durableId="1350331424">
    <w:abstractNumId w:val="12"/>
  </w:num>
  <w:num w:numId="11" w16cid:durableId="1261061590">
    <w:abstractNumId w:val="1"/>
  </w:num>
  <w:num w:numId="12" w16cid:durableId="1411847104">
    <w:abstractNumId w:val="9"/>
  </w:num>
  <w:num w:numId="13" w16cid:durableId="1756054765">
    <w:abstractNumId w:val="10"/>
  </w:num>
  <w:num w:numId="14" w16cid:durableId="2041660509">
    <w:abstractNumId w:val="3"/>
  </w:num>
  <w:num w:numId="15" w16cid:durableId="1550921952">
    <w:abstractNumId w:val="8"/>
  </w:num>
  <w:num w:numId="16" w16cid:durableId="1056121520">
    <w:abstractNumId w:val="17"/>
  </w:num>
  <w:num w:numId="17" w16cid:durableId="1500080359">
    <w:abstractNumId w:val="0"/>
  </w:num>
  <w:num w:numId="18" w16cid:durableId="59185793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38D7"/>
    <w:rsid w:val="00065BED"/>
    <w:rsid w:val="00070EFA"/>
    <w:rsid w:val="00072114"/>
    <w:rsid w:val="0007511A"/>
    <w:rsid w:val="00076130"/>
    <w:rsid w:val="00086BCD"/>
    <w:rsid w:val="000970DB"/>
    <w:rsid w:val="000A1814"/>
    <w:rsid w:val="000A2444"/>
    <w:rsid w:val="000A3861"/>
    <w:rsid w:val="000A7D5D"/>
    <w:rsid w:val="000B2476"/>
    <w:rsid w:val="000B26B6"/>
    <w:rsid w:val="000C121C"/>
    <w:rsid w:val="000C2F9E"/>
    <w:rsid w:val="000C38B3"/>
    <w:rsid w:val="000C54A7"/>
    <w:rsid w:val="000C5D59"/>
    <w:rsid w:val="000D1568"/>
    <w:rsid w:val="000D24F8"/>
    <w:rsid w:val="000D3AC2"/>
    <w:rsid w:val="000E1C64"/>
    <w:rsid w:val="000E2D86"/>
    <w:rsid w:val="000E3248"/>
    <w:rsid w:val="000E5237"/>
    <w:rsid w:val="000E5793"/>
    <w:rsid w:val="000E7FA2"/>
    <w:rsid w:val="000F242D"/>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C2A44"/>
    <w:rsid w:val="001C7514"/>
    <w:rsid w:val="001D1971"/>
    <w:rsid w:val="001D4E60"/>
    <w:rsid w:val="001E12B9"/>
    <w:rsid w:val="001E3720"/>
    <w:rsid w:val="001F6D52"/>
    <w:rsid w:val="001F78BF"/>
    <w:rsid w:val="00201089"/>
    <w:rsid w:val="00203B1B"/>
    <w:rsid w:val="002109D0"/>
    <w:rsid w:val="00210B56"/>
    <w:rsid w:val="00210E4A"/>
    <w:rsid w:val="00211803"/>
    <w:rsid w:val="00211C8D"/>
    <w:rsid w:val="00215724"/>
    <w:rsid w:val="002268D7"/>
    <w:rsid w:val="002316A6"/>
    <w:rsid w:val="00247DDD"/>
    <w:rsid w:val="00251210"/>
    <w:rsid w:val="00254250"/>
    <w:rsid w:val="0026199B"/>
    <w:rsid w:val="0026297B"/>
    <w:rsid w:val="00262D35"/>
    <w:rsid w:val="00266AEB"/>
    <w:rsid w:val="002723CD"/>
    <w:rsid w:val="0027346B"/>
    <w:rsid w:val="00284E26"/>
    <w:rsid w:val="002949F1"/>
    <w:rsid w:val="002A5227"/>
    <w:rsid w:val="002A530B"/>
    <w:rsid w:val="002A6742"/>
    <w:rsid w:val="002B032B"/>
    <w:rsid w:val="002B1C0B"/>
    <w:rsid w:val="002B2F20"/>
    <w:rsid w:val="002B419F"/>
    <w:rsid w:val="002D51F3"/>
    <w:rsid w:val="002D7FB4"/>
    <w:rsid w:val="002E0E0B"/>
    <w:rsid w:val="002E13FB"/>
    <w:rsid w:val="002E208A"/>
    <w:rsid w:val="002E37C2"/>
    <w:rsid w:val="002F0057"/>
    <w:rsid w:val="002F1B0F"/>
    <w:rsid w:val="002F3333"/>
    <w:rsid w:val="002F5FC0"/>
    <w:rsid w:val="00304D2A"/>
    <w:rsid w:val="00305623"/>
    <w:rsid w:val="0031256A"/>
    <w:rsid w:val="0031268D"/>
    <w:rsid w:val="00313552"/>
    <w:rsid w:val="00313DDC"/>
    <w:rsid w:val="00320B63"/>
    <w:rsid w:val="00325DC3"/>
    <w:rsid w:val="003354EB"/>
    <w:rsid w:val="00346197"/>
    <w:rsid w:val="0035235E"/>
    <w:rsid w:val="00353099"/>
    <w:rsid w:val="00354633"/>
    <w:rsid w:val="003554D7"/>
    <w:rsid w:val="00356F65"/>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854"/>
    <w:rsid w:val="003F47C0"/>
    <w:rsid w:val="003F5FC7"/>
    <w:rsid w:val="00406475"/>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61C"/>
    <w:rsid w:val="00475E0D"/>
    <w:rsid w:val="00483446"/>
    <w:rsid w:val="00487A72"/>
    <w:rsid w:val="004A7107"/>
    <w:rsid w:val="004C6012"/>
    <w:rsid w:val="004E0F68"/>
    <w:rsid w:val="004E2ACF"/>
    <w:rsid w:val="004E7BB2"/>
    <w:rsid w:val="004F055D"/>
    <w:rsid w:val="004F1FD4"/>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1C93"/>
    <w:rsid w:val="005932A1"/>
    <w:rsid w:val="0059636A"/>
    <w:rsid w:val="005A1BE6"/>
    <w:rsid w:val="005A1CCA"/>
    <w:rsid w:val="005A302F"/>
    <w:rsid w:val="005A7C76"/>
    <w:rsid w:val="005A7E80"/>
    <w:rsid w:val="005B18EC"/>
    <w:rsid w:val="005B7A80"/>
    <w:rsid w:val="005C0A19"/>
    <w:rsid w:val="005C57BD"/>
    <w:rsid w:val="005C7F8F"/>
    <w:rsid w:val="005D139E"/>
    <w:rsid w:val="005D2323"/>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700045"/>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F55FA"/>
    <w:rsid w:val="007F5762"/>
    <w:rsid w:val="007F6F13"/>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6D8F"/>
    <w:rsid w:val="008A7C5B"/>
    <w:rsid w:val="008B0D14"/>
    <w:rsid w:val="008D5A80"/>
    <w:rsid w:val="008D6C7D"/>
    <w:rsid w:val="008E12B2"/>
    <w:rsid w:val="008E3630"/>
    <w:rsid w:val="008E59C6"/>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67116"/>
    <w:rsid w:val="00977607"/>
    <w:rsid w:val="00977B00"/>
    <w:rsid w:val="00982E58"/>
    <w:rsid w:val="00987A9E"/>
    <w:rsid w:val="00990425"/>
    <w:rsid w:val="0099249D"/>
    <w:rsid w:val="0099284E"/>
    <w:rsid w:val="00996977"/>
    <w:rsid w:val="009A1C1D"/>
    <w:rsid w:val="009A59CC"/>
    <w:rsid w:val="009C5819"/>
    <w:rsid w:val="009C709E"/>
    <w:rsid w:val="009D0B2B"/>
    <w:rsid w:val="009D60F5"/>
    <w:rsid w:val="009D6DB4"/>
    <w:rsid w:val="009E54D0"/>
    <w:rsid w:val="009F3E9C"/>
    <w:rsid w:val="009F4DB4"/>
    <w:rsid w:val="009F57C6"/>
    <w:rsid w:val="00A1520C"/>
    <w:rsid w:val="00A2264F"/>
    <w:rsid w:val="00A26DDF"/>
    <w:rsid w:val="00A31A20"/>
    <w:rsid w:val="00A41AEC"/>
    <w:rsid w:val="00A4267C"/>
    <w:rsid w:val="00A44BF3"/>
    <w:rsid w:val="00A44C62"/>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B2435"/>
    <w:rsid w:val="00AB75CC"/>
    <w:rsid w:val="00AC105E"/>
    <w:rsid w:val="00AC160B"/>
    <w:rsid w:val="00AC3897"/>
    <w:rsid w:val="00AC7254"/>
    <w:rsid w:val="00AD2E0F"/>
    <w:rsid w:val="00AD48DA"/>
    <w:rsid w:val="00AE7EB4"/>
    <w:rsid w:val="00B014A4"/>
    <w:rsid w:val="00B01688"/>
    <w:rsid w:val="00B01950"/>
    <w:rsid w:val="00B0423B"/>
    <w:rsid w:val="00B0624F"/>
    <w:rsid w:val="00B0682E"/>
    <w:rsid w:val="00B06BA7"/>
    <w:rsid w:val="00B07706"/>
    <w:rsid w:val="00B128FB"/>
    <w:rsid w:val="00B14AD7"/>
    <w:rsid w:val="00B17973"/>
    <w:rsid w:val="00B24BFE"/>
    <w:rsid w:val="00B24EEB"/>
    <w:rsid w:val="00B2698A"/>
    <w:rsid w:val="00B27787"/>
    <w:rsid w:val="00B37C99"/>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1CCE"/>
    <w:rsid w:val="00BD3CC7"/>
    <w:rsid w:val="00BD4818"/>
    <w:rsid w:val="00BD509F"/>
    <w:rsid w:val="00BD6283"/>
    <w:rsid w:val="00BD67F8"/>
    <w:rsid w:val="00BF0C1F"/>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1811"/>
    <w:rsid w:val="00C76C8A"/>
    <w:rsid w:val="00C77D7B"/>
    <w:rsid w:val="00C863EA"/>
    <w:rsid w:val="00C877F1"/>
    <w:rsid w:val="00C92C6F"/>
    <w:rsid w:val="00C94F8F"/>
    <w:rsid w:val="00CA1152"/>
    <w:rsid w:val="00CA1416"/>
    <w:rsid w:val="00CA1C37"/>
    <w:rsid w:val="00CA2D37"/>
    <w:rsid w:val="00CA3B0F"/>
    <w:rsid w:val="00CA7418"/>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4D3C"/>
    <w:rsid w:val="00D3793B"/>
    <w:rsid w:val="00D40B4F"/>
    <w:rsid w:val="00D43072"/>
    <w:rsid w:val="00D4394E"/>
    <w:rsid w:val="00D4796F"/>
    <w:rsid w:val="00D54077"/>
    <w:rsid w:val="00D5515C"/>
    <w:rsid w:val="00D63EF9"/>
    <w:rsid w:val="00D66146"/>
    <w:rsid w:val="00D66AE4"/>
    <w:rsid w:val="00D703CD"/>
    <w:rsid w:val="00D806C1"/>
    <w:rsid w:val="00D80EEB"/>
    <w:rsid w:val="00D8231E"/>
    <w:rsid w:val="00D86AD5"/>
    <w:rsid w:val="00D930F0"/>
    <w:rsid w:val="00D93654"/>
    <w:rsid w:val="00D970F9"/>
    <w:rsid w:val="00DA7023"/>
    <w:rsid w:val="00DB1C57"/>
    <w:rsid w:val="00DB3140"/>
    <w:rsid w:val="00DB74AE"/>
    <w:rsid w:val="00DC4D21"/>
    <w:rsid w:val="00DC6044"/>
    <w:rsid w:val="00DC6C69"/>
    <w:rsid w:val="00DD2ED3"/>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0A89"/>
    <w:rsid w:val="00E6220E"/>
    <w:rsid w:val="00E63397"/>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3265E"/>
    <w:rsid w:val="00F342BD"/>
    <w:rsid w:val="00F4278F"/>
    <w:rsid w:val="00F4472B"/>
    <w:rsid w:val="00F519CC"/>
    <w:rsid w:val="00F52FFE"/>
    <w:rsid w:val="00F60094"/>
    <w:rsid w:val="00F64645"/>
    <w:rsid w:val="00F70A01"/>
    <w:rsid w:val="00F82AE8"/>
    <w:rsid w:val="00F837B1"/>
    <w:rsid w:val="00F86794"/>
    <w:rsid w:val="00F96542"/>
    <w:rsid w:val="00F97EDC"/>
    <w:rsid w:val="00FA6AA8"/>
    <w:rsid w:val="00FB0963"/>
    <w:rsid w:val="00FB4F0C"/>
    <w:rsid w:val="00FC0459"/>
    <w:rsid w:val="00FC0826"/>
    <w:rsid w:val="00FD0C78"/>
    <w:rsid w:val="00FD5F29"/>
    <w:rsid w:val="00FE200A"/>
    <w:rsid w:val="00FF0944"/>
    <w:rsid w:val="00FF200E"/>
    <w:rsid w:val="00FF2CF5"/>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D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semiHidden/>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semiHidden/>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semiHidden/>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semiHidden/>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character" w:styleId="Nmerodepgina">
    <w:name w:val="page number"/>
    <w:basedOn w:val="Fontepargpadro"/>
    <w:uiPriority w:val="99"/>
    <w:semiHidden/>
    <w:unhideWhenUsed/>
    <w:rsid w:val="00F86794"/>
  </w:style>
  <w:style w:type="table" w:customStyle="1" w:styleId="TabeladeGrade4-nfase11">
    <w:name w:val="Tabela de Grade 4 - Ênfase 11"/>
    <w:basedOn w:val="Tabelanormal"/>
    <w:uiPriority w:val="49"/>
    <w:rsid w:val="00F86794"/>
    <w:pPr>
      <w:spacing w:after="0" w:line="240" w:lineRule="auto"/>
    </w:pPr>
    <w:rPr>
      <w:sz w:val="24"/>
      <w:szCs w:val="24"/>
    </w:r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insideV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insideV w:val="nil"/>
        </w:tcBorders>
        <w:shd w:val="clear" w:color="auto" w:fill="4875BD" w:themeFill="accent1"/>
      </w:tcPr>
    </w:tblStylePr>
    <w:tblStylePr w:type="lastRow">
      <w:rPr>
        <w:b/>
        <w:bCs/>
      </w:rPr>
      <w:tblPr/>
      <w:tcPr>
        <w:tcBorders>
          <w:top w:val="double" w:sz="4" w:space="0" w:color="4875BD" w:themeColor="accent1"/>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character" w:customStyle="1" w:styleId="normaltextrun">
    <w:name w:val="normaltextrun"/>
    <w:basedOn w:val="Fontepargpadro"/>
    <w:rsid w:val="00DA7023"/>
  </w:style>
  <w:style w:type="paragraph" w:styleId="Textodenotaderodap">
    <w:name w:val="footnote text"/>
    <w:basedOn w:val="Normal"/>
    <w:link w:val="TextodenotaderodapChar"/>
    <w:uiPriority w:val="99"/>
    <w:semiHidden/>
    <w:unhideWhenUsed/>
    <w:rsid w:val="00DA7023"/>
    <w:pPr>
      <w:tabs>
        <w:tab w:val="clear" w:pos="1615"/>
      </w:tabs>
      <w:spacing w:after="0"/>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DA7023"/>
    <w:rPr>
      <w:rFonts w:ascii="Times New Roman" w:eastAsia="Times New Roman" w:hAnsi="Times New Roman" w:cs="Times New Roman"/>
      <w:sz w:val="20"/>
      <w:szCs w:val="20"/>
      <w:lang w:eastAsia="pt-BR"/>
    </w:rPr>
  </w:style>
  <w:style w:type="paragraph" w:styleId="Reviso">
    <w:name w:val="Revision"/>
    <w:hidden/>
    <w:uiPriority w:val="99"/>
    <w:semiHidden/>
    <w:rsid w:val="00DA7023"/>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rsid w:val="00DA7023"/>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Pr-formataoHTML">
    <w:name w:val="HTML Preformatted"/>
    <w:basedOn w:val="Normal"/>
    <w:link w:val="Pr-formataoHTMLChar"/>
    <w:uiPriority w:val="99"/>
    <w:unhideWhenUsed/>
    <w:rsid w:val="00DA7023"/>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DA7023"/>
    <w:rPr>
      <w:rFonts w:ascii="Courier New" w:eastAsia="Times New Roman" w:hAnsi="Courier New" w:cs="Courier New"/>
      <w:sz w:val="20"/>
      <w:szCs w:val="20"/>
      <w:lang w:eastAsia="pt-BR"/>
    </w:rPr>
  </w:style>
  <w:style w:type="paragraph" w:customStyle="1" w:styleId="Pa14">
    <w:name w:val="Pa14"/>
    <w:basedOn w:val="Normal"/>
    <w:next w:val="Normal"/>
    <w:rsid w:val="00DA7023"/>
    <w:pPr>
      <w:tabs>
        <w:tab w:val="clear" w:pos="1615"/>
      </w:tabs>
      <w:autoSpaceDE w:val="0"/>
      <w:autoSpaceDN w:val="0"/>
      <w:adjustRightInd w:val="0"/>
      <w:spacing w:after="0" w:line="191" w:lineRule="atLeast"/>
    </w:pPr>
    <w:rPr>
      <w:rFonts w:ascii="Scala Sans" w:eastAsia="Calibri" w:hAnsi="Scala Sans" w:cs="Times New Roman"/>
      <w:sz w:val="24"/>
      <w:szCs w:val="24"/>
      <w:lang w:eastAsia="pt-BR"/>
    </w:rPr>
  </w:style>
  <w:style w:type="paragraph" w:customStyle="1" w:styleId="paragraph">
    <w:name w:val="paragraph"/>
    <w:basedOn w:val="Normal"/>
    <w:rsid w:val="00DA702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eop">
    <w:name w:val="eop"/>
    <w:basedOn w:val="Fontepargpadro"/>
    <w:rsid w:val="00DA7023"/>
  </w:style>
  <w:style w:type="character" w:customStyle="1" w:styleId="MenoPendente1">
    <w:name w:val="Menção Pendente1"/>
    <w:basedOn w:val="Fontepargpadro"/>
    <w:uiPriority w:val="99"/>
    <w:semiHidden/>
    <w:unhideWhenUsed/>
    <w:rsid w:val="00DA7023"/>
    <w:rPr>
      <w:color w:val="605E5C"/>
      <w:shd w:val="clear" w:color="auto" w:fill="E1DFDD"/>
    </w:rPr>
  </w:style>
  <w:style w:type="character" w:customStyle="1" w:styleId="MenoPendente2">
    <w:name w:val="Menção Pendente2"/>
    <w:basedOn w:val="Fontepargpadro"/>
    <w:uiPriority w:val="99"/>
    <w:semiHidden/>
    <w:unhideWhenUsed/>
    <w:rsid w:val="00DA7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ink.springer.com/chapter/10.1007/978-3-319-20877-0_5"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3.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4.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52</TotalTime>
  <Pages>43</Pages>
  <Words>13461</Words>
  <Characters>72691</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 Carvalho</dc:creator>
  <cp:lastModifiedBy>Lucas Carvalho</cp:lastModifiedBy>
  <cp:revision>6</cp:revision>
  <cp:lastPrinted>2019-09-30T17:55:00Z</cp:lastPrinted>
  <dcterms:created xsi:type="dcterms:W3CDTF">2022-04-19T13:44:00Z</dcterms:created>
  <dcterms:modified xsi:type="dcterms:W3CDTF">2022-04-19T14:46:00Z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